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UNITED STATES</w:t>
      </w:r>
    </w:p>
    <w:p>
      <w:pPr>
        <w:spacing w:after="0" w:line="53"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24"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Washington, D.C. 20549</w:t>
      </w:r>
    </w:p>
    <w:p>
      <w:pPr>
        <w:spacing w:after="0" w:line="1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3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73" w:lineRule="exact"/>
        <w:rPr>
          <w:sz w:val="24"/>
          <w:szCs w:val="24"/>
          <w:color w:val="auto"/>
        </w:rPr>
      </w:pPr>
    </w:p>
    <w:p>
      <w:pPr>
        <w:ind w:left="540" w:hanging="397"/>
        <w:spacing w:after="0"/>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313" w:lineRule="exact"/>
        <w:rPr>
          <w:sz w:val="24"/>
          <w:szCs w:val="24"/>
          <w:color w:val="auto"/>
        </w:rPr>
      </w:pPr>
    </w:p>
    <w:p>
      <w:pPr>
        <w:ind w:left="500"/>
        <w:spacing w:after="0"/>
        <w:rPr>
          <w:sz w:val="20"/>
          <w:szCs w:val="20"/>
          <w:color w:val="auto"/>
        </w:rPr>
      </w:pPr>
      <w:r>
        <w:rPr>
          <w:rFonts w:ascii="Arial" w:cs="Arial" w:eastAsia="Arial" w:hAnsi="Arial"/>
          <w:sz w:val="18"/>
          <w:szCs w:val="18"/>
          <w:b w:val="1"/>
          <w:bCs w:val="1"/>
          <w:color w:val="auto"/>
        </w:rPr>
        <w:t>For the quarterly period ended September 30, 2023</w:t>
      </w:r>
    </w:p>
    <w:p>
      <w:pPr>
        <w:spacing w:after="0" w:line="180"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OR</w:t>
      </w:r>
    </w:p>
    <w:p>
      <w:pPr>
        <w:spacing w:after="0" w:line="245" w:lineRule="exact"/>
        <w:rPr>
          <w:sz w:val="24"/>
          <w:szCs w:val="24"/>
          <w:color w:val="auto"/>
        </w:rPr>
      </w:pPr>
    </w:p>
    <w:p>
      <w:pPr>
        <w:ind w:left="80"/>
        <w:spacing w:after="0" w:line="221" w:lineRule="exact"/>
        <w:rPr>
          <w:sz w:val="20"/>
          <w:szCs w:val="20"/>
          <w:color w:val="auto"/>
        </w:rPr>
      </w:pPr>
      <w:r>
        <w:rPr>
          <w:rFonts w:ascii="MS PGothic" w:cs="MS PGothic" w:eastAsia="MS PGothic" w:hAnsi="MS PGothic"/>
          <w:sz w:val="22"/>
          <w:szCs w:val="22"/>
          <w:color w:val="auto"/>
        </w:rPr>
        <w:t>☐</w:t>
      </w:r>
    </w:p>
    <w:p>
      <w:pPr>
        <w:spacing w:after="0" w:line="141" w:lineRule="exact"/>
        <w:rPr>
          <w:sz w:val="24"/>
          <w:szCs w:val="24"/>
          <w:color w:val="auto"/>
        </w:rPr>
      </w:pPr>
    </w:p>
    <w:p>
      <w:pPr>
        <w:ind w:left="500" w:right="1680" w:hanging="69"/>
        <w:spacing w:after="0" w:line="536" w:lineRule="auto"/>
        <w:rPr>
          <w:sz w:val="20"/>
          <w:szCs w:val="20"/>
          <w:color w:val="auto"/>
        </w:rPr>
      </w:pPr>
      <w:r>
        <w:rPr>
          <w:rFonts w:ascii="Arial" w:cs="Arial" w:eastAsia="Arial" w:hAnsi="Arial"/>
          <w:sz w:val="18"/>
          <w:szCs w:val="18"/>
          <w:b w:val="1"/>
          <w:bCs w:val="1"/>
          <w:color w:val="auto"/>
        </w:rPr>
        <w:t>TRANSITION REPORT PURSUANT TO SECTION 13 OR 15(d) OF THE SECURITIES EXCHANGE ACT OF 1934 For the transition period from to</w:t>
      </w:r>
    </w:p>
    <w:p>
      <w:pPr>
        <w:jc w:val="center"/>
        <w:ind w:right="20"/>
        <w:spacing w:after="0"/>
        <w:rPr>
          <w:sz w:val="20"/>
          <w:szCs w:val="20"/>
          <w:color w:val="auto"/>
        </w:rPr>
      </w:pPr>
      <w:r>
        <w:rPr>
          <w:rFonts w:ascii="Arial" w:cs="Arial" w:eastAsia="Arial" w:hAnsi="Arial"/>
          <w:sz w:val="18"/>
          <w:szCs w:val="18"/>
          <w:b w:val="1"/>
          <w:bCs w:val="1"/>
          <w:color w:val="auto"/>
        </w:rPr>
        <w:t>Commission file number: 001-41009</w:t>
      </w:r>
    </w:p>
    <w:p>
      <w:pPr>
        <w:spacing w:after="0" w:line="175"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Arhaus, Inc.</w:t>
      </w:r>
    </w:p>
    <w:p>
      <w:pPr>
        <w:spacing w:after="0" w:line="53"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(Exact name of registrant as specified in its charter)</w:t>
      </w:r>
    </w:p>
    <w:p>
      <w:pPr>
        <w:spacing w:after="0" w:line="200" w:lineRule="exact"/>
        <w:rPr>
          <w:sz w:val="24"/>
          <w:szCs w:val="24"/>
          <w:color w:val="auto"/>
        </w:rPr>
      </w:pPr>
    </w:p>
    <w:tbl>
      <w:tblPr>
        <w:tblLayout w:type="fixed"/>
        <w:tblInd w:w="10" w:type="dxa"/>
        <w:tblCellMar>
          <w:top w:w="0" w:type="dxa"/>
          <w:left w:w="0" w:type="dxa"/>
          <w:bottom w:w="0" w:type="dxa"/>
          <w:right w:w="0" w:type="dxa"/>
        </w:tblCellMar>
      </w:tblPr>
      <w:tr>
        <w:trPr>
          <w:trHeight w:val="234"/>
        </w:trPr>
        <w:tc>
          <w:tcPr>
            <w:tcW w:w="3920" w:type="dxa"/>
            <w:vAlign w:val="bottom"/>
            <w:gridSpan w:val="2"/>
          </w:tcPr>
          <w:p>
            <w:pPr>
              <w:jc w:val="center"/>
              <w:ind w:left="1630"/>
              <w:spacing w:after="0"/>
              <w:rPr>
                <w:sz w:val="20"/>
                <w:szCs w:val="20"/>
                <w:color w:val="auto"/>
              </w:rPr>
            </w:pPr>
            <w:r>
              <w:rPr>
                <w:rFonts w:ascii="Arial" w:cs="Arial" w:eastAsia="Arial" w:hAnsi="Arial"/>
                <w:sz w:val="18"/>
                <w:szCs w:val="18"/>
                <w:b w:val="1"/>
                <w:bCs w:val="1"/>
                <w:color w:val="auto"/>
                <w:w w:val="91"/>
              </w:rPr>
              <w:t>Delaware</w:t>
            </w:r>
          </w:p>
        </w:tc>
        <w:tc>
          <w:tcPr>
            <w:tcW w:w="20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700" w:type="dxa"/>
            <w:vAlign w:val="bottom"/>
          </w:tcPr>
          <w:p>
            <w:pPr>
              <w:jc w:val="center"/>
              <w:ind w:right="510"/>
              <w:spacing w:after="0"/>
              <w:rPr>
                <w:sz w:val="20"/>
                <w:szCs w:val="20"/>
                <w:color w:val="auto"/>
              </w:rPr>
            </w:pPr>
            <w:r>
              <w:rPr>
                <w:rFonts w:ascii="Arial" w:cs="Arial" w:eastAsia="Arial" w:hAnsi="Arial"/>
                <w:sz w:val="18"/>
                <w:szCs w:val="18"/>
                <w:b w:val="1"/>
                <w:bCs w:val="1"/>
                <w:color w:val="auto"/>
                <w:w w:val="89"/>
              </w:rPr>
              <w:t>87-1729256</w:t>
            </w:r>
          </w:p>
        </w:tc>
        <w:tc>
          <w:tcPr>
            <w:tcW w:w="0" w:type="dxa"/>
            <w:vAlign w:val="bottom"/>
          </w:tcPr>
          <w:p>
            <w:pPr>
              <w:spacing w:after="0"/>
              <w:rPr>
                <w:sz w:val="1"/>
                <w:szCs w:val="1"/>
                <w:color w:val="auto"/>
              </w:rPr>
            </w:pPr>
          </w:p>
        </w:tc>
      </w:tr>
      <w:tr>
        <w:trPr>
          <w:trHeight w:val="283"/>
        </w:trPr>
        <w:tc>
          <w:tcPr>
            <w:tcW w:w="3920" w:type="dxa"/>
            <w:vAlign w:val="bottom"/>
            <w:gridSpan w:val="2"/>
          </w:tcPr>
          <w:p>
            <w:pPr>
              <w:jc w:val="center"/>
              <w:ind w:left="1630"/>
              <w:spacing w:after="0"/>
              <w:rPr>
                <w:sz w:val="20"/>
                <w:szCs w:val="20"/>
                <w:color w:val="auto"/>
              </w:rPr>
            </w:pPr>
            <w:r>
              <w:rPr>
                <w:rFonts w:ascii="Arial" w:cs="Arial" w:eastAsia="Arial" w:hAnsi="Arial"/>
                <w:sz w:val="18"/>
                <w:szCs w:val="18"/>
                <w:color w:val="auto"/>
                <w:w w:val="92"/>
              </w:rPr>
              <w:t>(State or other jurisdiction of</w:t>
            </w:r>
          </w:p>
        </w:tc>
        <w:tc>
          <w:tcPr>
            <w:tcW w:w="2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700" w:type="dxa"/>
            <w:vAlign w:val="bottom"/>
          </w:tcPr>
          <w:p>
            <w:pPr>
              <w:jc w:val="center"/>
              <w:ind w:right="510"/>
              <w:spacing w:after="0"/>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57"/>
        </w:trPr>
        <w:tc>
          <w:tcPr>
            <w:tcW w:w="3920" w:type="dxa"/>
            <w:vAlign w:val="bottom"/>
            <w:gridSpan w:val="2"/>
          </w:tcPr>
          <w:p>
            <w:pPr>
              <w:jc w:val="center"/>
              <w:ind w:left="1630"/>
              <w:spacing w:after="0"/>
              <w:rPr>
                <w:sz w:val="20"/>
                <w:szCs w:val="20"/>
                <w:color w:val="auto"/>
              </w:rPr>
            </w:pPr>
            <w:r>
              <w:rPr>
                <w:rFonts w:ascii="Arial" w:cs="Arial" w:eastAsia="Arial" w:hAnsi="Arial"/>
                <w:sz w:val="18"/>
                <w:szCs w:val="18"/>
                <w:color w:val="auto"/>
                <w:w w:val="92"/>
              </w:rPr>
              <w:t>incorporation or organization)</w:t>
            </w:r>
          </w:p>
        </w:tc>
        <w:tc>
          <w:tcPr>
            <w:tcW w:w="20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700" w:type="dxa"/>
            <w:vAlign w:val="bottom"/>
          </w:tcPr>
          <w:p>
            <w:pPr>
              <w:jc w:val="center"/>
              <w:ind w:right="51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512"/>
        </w:trPr>
        <w:tc>
          <w:tcPr>
            <w:tcW w:w="3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340" w:type="dxa"/>
            <w:vAlign w:val="bottom"/>
            <w:gridSpan w:val="3"/>
          </w:tcPr>
          <w:p>
            <w:pPr>
              <w:jc w:val="center"/>
              <w:ind w:right="3850"/>
              <w:spacing w:after="0"/>
              <w:rPr>
                <w:sz w:val="20"/>
                <w:szCs w:val="20"/>
                <w:color w:val="auto"/>
              </w:rPr>
            </w:pPr>
            <w:r>
              <w:rPr>
                <w:rFonts w:ascii="Arial" w:cs="Arial" w:eastAsia="Arial" w:hAnsi="Arial"/>
                <w:sz w:val="18"/>
                <w:szCs w:val="18"/>
                <w:b w:val="1"/>
                <w:bCs w:val="1"/>
                <w:color w:val="auto"/>
                <w:w w:val="91"/>
              </w:rPr>
              <w:t>51 E. Hines Hill Road, Boston Heights, Ohio</w:t>
            </w:r>
          </w:p>
        </w:tc>
        <w:tc>
          <w:tcPr>
            <w:tcW w:w="0" w:type="dxa"/>
            <w:vAlign w:val="bottom"/>
          </w:tcPr>
          <w:p>
            <w:pPr>
              <w:spacing w:after="0"/>
              <w:rPr>
                <w:sz w:val="1"/>
                <w:szCs w:val="1"/>
                <w:color w:val="auto"/>
              </w:rPr>
            </w:pPr>
          </w:p>
        </w:tc>
      </w:tr>
      <w:tr>
        <w:trPr>
          <w:trHeight w:val="230"/>
        </w:trPr>
        <w:tc>
          <w:tcPr>
            <w:tcW w:w="3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340" w:type="dxa"/>
            <w:vAlign w:val="bottom"/>
            <w:gridSpan w:val="3"/>
          </w:tcPr>
          <w:p>
            <w:pPr>
              <w:jc w:val="center"/>
              <w:ind w:right="3830"/>
              <w:spacing w:after="0"/>
              <w:rPr>
                <w:sz w:val="20"/>
                <w:szCs w:val="20"/>
                <w:color w:val="auto"/>
              </w:rPr>
            </w:pPr>
            <w:r>
              <w:rPr>
                <w:rFonts w:ascii="Arial" w:cs="Arial" w:eastAsia="Arial" w:hAnsi="Arial"/>
                <w:sz w:val="18"/>
                <w:szCs w:val="18"/>
                <w:color w:val="auto"/>
                <w:w w:val="92"/>
              </w:rPr>
              <w:t>(Address of Principal Executive Offices)</w:t>
            </w:r>
          </w:p>
        </w:tc>
        <w:tc>
          <w:tcPr>
            <w:tcW w:w="0" w:type="dxa"/>
            <w:vAlign w:val="bottom"/>
          </w:tcPr>
          <w:p>
            <w:pPr>
              <w:spacing w:after="0"/>
              <w:rPr>
                <w:sz w:val="1"/>
                <w:szCs w:val="1"/>
                <w:color w:val="auto"/>
              </w:rPr>
            </w:pPr>
          </w:p>
        </w:tc>
      </w:tr>
      <w:tr>
        <w:trPr>
          <w:trHeight w:val="243"/>
        </w:trPr>
        <w:tc>
          <w:tcPr>
            <w:tcW w:w="3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b w:val="1"/>
                <w:bCs w:val="1"/>
                <w:color w:val="auto"/>
              </w:rPr>
              <w:t>44236</w:t>
            </w:r>
          </w:p>
        </w:tc>
        <w:tc>
          <w:tcPr>
            <w:tcW w:w="620" w:type="dxa"/>
            <w:vAlign w:val="bottom"/>
          </w:tcPr>
          <w:p>
            <w:pPr>
              <w:spacing w:after="0"/>
              <w:rPr>
                <w:sz w:val="21"/>
                <w:szCs w:val="21"/>
                <w:color w:val="auto"/>
              </w:rPr>
            </w:pPr>
          </w:p>
        </w:tc>
        <w:tc>
          <w:tcPr>
            <w:tcW w:w="4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5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640" w:type="dxa"/>
            <w:vAlign w:val="bottom"/>
            <w:gridSpan w:val="2"/>
          </w:tcPr>
          <w:p>
            <w:pPr>
              <w:jc w:val="center"/>
              <w:ind w:left="670"/>
              <w:spacing w:after="0"/>
              <w:rPr>
                <w:sz w:val="20"/>
                <w:szCs w:val="20"/>
                <w:color w:val="auto"/>
              </w:rPr>
            </w:pPr>
            <w:r>
              <w:rPr>
                <w:rFonts w:ascii="Arial" w:cs="Arial" w:eastAsia="Arial" w:hAnsi="Arial"/>
                <w:sz w:val="18"/>
                <w:szCs w:val="18"/>
                <w:color w:val="auto"/>
                <w:w w:val="94"/>
              </w:rPr>
              <w:t>(Zip Code)</w:t>
            </w:r>
          </w:p>
        </w:tc>
        <w:tc>
          <w:tcPr>
            <w:tcW w:w="4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77"/>
        </w:trPr>
        <w:tc>
          <w:tcPr>
            <w:tcW w:w="3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(440) 439-7700</w:t>
            </w:r>
          </w:p>
        </w:tc>
        <w:tc>
          <w:tcPr>
            <w:tcW w:w="4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560" w:type="dxa"/>
            <w:vAlign w:val="bottom"/>
          </w:tcPr>
          <w:p>
            <w:pPr>
              <w:spacing w:after="0"/>
              <w:rPr>
                <w:sz w:val="20"/>
                <w:szCs w:val="20"/>
                <w:color w:val="auto"/>
              </w:rPr>
            </w:pPr>
          </w:p>
        </w:tc>
        <w:tc>
          <w:tcPr>
            <w:tcW w:w="7700" w:type="dxa"/>
            <w:vAlign w:val="bottom"/>
            <w:gridSpan w:val="4"/>
          </w:tcPr>
          <w:p>
            <w:pPr>
              <w:jc w:val="center"/>
              <w:ind w:right="3490"/>
              <w:spacing w:after="0"/>
              <w:rPr>
                <w:sz w:val="20"/>
                <w:szCs w:val="20"/>
                <w:color w:val="auto"/>
              </w:rPr>
            </w:pPr>
            <w:r>
              <w:rPr>
                <w:rFonts w:ascii="Arial" w:cs="Arial" w:eastAsia="Arial" w:hAnsi="Arial"/>
                <w:sz w:val="18"/>
                <w:szCs w:val="18"/>
                <w:color w:val="auto"/>
                <w:w w:val="89"/>
              </w:rPr>
              <w:t>(Registrant's telephone number, including area code)</w:t>
            </w:r>
          </w:p>
        </w:tc>
        <w:tc>
          <w:tcPr>
            <w:tcW w:w="0" w:type="dxa"/>
            <w:vAlign w:val="bottom"/>
          </w:tcPr>
          <w:p>
            <w:pPr>
              <w:spacing w:after="0"/>
              <w:rPr>
                <w:sz w:val="1"/>
                <w:szCs w:val="1"/>
                <w:color w:val="auto"/>
              </w:rPr>
            </w:pPr>
          </w:p>
        </w:tc>
      </w:tr>
      <w:tr>
        <w:trPr>
          <w:trHeight w:val="405"/>
        </w:trPr>
        <w:tc>
          <w:tcPr>
            <w:tcW w:w="6560" w:type="dxa"/>
            <w:vAlign w:val="bottom"/>
            <w:gridSpan w:val="4"/>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4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5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47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360" w:type="dxa"/>
            <w:vAlign w:val="bottom"/>
            <w:tcBorders>
              <w:bottom w:val="single" w:sz="8" w:color="auto"/>
            </w:tcBorders>
          </w:tcPr>
          <w:p>
            <w:pPr>
              <w:spacing w:after="0"/>
              <w:rPr>
                <w:sz w:val="19"/>
                <w:szCs w:val="19"/>
                <w:color w:val="auto"/>
              </w:rPr>
            </w:pPr>
          </w:p>
        </w:tc>
        <w:tc>
          <w:tcPr>
            <w:tcW w:w="2020" w:type="dxa"/>
            <w:vAlign w:val="bottom"/>
            <w:tcBorders>
              <w:bottom w:val="single" w:sz="8" w:color="auto"/>
              <w:right w:val="single" w:sz="8" w:color="auto"/>
            </w:tcBorders>
          </w:tcPr>
          <w:p>
            <w:pPr>
              <w:jc w:val="center"/>
              <w:ind w:right="290"/>
              <w:spacing w:after="0"/>
              <w:rPr>
                <w:sz w:val="20"/>
                <w:szCs w:val="20"/>
                <w:color w:val="auto"/>
              </w:rPr>
            </w:pPr>
            <w:r>
              <w:rPr>
                <w:rFonts w:ascii="Arial" w:cs="Arial" w:eastAsia="Arial" w:hAnsi="Arial"/>
                <w:sz w:val="18"/>
                <w:szCs w:val="18"/>
                <w:b w:val="1"/>
                <w:bCs w:val="1"/>
                <w:color w:val="auto"/>
                <w:w w:val="91"/>
              </w:rPr>
              <w:t>Trading Symbol(s)</w:t>
            </w:r>
          </w:p>
        </w:tc>
        <w:tc>
          <w:tcPr>
            <w:tcW w:w="620" w:type="dxa"/>
            <w:vAlign w:val="bottom"/>
            <w:tcBorders>
              <w:bottom w:val="single" w:sz="8" w:color="auto"/>
            </w:tcBorders>
          </w:tcPr>
          <w:p>
            <w:pPr>
              <w:spacing w:after="0"/>
              <w:rPr>
                <w:sz w:val="19"/>
                <w:szCs w:val="19"/>
                <w:color w:val="auto"/>
              </w:rPr>
            </w:pPr>
          </w:p>
        </w:tc>
        <w:tc>
          <w:tcPr>
            <w:tcW w:w="4700" w:type="dxa"/>
            <w:vAlign w:val="bottom"/>
            <w:tcBorders>
              <w:bottom w:val="single" w:sz="8" w:color="auto"/>
              <w:right w:val="single" w:sz="8" w:color="auto"/>
            </w:tcBorders>
          </w:tcPr>
          <w:p>
            <w:pPr>
              <w:jc w:val="center"/>
              <w:ind w:right="550"/>
              <w:spacing w:after="0"/>
              <w:rPr>
                <w:sz w:val="20"/>
                <w:szCs w:val="20"/>
                <w:color w:val="auto"/>
              </w:rPr>
            </w:pPr>
            <w:r>
              <w:rPr>
                <w:rFonts w:ascii="Arial" w:cs="Arial" w:eastAsia="Arial" w:hAnsi="Arial"/>
                <w:sz w:val="18"/>
                <w:szCs w:val="18"/>
                <w:b w:val="1"/>
                <w:bCs w:val="1"/>
                <w:color w:val="auto"/>
                <w:w w:val="87"/>
              </w:rPr>
              <w:t>Name of each exchange on which registered</w:t>
            </w:r>
          </w:p>
        </w:tc>
        <w:tc>
          <w:tcPr>
            <w:tcW w:w="0" w:type="dxa"/>
            <w:vAlign w:val="bottom"/>
          </w:tcPr>
          <w:p>
            <w:pPr>
              <w:spacing w:after="0"/>
              <w:rPr>
                <w:sz w:val="1"/>
                <w:szCs w:val="1"/>
                <w:color w:val="auto"/>
              </w:rPr>
            </w:pPr>
          </w:p>
        </w:tc>
      </w:tr>
      <w:tr>
        <w:trPr>
          <w:trHeight w:val="169"/>
        </w:trPr>
        <w:tc>
          <w:tcPr>
            <w:tcW w:w="3560" w:type="dxa"/>
            <w:vAlign w:val="bottom"/>
            <w:tcBorders>
              <w:left w:val="single" w:sz="8" w:color="auto"/>
              <w:right w:val="single" w:sz="8" w:color="auto"/>
            </w:tcBorders>
            <w:shd w:val="clear" w:color="auto" w:fill="CCEEFF"/>
          </w:tcPr>
          <w:p>
            <w:pPr>
              <w:jc w:val="center"/>
              <w:spacing w:after="0" w:line="169" w:lineRule="exact"/>
              <w:rPr>
                <w:sz w:val="20"/>
                <w:szCs w:val="20"/>
                <w:color w:val="auto"/>
              </w:rPr>
            </w:pPr>
            <w:r>
              <w:rPr>
                <w:rFonts w:ascii="Arial" w:cs="Arial" w:eastAsia="Arial" w:hAnsi="Arial"/>
                <w:sz w:val="18"/>
                <w:szCs w:val="18"/>
                <w:color w:val="auto"/>
                <w:w w:val="90"/>
              </w:rPr>
              <w:t>Class A common stock, $0.001 par value per</w:t>
            </w:r>
          </w:p>
        </w:tc>
        <w:tc>
          <w:tcPr>
            <w:tcW w:w="360" w:type="dxa"/>
            <w:vAlign w:val="bottom"/>
            <w:shd w:val="clear" w:color="auto" w:fill="CCEEFF"/>
          </w:tcPr>
          <w:p>
            <w:pPr>
              <w:spacing w:after="0"/>
              <w:rPr>
                <w:sz w:val="14"/>
                <w:szCs w:val="14"/>
                <w:color w:val="auto"/>
              </w:rPr>
            </w:pPr>
          </w:p>
        </w:tc>
        <w:tc>
          <w:tcPr>
            <w:tcW w:w="2020" w:type="dxa"/>
            <w:vAlign w:val="bottom"/>
            <w:tcBorders>
              <w:right w:val="single" w:sz="8" w:color="auto"/>
            </w:tcBorders>
            <w:vMerge w:val="restart"/>
            <w:shd w:val="clear" w:color="auto" w:fill="CCEEFF"/>
          </w:tcPr>
          <w:p>
            <w:pPr>
              <w:jc w:val="center"/>
              <w:ind w:right="290"/>
              <w:spacing w:after="0"/>
              <w:rPr>
                <w:sz w:val="20"/>
                <w:szCs w:val="20"/>
                <w:color w:val="auto"/>
              </w:rPr>
            </w:pPr>
            <w:r>
              <w:rPr>
                <w:rFonts w:ascii="Arial" w:cs="Arial" w:eastAsia="Arial" w:hAnsi="Arial"/>
                <w:sz w:val="18"/>
                <w:szCs w:val="18"/>
                <w:color w:val="auto"/>
                <w:w w:val="95"/>
              </w:rPr>
              <w:t>ARHS</w:t>
            </w:r>
          </w:p>
        </w:tc>
        <w:tc>
          <w:tcPr>
            <w:tcW w:w="620" w:type="dxa"/>
            <w:vAlign w:val="bottom"/>
            <w:shd w:val="clear" w:color="auto" w:fill="CCEEFF"/>
          </w:tcPr>
          <w:p>
            <w:pPr>
              <w:spacing w:after="0"/>
              <w:rPr>
                <w:sz w:val="14"/>
                <w:szCs w:val="14"/>
                <w:color w:val="auto"/>
              </w:rPr>
            </w:pPr>
          </w:p>
        </w:tc>
        <w:tc>
          <w:tcPr>
            <w:tcW w:w="4700" w:type="dxa"/>
            <w:vAlign w:val="bottom"/>
            <w:tcBorders>
              <w:right w:val="single" w:sz="8" w:color="auto"/>
            </w:tcBorders>
            <w:shd w:val="clear" w:color="auto" w:fill="CCEEFF"/>
          </w:tcPr>
          <w:p>
            <w:pPr>
              <w:jc w:val="center"/>
              <w:ind w:right="550"/>
              <w:spacing w:after="0" w:line="169" w:lineRule="exact"/>
              <w:rPr>
                <w:sz w:val="20"/>
                <w:szCs w:val="20"/>
                <w:color w:val="auto"/>
              </w:rPr>
            </w:pPr>
            <w:r>
              <w:rPr>
                <w:rFonts w:ascii="Arial" w:cs="Arial" w:eastAsia="Arial" w:hAnsi="Arial"/>
                <w:sz w:val="18"/>
                <w:szCs w:val="18"/>
                <w:color w:val="auto"/>
                <w:w w:val="91"/>
              </w:rPr>
              <w:t>The Nasdaq Global Select Market</w:t>
            </w:r>
          </w:p>
        </w:tc>
        <w:tc>
          <w:tcPr>
            <w:tcW w:w="0" w:type="dxa"/>
            <w:vAlign w:val="bottom"/>
          </w:tcPr>
          <w:p>
            <w:pPr>
              <w:spacing w:after="0"/>
              <w:rPr>
                <w:sz w:val="1"/>
                <w:szCs w:val="1"/>
                <w:color w:val="auto"/>
              </w:rPr>
            </w:pPr>
          </w:p>
        </w:tc>
      </w:tr>
      <w:tr>
        <w:trPr>
          <w:trHeight w:val="149"/>
        </w:trPr>
        <w:tc>
          <w:tcPr>
            <w:tcW w:w="3560" w:type="dxa"/>
            <w:vAlign w:val="bottom"/>
            <w:tcBorders>
              <w:left w:val="single" w:sz="8" w:color="auto"/>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84"/>
              </w:rPr>
              <w:t>share</w:t>
            </w:r>
          </w:p>
        </w:tc>
        <w:tc>
          <w:tcPr>
            <w:tcW w:w="360" w:type="dxa"/>
            <w:vAlign w:val="bottom"/>
            <w:shd w:val="clear" w:color="auto" w:fill="CCEEFF"/>
          </w:tcPr>
          <w:p>
            <w:pPr>
              <w:spacing w:after="0"/>
              <w:rPr>
                <w:sz w:val="12"/>
                <w:szCs w:val="12"/>
                <w:color w:val="auto"/>
              </w:rPr>
            </w:pPr>
          </w:p>
        </w:tc>
        <w:tc>
          <w:tcPr>
            <w:tcW w:w="2020" w:type="dxa"/>
            <w:vAlign w:val="bottom"/>
            <w:tcBorders>
              <w:right w:val="single" w:sz="8" w:color="auto"/>
            </w:tcBorders>
            <w:vMerge w:val="continue"/>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700" w:type="dxa"/>
            <w:vAlign w:val="bottom"/>
            <w:tcBorders>
              <w:right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3560" w:type="dxa"/>
            <w:vAlign w:val="bottom"/>
            <w:tcBorders>
              <w:left w:val="single" w:sz="8" w:color="auto"/>
              <w:bottom w:val="single" w:sz="8" w:color="auto"/>
              <w:right w:val="single" w:sz="8" w:color="auto"/>
            </w:tcBorders>
            <w:vMerge w:val="continue"/>
            <w:shd w:val="clear" w:color="auto" w:fill="CCEEFF"/>
          </w:tcPr>
          <w:p>
            <w:pPr>
              <w:spacing w:after="0"/>
              <w:rPr>
                <w:sz w:val="7"/>
                <w:szCs w:val="7"/>
                <w:color w:val="auto"/>
              </w:rPr>
            </w:pPr>
          </w:p>
        </w:tc>
        <w:tc>
          <w:tcPr>
            <w:tcW w:w="360" w:type="dxa"/>
            <w:vAlign w:val="bottom"/>
            <w:tcBorders>
              <w:bottom w:val="single" w:sz="8" w:color="auto"/>
            </w:tcBorders>
            <w:shd w:val="clear" w:color="auto" w:fill="CCEEFF"/>
          </w:tcPr>
          <w:p>
            <w:pPr>
              <w:spacing w:after="0"/>
              <w:rPr>
                <w:sz w:val="7"/>
                <w:szCs w:val="7"/>
                <w:color w:val="auto"/>
              </w:rPr>
            </w:pPr>
          </w:p>
        </w:tc>
        <w:tc>
          <w:tcPr>
            <w:tcW w:w="2020" w:type="dxa"/>
            <w:vAlign w:val="bottom"/>
            <w:tcBorders>
              <w:bottom w:val="single" w:sz="8" w:color="auto"/>
              <w:right w:val="single" w:sz="8" w:color="auto"/>
            </w:tcBorders>
            <w:shd w:val="clear" w:color="auto" w:fill="CCEEFF"/>
          </w:tcPr>
          <w:p>
            <w:pPr>
              <w:spacing w:after="0"/>
              <w:rPr>
                <w:sz w:val="7"/>
                <w:szCs w:val="7"/>
                <w:color w:val="auto"/>
              </w:rPr>
            </w:pPr>
          </w:p>
        </w:tc>
        <w:tc>
          <w:tcPr>
            <w:tcW w:w="620" w:type="dxa"/>
            <w:vAlign w:val="bottom"/>
            <w:tcBorders>
              <w:bottom w:val="single" w:sz="8" w:color="auto"/>
            </w:tcBorders>
            <w:shd w:val="clear" w:color="auto" w:fill="CCEEFF"/>
          </w:tcPr>
          <w:p>
            <w:pPr>
              <w:spacing w:after="0"/>
              <w:rPr>
                <w:sz w:val="7"/>
                <w:szCs w:val="7"/>
                <w:color w:val="auto"/>
              </w:rPr>
            </w:pPr>
          </w:p>
        </w:tc>
        <w:tc>
          <w:tcPr>
            <w:tcW w:w="4700" w:type="dxa"/>
            <w:vAlign w:val="bottom"/>
            <w:tcBorders>
              <w:bottom w:val="single" w:sz="8" w:color="auto"/>
              <w:right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pacing w:after="0" w:line="256" w:lineRule="exact"/>
        <w:rPr>
          <w:sz w:val="24"/>
          <w:szCs w:val="24"/>
          <w:color w:val="auto"/>
        </w:rPr>
      </w:pPr>
    </w:p>
    <w:p>
      <w:pPr>
        <w:ind w:right="260"/>
        <w:spacing w:after="0" w:line="249"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21"/>
          <w:szCs w:val="21"/>
          <w:color w:val="auto"/>
        </w:rPr>
        <w:t>☐</w:t>
      </w:r>
    </w:p>
    <w:p>
      <w:pPr>
        <w:spacing w:after="0" w:line="132" w:lineRule="exact"/>
        <w:rPr>
          <w:sz w:val="24"/>
          <w:szCs w:val="24"/>
          <w:color w:val="auto"/>
        </w:rPr>
      </w:pPr>
    </w:p>
    <w:p>
      <w:pPr>
        <w:jc w:val="both"/>
        <w:ind w:right="320"/>
        <w:spacing w:after="0" w:line="249"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21"/>
          <w:szCs w:val="21"/>
          <w:color w:val="auto"/>
        </w:rPr>
        <w:t>☐</w:t>
      </w:r>
    </w:p>
    <w:p>
      <w:pPr>
        <w:spacing w:after="0" w:line="118" w:lineRule="exact"/>
        <w:rPr>
          <w:sz w:val="24"/>
          <w:szCs w:val="24"/>
          <w:color w:val="auto"/>
        </w:rPr>
      </w:pPr>
    </w:p>
    <w:p>
      <w:pPr>
        <w:ind w:right="3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19"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23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880" w:type="dxa"/>
            <w:vAlign w:val="bottom"/>
            <w:vMerge w:val="restart"/>
          </w:tcPr>
          <w:p>
            <w:pPr>
              <w:ind w:left="720"/>
              <w:spacing w:after="0" w:line="221" w:lineRule="exact"/>
              <w:rPr>
                <w:sz w:val="20"/>
                <w:szCs w:val="20"/>
                <w:color w:val="auto"/>
              </w:rPr>
            </w:pPr>
            <w:r>
              <w:rPr>
                <w:rFonts w:ascii="MS PGothic" w:cs="MS PGothic" w:eastAsia="MS PGothic" w:hAnsi="MS PGothic"/>
                <w:sz w:val="22"/>
                <w:szCs w:val="22"/>
                <w:color w:val="auto"/>
              </w:rPr>
              <w:t>☐</w:t>
            </w:r>
          </w:p>
        </w:tc>
        <w:tc>
          <w:tcPr>
            <w:tcW w:w="4820" w:type="dxa"/>
            <w:vAlign w:val="bottom"/>
          </w:tcPr>
          <w:p>
            <w:pPr>
              <w:ind w:left="1980"/>
              <w:spacing w:after="0"/>
              <w:rPr>
                <w:sz w:val="20"/>
                <w:szCs w:val="20"/>
                <w:color w:val="auto"/>
              </w:rPr>
            </w:pPr>
            <w:r>
              <w:rPr>
                <w:rFonts w:ascii="Arial" w:cs="Arial" w:eastAsia="Arial" w:hAnsi="Arial"/>
                <w:sz w:val="18"/>
                <w:szCs w:val="18"/>
                <w:color w:val="auto"/>
              </w:rPr>
              <w:t>Accelerated filer</w:t>
            </w:r>
          </w:p>
        </w:tc>
        <w:tc>
          <w:tcPr>
            <w:tcW w:w="1060" w:type="dxa"/>
            <w:vAlign w:val="bottom"/>
            <w:vMerge w:val="restart"/>
          </w:tcPr>
          <w:p>
            <w:pPr>
              <w:ind w:left="880"/>
              <w:spacing w:after="0" w:line="221" w:lineRule="exact"/>
              <w:rPr>
                <w:sz w:val="20"/>
                <w:szCs w:val="20"/>
                <w:color w:val="auto"/>
              </w:rPr>
            </w:pPr>
            <w:r>
              <w:rPr>
                <w:rFonts w:ascii="MS PGothic" w:cs="MS PGothic" w:eastAsia="MS PGothic" w:hAnsi="MS PGothic"/>
                <w:sz w:val="22"/>
                <w:szCs w:val="22"/>
                <w:color w:val="auto"/>
                <w:w w:val="72"/>
              </w:rPr>
              <w:t>☒</w:t>
            </w:r>
          </w:p>
        </w:tc>
        <w:tc>
          <w:tcPr>
            <w:tcW w:w="0" w:type="dxa"/>
            <w:vAlign w:val="bottom"/>
          </w:tcPr>
          <w:p>
            <w:pPr>
              <w:spacing w:after="0"/>
              <w:rPr>
                <w:sz w:val="1"/>
                <w:szCs w:val="1"/>
                <w:color w:val="auto"/>
              </w:rPr>
            </w:pPr>
          </w:p>
        </w:tc>
      </w:tr>
      <w:tr>
        <w:trPr>
          <w:trHeight w:val="152"/>
        </w:trPr>
        <w:tc>
          <w:tcPr>
            <w:tcW w:w="2340" w:type="dxa"/>
            <w:vAlign w:val="bottom"/>
          </w:tcPr>
          <w:p>
            <w:pPr>
              <w:spacing w:after="0"/>
              <w:rPr>
                <w:sz w:val="13"/>
                <w:szCs w:val="13"/>
                <w:color w:val="auto"/>
              </w:rPr>
            </w:pPr>
          </w:p>
        </w:tc>
        <w:tc>
          <w:tcPr>
            <w:tcW w:w="2880" w:type="dxa"/>
            <w:vAlign w:val="bottom"/>
            <w:vMerge w:val="continue"/>
          </w:tcPr>
          <w:p>
            <w:pPr>
              <w:spacing w:after="0"/>
              <w:rPr>
                <w:sz w:val="13"/>
                <w:szCs w:val="13"/>
                <w:color w:val="auto"/>
              </w:rPr>
            </w:pPr>
          </w:p>
        </w:tc>
        <w:tc>
          <w:tcPr>
            <w:tcW w:w="482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47"/>
        </w:trPr>
        <w:tc>
          <w:tcPr>
            <w:tcW w:w="2340" w:type="dxa"/>
            <w:vAlign w:val="bottom"/>
          </w:tcPr>
          <w:p>
            <w:pPr>
              <w:spacing w:after="0"/>
              <w:rPr>
                <w:sz w:val="20"/>
                <w:szCs w:val="20"/>
                <w:color w:val="auto"/>
              </w:rPr>
            </w:pPr>
            <w:r>
              <w:rPr>
                <w:rFonts w:ascii="Arial" w:cs="Arial" w:eastAsia="Arial" w:hAnsi="Arial"/>
                <w:sz w:val="18"/>
                <w:szCs w:val="18"/>
                <w:color w:val="auto"/>
              </w:rPr>
              <w:t>Non-accelerated filer</w:t>
            </w:r>
          </w:p>
        </w:tc>
        <w:tc>
          <w:tcPr>
            <w:tcW w:w="2880" w:type="dxa"/>
            <w:vAlign w:val="bottom"/>
            <w:vMerge w:val="restart"/>
          </w:tcPr>
          <w:p>
            <w:pPr>
              <w:ind w:left="720"/>
              <w:spacing w:after="0" w:line="221" w:lineRule="exact"/>
              <w:rPr>
                <w:sz w:val="20"/>
                <w:szCs w:val="20"/>
                <w:color w:val="auto"/>
              </w:rPr>
            </w:pPr>
            <w:r>
              <w:rPr>
                <w:rFonts w:ascii="MS PGothic" w:cs="MS PGothic" w:eastAsia="MS PGothic" w:hAnsi="MS PGothic"/>
                <w:sz w:val="22"/>
                <w:szCs w:val="22"/>
                <w:color w:val="auto"/>
              </w:rPr>
              <w:t>☐</w:t>
            </w:r>
          </w:p>
        </w:tc>
        <w:tc>
          <w:tcPr>
            <w:tcW w:w="4820" w:type="dxa"/>
            <w:vAlign w:val="bottom"/>
          </w:tcPr>
          <w:p>
            <w:pPr>
              <w:ind w:left="1980"/>
              <w:spacing w:after="0"/>
              <w:rPr>
                <w:sz w:val="20"/>
                <w:szCs w:val="20"/>
                <w:color w:val="auto"/>
              </w:rPr>
            </w:pPr>
            <w:r>
              <w:rPr>
                <w:rFonts w:ascii="Arial" w:cs="Arial" w:eastAsia="Arial" w:hAnsi="Arial"/>
                <w:sz w:val="18"/>
                <w:szCs w:val="18"/>
                <w:color w:val="auto"/>
              </w:rPr>
              <w:t>Smaller reporting company</w:t>
            </w:r>
          </w:p>
        </w:tc>
        <w:tc>
          <w:tcPr>
            <w:tcW w:w="1060" w:type="dxa"/>
            <w:vAlign w:val="bottom"/>
            <w:vMerge w:val="restart"/>
          </w:tcPr>
          <w:p>
            <w:pPr>
              <w:ind w:left="880"/>
              <w:spacing w:after="0" w:line="221" w:lineRule="exact"/>
              <w:rPr>
                <w:sz w:val="20"/>
                <w:szCs w:val="20"/>
                <w:color w:val="auto"/>
              </w:rPr>
            </w:pPr>
            <w:r>
              <w:rPr>
                <w:rFonts w:ascii="MS PGothic" w:cs="MS PGothic" w:eastAsia="MS PGothic" w:hAnsi="MS PGothic"/>
                <w:sz w:val="22"/>
                <w:szCs w:val="22"/>
                <w:color w:val="auto"/>
                <w:w w:val="72"/>
              </w:rPr>
              <w:t>☒</w:t>
            </w:r>
          </w:p>
        </w:tc>
        <w:tc>
          <w:tcPr>
            <w:tcW w:w="0" w:type="dxa"/>
            <w:vAlign w:val="bottom"/>
          </w:tcPr>
          <w:p>
            <w:pPr>
              <w:spacing w:after="0"/>
              <w:rPr>
                <w:sz w:val="1"/>
                <w:szCs w:val="1"/>
                <w:color w:val="auto"/>
              </w:rPr>
            </w:pPr>
          </w:p>
        </w:tc>
      </w:tr>
      <w:tr>
        <w:trPr>
          <w:trHeight w:val="73"/>
        </w:trPr>
        <w:tc>
          <w:tcPr>
            <w:tcW w:w="2340" w:type="dxa"/>
            <w:vAlign w:val="bottom"/>
          </w:tcPr>
          <w:p>
            <w:pPr>
              <w:spacing w:after="0"/>
              <w:rPr>
                <w:sz w:val="6"/>
                <w:szCs w:val="6"/>
                <w:color w:val="auto"/>
              </w:rPr>
            </w:pPr>
          </w:p>
        </w:tc>
        <w:tc>
          <w:tcPr>
            <w:tcW w:w="2880" w:type="dxa"/>
            <w:vAlign w:val="bottom"/>
            <w:vMerge w:val="continue"/>
          </w:tcPr>
          <w:p>
            <w:pPr>
              <w:spacing w:after="0"/>
              <w:rPr>
                <w:sz w:val="6"/>
                <w:szCs w:val="6"/>
                <w:color w:val="auto"/>
              </w:rPr>
            </w:pPr>
          </w:p>
        </w:tc>
        <w:tc>
          <w:tcPr>
            <w:tcW w:w="482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62"/>
        </w:trPr>
        <w:tc>
          <w:tcPr>
            <w:tcW w:w="23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820" w:type="dxa"/>
            <w:vAlign w:val="bottom"/>
          </w:tcPr>
          <w:p>
            <w:pPr>
              <w:ind w:left="1980"/>
              <w:spacing w:after="0"/>
              <w:rPr>
                <w:sz w:val="20"/>
                <w:szCs w:val="20"/>
                <w:color w:val="auto"/>
              </w:rPr>
            </w:pPr>
            <w:r>
              <w:rPr>
                <w:rFonts w:ascii="Arial" w:cs="Arial" w:eastAsia="Arial" w:hAnsi="Arial"/>
                <w:sz w:val="18"/>
                <w:szCs w:val="18"/>
                <w:color w:val="auto"/>
              </w:rPr>
              <w:t>Emerging growth company</w:t>
            </w:r>
          </w:p>
        </w:tc>
        <w:tc>
          <w:tcPr>
            <w:tcW w:w="1060" w:type="dxa"/>
            <w:vAlign w:val="bottom"/>
          </w:tcPr>
          <w:p>
            <w:pPr>
              <w:ind w:left="880"/>
              <w:spacing w:after="0" w:line="221" w:lineRule="exact"/>
              <w:rPr>
                <w:sz w:val="20"/>
                <w:szCs w:val="20"/>
                <w:color w:val="auto"/>
              </w:rPr>
            </w:pPr>
            <w:r>
              <w:rPr>
                <w:rFonts w:ascii="MS PGothic" w:cs="MS PGothic" w:eastAsia="MS PGothic" w:hAnsi="MS PGothic"/>
                <w:sz w:val="22"/>
                <w:szCs w:val="22"/>
                <w:color w:val="auto"/>
                <w:w w:val="72"/>
              </w:rPr>
              <w:t>☒</w:t>
            </w:r>
          </w:p>
        </w:tc>
        <w:tc>
          <w:tcPr>
            <w:tcW w:w="0" w:type="dxa"/>
            <w:vAlign w:val="bottom"/>
          </w:tcPr>
          <w:p>
            <w:pPr>
              <w:spacing w:after="0"/>
              <w:rPr>
                <w:sz w:val="1"/>
                <w:szCs w:val="1"/>
                <w:color w:val="auto"/>
              </w:rPr>
            </w:pPr>
          </w:p>
        </w:tc>
      </w:tr>
    </w:tbl>
    <w:p>
      <w:pPr>
        <w:spacing w:after="0" w:line="225" w:lineRule="exact"/>
        <w:rPr>
          <w:sz w:val="24"/>
          <w:szCs w:val="24"/>
          <w:color w:val="auto"/>
        </w:rPr>
      </w:pPr>
    </w:p>
    <w:p>
      <w:pPr>
        <w:ind w:right="180"/>
        <w:spacing w:after="0" w:line="26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83" w:lineRule="exact"/>
        <w:rPr>
          <w:sz w:val="24"/>
          <w:szCs w:val="24"/>
          <w:color w:val="auto"/>
        </w:rPr>
      </w:pPr>
    </w:p>
    <w:p>
      <w:pPr>
        <w:spacing w:after="0" w:line="242"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21"/>
          <w:szCs w:val="21"/>
          <w:color w:val="auto"/>
        </w:rPr>
        <w:t>☒</w:t>
      </w:r>
    </w:p>
    <w:p>
      <w:pPr>
        <w:sectPr>
          <w:pgSz w:w="11900" w:h="16838" w:orient="portrait"/>
          <w:cols w:equalWidth="0" w:num="1">
            <w:col w:w="11260"/>
          </w:cols>
          <w:pgMar w:left="320" w:top="229" w:right="319" w:bottom="0" w:gutter="0" w:footer="0" w:header="0"/>
        </w:sectPr>
      </w:pPr>
    </w:p>
    <w:bookmarkStart w:id="1" w:name="page2"/>
    <w:bookmarkEnd w:id="1"/>
    <w:p>
      <w:pPr>
        <w:spacing w:after="0"/>
        <w:rPr>
          <w:sz w:val="20"/>
          <w:szCs w:val="20"/>
          <w:color w:val="auto"/>
        </w:rPr>
      </w:pPr>
      <w:r>
        <w:rPr>
          <w:rFonts w:ascii="Arial" w:cs="Arial" w:eastAsia="Arial" w:hAnsi="Arial"/>
          <w:sz w:val="16"/>
          <w:szCs w:val="16"/>
          <w:color w:val="auto"/>
        </w:rPr>
        <w:t>As of October 27, 2023 the registrant had 53,167,306 shares of Class A common stock and 87,115,600 shares of Class B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839470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720"/>
          </w:cols>
          <w:pgMar w:left="320" w:top="125" w:right="8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Borders>
              <w:bottom w:val="single" w:sz="8" w:color="CCEEFF"/>
            </w:tcBorders>
          </w:tcPr>
          <w:p>
            <w:pPr>
              <w:spacing w:after="0"/>
              <w:rPr>
                <w:sz w:val="20"/>
                <w:szCs w:val="20"/>
                <w:color w:val="auto"/>
              </w:rPr>
            </w:pPr>
          </w:p>
        </w:tc>
        <w:tc>
          <w:tcPr>
            <w:tcW w:w="5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60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540" w:type="dxa"/>
            <w:vAlign w:val="bottom"/>
            <w:tcBorders>
              <w:bottom w:val="single" w:sz="8" w:color="CCEEFF"/>
            </w:tcBorders>
          </w:tcPr>
          <w:p>
            <w:pPr>
              <w:spacing w:after="0"/>
              <w:rPr>
                <w:sz w:val="20"/>
                <w:szCs w:val="20"/>
                <w:color w:val="auto"/>
              </w:rPr>
            </w:pPr>
          </w:p>
        </w:tc>
        <w:tc>
          <w:tcPr>
            <w:tcW w:w="150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50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580" w:type="dxa"/>
            <w:vAlign w:val="bottom"/>
            <w:tcBorders>
              <w:bottom w:val="single" w:sz="8" w:color="CCEEFF"/>
            </w:tcBorders>
          </w:tcPr>
          <w:p>
            <w:pPr>
              <w:spacing w:after="0"/>
              <w:rPr>
                <w:sz w:val="20"/>
                <w:szCs w:val="20"/>
                <w:color w:val="auto"/>
              </w:rPr>
            </w:pPr>
          </w:p>
        </w:tc>
        <w:tc>
          <w:tcPr>
            <w:tcW w:w="66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294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Page</w:t>
            </w:r>
          </w:p>
        </w:tc>
      </w:tr>
      <w:tr>
        <w:trPr>
          <w:trHeight w:val="378"/>
        </w:trPr>
        <w:tc>
          <w:tcPr>
            <w:tcW w:w="20" w:type="dxa"/>
            <w:vAlign w:val="bottom"/>
            <w:tcBorders>
              <w:bottom w:val="single" w:sz="8" w:color="CCEEFF"/>
            </w:tcBorders>
            <w:shd w:val="clear" w:color="auto" w:fill="CCEEFF"/>
          </w:tcPr>
          <w:p>
            <w:pPr>
              <w:spacing w:after="0"/>
              <w:rPr>
                <w:sz w:val="24"/>
                <w:szCs w:val="24"/>
                <w:color w:val="auto"/>
              </w:rPr>
            </w:pPr>
          </w:p>
        </w:tc>
        <w:tc>
          <w:tcPr>
            <w:tcW w:w="2320" w:type="dxa"/>
            <w:vAlign w:val="bottom"/>
            <w:tcBorders>
              <w:bottom w:val="single" w:sz="8" w:color="0000FF"/>
            </w:tcBorders>
            <w:gridSpan w:val="8"/>
            <w:shd w:val="clear" w:color="auto" w:fill="CCEEFF"/>
          </w:tcPr>
          <w:p>
            <w:pPr>
              <w:spacing w:after="0"/>
              <w:rPr>
                <w:sz w:val="20"/>
                <w:szCs w:val="20"/>
                <w:color w:val="auto"/>
              </w:rPr>
            </w:pPr>
            <w:r>
              <w:rPr>
                <w:rFonts w:ascii="Arial" w:cs="Arial" w:eastAsia="Arial" w:hAnsi="Arial"/>
                <w:sz w:val="18"/>
                <w:szCs w:val="18"/>
                <w:b w:val="1"/>
                <w:bCs w:val="1"/>
                <w:color w:val="0000FF"/>
                <w:w w:val="94"/>
              </w:rPr>
              <w:t>Part I - Financial Information</w:t>
            </w:r>
          </w:p>
        </w:tc>
        <w:tc>
          <w:tcPr>
            <w:tcW w:w="8080" w:type="dxa"/>
            <w:vAlign w:val="bottom"/>
            <w:tcBorders>
              <w:bottom w:val="single" w:sz="8" w:color="CCEEFF"/>
            </w:tcBorders>
            <w:gridSpan w:val="12"/>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189"/>
        </w:trPr>
        <w:tc>
          <w:tcPr>
            <w:tcW w:w="20" w:type="dxa"/>
            <w:vAlign w:val="bottom"/>
          </w:tcPr>
          <w:p>
            <w:pPr>
              <w:spacing w:after="0"/>
              <w:rPr>
                <w:sz w:val="16"/>
                <w:szCs w:val="16"/>
                <w:color w:val="auto"/>
              </w:rPr>
            </w:pPr>
          </w:p>
        </w:tc>
        <w:tc>
          <w:tcPr>
            <w:tcW w:w="1000" w:type="dxa"/>
            <w:vAlign w:val="bottom"/>
            <w:gridSpan w:val="4"/>
          </w:tcPr>
          <w:p>
            <w:pPr>
              <w:spacing w:after="0" w:line="189" w:lineRule="exact"/>
              <w:rPr>
                <w:sz w:val="20"/>
                <w:szCs w:val="20"/>
                <w:color w:val="auto"/>
              </w:rPr>
            </w:pPr>
            <w:r>
              <w:rPr>
                <w:rFonts w:ascii="Arial" w:cs="Arial" w:eastAsia="Arial" w:hAnsi="Arial"/>
                <w:sz w:val="18"/>
                <w:szCs w:val="18"/>
                <w:color w:val="0000FF"/>
              </w:rPr>
              <w:t>Item 1.</w:t>
            </w:r>
          </w:p>
        </w:tc>
        <w:tc>
          <w:tcPr>
            <w:tcW w:w="9400" w:type="dxa"/>
            <w:vAlign w:val="bottom"/>
            <w:gridSpan w:val="16"/>
          </w:tcPr>
          <w:p>
            <w:pPr>
              <w:spacing w:after="0" w:line="189" w:lineRule="exact"/>
              <w:rPr>
                <w:sz w:val="20"/>
                <w:szCs w:val="20"/>
                <w:color w:val="auto"/>
              </w:rPr>
            </w:pPr>
            <w:r>
              <w:rPr>
                <w:rFonts w:ascii="Arial" w:cs="Arial" w:eastAsia="Arial" w:hAnsi="Arial"/>
                <w:sz w:val="18"/>
                <w:szCs w:val="18"/>
                <w:color w:val="0000FF"/>
              </w:rPr>
              <w:t>Financial Statements of Arhaus, Inc. and Subsidiaries</w:t>
            </w: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2</w:t>
            </w:r>
          </w:p>
        </w:tc>
      </w:tr>
      <w:tr>
        <w:trPr>
          <w:trHeight w:val="20"/>
        </w:trPr>
        <w:tc>
          <w:tcPr>
            <w:tcW w:w="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5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3820" w:type="dxa"/>
            <w:vAlign w:val="bottom"/>
            <w:tcBorders>
              <w:bottom w:val="single" w:sz="8" w:color="0000FF"/>
            </w:tcBorders>
            <w:gridSpan w:val="8"/>
            <w:shd w:val="clear" w:color="auto" w:fill="CCEEFF"/>
          </w:tcPr>
          <w:p>
            <w:pPr>
              <w:spacing w:after="0" w:line="189" w:lineRule="exact"/>
              <w:rPr>
                <w:sz w:val="20"/>
                <w:szCs w:val="20"/>
                <w:color w:val="auto"/>
              </w:rPr>
            </w:pPr>
            <w:r>
              <w:rPr>
                <w:rFonts w:ascii="Arial" w:cs="Arial" w:eastAsia="Arial" w:hAnsi="Arial"/>
                <w:sz w:val="18"/>
                <w:szCs w:val="18"/>
                <w:color w:val="0000FF"/>
                <w:w w:val="88"/>
              </w:rPr>
              <w:t>Condensed Consolidated Balance Sheets (unaudited)</w:t>
            </w:r>
          </w:p>
        </w:tc>
        <w:tc>
          <w:tcPr>
            <w:tcW w:w="5580" w:type="dxa"/>
            <w:vAlign w:val="bottom"/>
            <w:tcBorders>
              <w:bottom w:val="single" w:sz="8" w:color="CCEEFF"/>
            </w:tcBorders>
            <w:gridSpan w:val="8"/>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w:t>
            </w:r>
          </w:p>
        </w:tc>
      </w:tr>
      <w:tr>
        <w:trPr>
          <w:trHeight w:val="189"/>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0" w:type="dxa"/>
            <w:vAlign w:val="bottom"/>
            <w:gridSpan w:val="16"/>
          </w:tcPr>
          <w:p>
            <w:pPr>
              <w:spacing w:after="0" w:line="189" w:lineRule="exact"/>
              <w:rPr>
                <w:sz w:val="20"/>
                <w:szCs w:val="20"/>
                <w:color w:val="auto"/>
              </w:rPr>
            </w:pPr>
            <w:r>
              <w:rPr>
                <w:rFonts w:ascii="Arial" w:cs="Arial" w:eastAsia="Arial" w:hAnsi="Arial"/>
                <w:sz w:val="18"/>
                <w:szCs w:val="18"/>
                <w:color w:val="0000FF"/>
              </w:rPr>
              <w:t>Condensed Consolidated Statements of Comprehensive Income (unaudited)</w:t>
            </w: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3</w:t>
            </w:r>
          </w:p>
        </w:tc>
      </w:tr>
      <w:tr>
        <w:trPr>
          <w:trHeight w:val="21"/>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5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0" w:type="dxa"/>
            <w:vAlign w:val="bottom"/>
            <w:gridSpan w:val="16"/>
            <w:shd w:val="clear" w:color="auto" w:fill="CCEEFF"/>
          </w:tcPr>
          <w:p>
            <w:pPr>
              <w:spacing w:after="0" w:line="189" w:lineRule="exact"/>
              <w:rPr>
                <w:sz w:val="20"/>
                <w:szCs w:val="20"/>
                <w:color w:val="auto"/>
              </w:rPr>
            </w:pPr>
            <w:r>
              <w:rPr>
                <w:rFonts w:ascii="Arial" w:cs="Arial" w:eastAsia="Arial" w:hAnsi="Arial"/>
                <w:sz w:val="18"/>
                <w:szCs w:val="18"/>
                <w:color w:val="0000FF"/>
              </w:rPr>
              <w:t>Condensed Consolidated Statements of Changes in Stockholders’ Equity (unaudited)</w:t>
            </w: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w:t>
            </w:r>
          </w:p>
        </w:tc>
      </w:tr>
      <w:tr>
        <w:trPr>
          <w:trHeight w:val="189"/>
        </w:trPr>
        <w:tc>
          <w:tcPr>
            <w:tcW w:w="20" w:type="dxa"/>
            <w:vAlign w:val="bottom"/>
            <w:tcBorders>
              <w:top w:val="single" w:sz="8" w:color="CCEEFF"/>
            </w:tcBorders>
          </w:tcPr>
          <w:p>
            <w:pPr>
              <w:spacing w:after="0"/>
              <w:rPr>
                <w:sz w:val="16"/>
                <w:szCs w:val="16"/>
                <w:color w:val="auto"/>
              </w:rPr>
            </w:pPr>
          </w:p>
        </w:tc>
        <w:tc>
          <w:tcPr>
            <w:tcW w:w="5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6120" w:type="dxa"/>
            <w:vAlign w:val="bottom"/>
            <w:tcBorders>
              <w:top w:val="single" w:sz="8" w:color="0000FF"/>
            </w:tcBorders>
            <w:gridSpan w:val="14"/>
          </w:tcPr>
          <w:p>
            <w:pPr>
              <w:spacing w:after="0" w:line="189" w:lineRule="exact"/>
              <w:rPr>
                <w:sz w:val="20"/>
                <w:szCs w:val="20"/>
                <w:color w:val="auto"/>
              </w:rPr>
            </w:pPr>
            <w:r>
              <w:rPr>
                <w:rFonts w:ascii="Arial" w:cs="Arial" w:eastAsia="Arial" w:hAnsi="Arial"/>
                <w:sz w:val="18"/>
                <w:szCs w:val="18"/>
                <w:color w:val="0000FF"/>
              </w:rPr>
              <w:t>Condensed Consolidated Statements of Cash Flows (unaudited)</w:t>
            </w:r>
          </w:p>
        </w:tc>
        <w:tc>
          <w:tcPr>
            <w:tcW w:w="3280" w:type="dxa"/>
            <w:vAlign w:val="bottom"/>
            <w:tcBorders>
              <w:top w:val="single" w:sz="8" w:color="CCEEFF"/>
            </w:tcBorders>
            <w:gridSpan w:val="2"/>
          </w:tcPr>
          <w:p>
            <w:pPr>
              <w:spacing w:after="0"/>
              <w:rPr>
                <w:sz w:val="16"/>
                <w:szCs w:val="16"/>
                <w:color w:val="auto"/>
              </w:rPr>
            </w:pPr>
          </w:p>
        </w:tc>
        <w:tc>
          <w:tcPr>
            <w:tcW w:w="820" w:type="dxa"/>
            <w:vAlign w:val="bottom"/>
            <w:tcBorders>
              <w:top w:val="single" w:sz="8" w:color="CCEEFF"/>
            </w:tcBorders>
          </w:tcPr>
          <w:p>
            <w:pPr>
              <w:jc w:val="right"/>
              <w:spacing w:after="0" w:line="189" w:lineRule="exact"/>
              <w:rPr>
                <w:sz w:val="20"/>
                <w:szCs w:val="20"/>
                <w:color w:val="auto"/>
              </w:rPr>
            </w:pPr>
            <w:r>
              <w:rPr>
                <w:rFonts w:ascii="Arial" w:cs="Arial" w:eastAsia="Arial" w:hAnsi="Arial"/>
                <w:sz w:val="18"/>
                <w:szCs w:val="18"/>
                <w:color w:val="auto"/>
              </w:rPr>
              <w:t>6</w:t>
            </w:r>
          </w:p>
        </w:tc>
      </w:tr>
      <w:tr>
        <w:trPr>
          <w:trHeight w:val="21"/>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5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4880" w:type="dxa"/>
            <w:vAlign w:val="bottom"/>
            <w:tcBorders>
              <w:bottom w:val="single" w:sz="8" w:color="0000FF"/>
            </w:tcBorders>
            <w:gridSpan w:val="12"/>
            <w:shd w:val="clear" w:color="auto" w:fill="CCEEFF"/>
          </w:tcPr>
          <w:p>
            <w:pPr>
              <w:spacing w:after="0" w:line="189" w:lineRule="exact"/>
              <w:rPr>
                <w:sz w:val="20"/>
                <w:szCs w:val="20"/>
                <w:color w:val="auto"/>
              </w:rPr>
            </w:pPr>
            <w:r>
              <w:rPr>
                <w:rFonts w:ascii="Arial" w:cs="Arial" w:eastAsia="Arial" w:hAnsi="Arial"/>
                <w:sz w:val="18"/>
                <w:szCs w:val="18"/>
                <w:color w:val="0000FF"/>
                <w:w w:val="89"/>
              </w:rPr>
              <w:t>Notes to Condensed Consolidated Financial Statements (unaudited)</w:t>
            </w:r>
          </w:p>
        </w:tc>
        <w:tc>
          <w:tcPr>
            <w:tcW w:w="4520" w:type="dxa"/>
            <w:vAlign w:val="bottom"/>
            <w:tcBorders>
              <w:bottom w:val="single" w:sz="8" w:color="CCEEFF"/>
            </w:tcBorders>
            <w:gridSpan w:val="4"/>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8</w:t>
            </w:r>
          </w:p>
        </w:tc>
      </w:tr>
      <w:tr>
        <w:trPr>
          <w:trHeight w:val="189"/>
        </w:trPr>
        <w:tc>
          <w:tcPr>
            <w:tcW w:w="20" w:type="dxa"/>
            <w:vAlign w:val="bottom"/>
          </w:tcPr>
          <w:p>
            <w:pPr>
              <w:spacing w:after="0"/>
              <w:rPr>
                <w:sz w:val="16"/>
                <w:szCs w:val="16"/>
                <w:color w:val="auto"/>
              </w:rPr>
            </w:pPr>
          </w:p>
        </w:tc>
        <w:tc>
          <w:tcPr>
            <w:tcW w:w="1000" w:type="dxa"/>
            <w:vAlign w:val="bottom"/>
            <w:gridSpan w:val="4"/>
          </w:tcPr>
          <w:p>
            <w:pPr>
              <w:spacing w:after="0" w:line="189" w:lineRule="exact"/>
              <w:rPr>
                <w:sz w:val="20"/>
                <w:szCs w:val="20"/>
                <w:color w:val="auto"/>
              </w:rPr>
            </w:pPr>
            <w:r>
              <w:rPr>
                <w:rFonts w:ascii="Arial" w:cs="Arial" w:eastAsia="Arial" w:hAnsi="Arial"/>
                <w:sz w:val="18"/>
                <w:szCs w:val="18"/>
                <w:color w:val="0000FF"/>
              </w:rPr>
              <w:t>Item 2.</w:t>
            </w:r>
          </w:p>
        </w:tc>
        <w:tc>
          <w:tcPr>
            <w:tcW w:w="9400" w:type="dxa"/>
            <w:vAlign w:val="bottom"/>
            <w:gridSpan w:val="16"/>
          </w:tcPr>
          <w:p>
            <w:pPr>
              <w:spacing w:after="0" w:line="189" w:lineRule="exact"/>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19</w:t>
            </w:r>
          </w:p>
        </w:tc>
      </w:tr>
      <w:tr>
        <w:trPr>
          <w:trHeight w:val="21"/>
        </w:trPr>
        <w:tc>
          <w:tcPr>
            <w:tcW w:w="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5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line="189" w:lineRule="exact"/>
              <w:rPr>
                <w:sz w:val="20"/>
                <w:szCs w:val="20"/>
                <w:color w:val="auto"/>
              </w:rPr>
            </w:pPr>
            <w:r>
              <w:rPr>
                <w:rFonts w:ascii="Arial" w:cs="Arial" w:eastAsia="Arial" w:hAnsi="Arial"/>
                <w:sz w:val="18"/>
                <w:szCs w:val="18"/>
                <w:color w:val="0000FF"/>
                <w:w w:val="90"/>
              </w:rPr>
              <w:t>Item 3.</w:t>
            </w:r>
          </w:p>
        </w:tc>
        <w:tc>
          <w:tcPr>
            <w:tcW w:w="480" w:type="dxa"/>
            <w:vAlign w:val="bottom"/>
            <w:gridSpan w:val="3"/>
            <w:shd w:val="clear" w:color="auto" w:fill="CCEEFF"/>
          </w:tcPr>
          <w:p>
            <w:pPr>
              <w:spacing w:after="0"/>
              <w:rPr>
                <w:sz w:val="18"/>
                <w:szCs w:val="18"/>
                <w:color w:val="auto"/>
              </w:rPr>
            </w:pPr>
          </w:p>
        </w:tc>
        <w:tc>
          <w:tcPr>
            <w:tcW w:w="9400" w:type="dxa"/>
            <w:vAlign w:val="bottom"/>
            <w:gridSpan w:val="16"/>
            <w:shd w:val="clear" w:color="auto" w:fill="CCEEFF"/>
          </w:tcPr>
          <w:p>
            <w:pPr>
              <w:spacing w:after="0" w:line="189" w:lineRule="exact"/>
              <w:rPr>
                <w:sz w:val="20"/>
                <w:szCs w:val="20"/>
                <w:color w:val="auto"/>
              </w:rPr>
            </w:pPr>
            <w:r>
              <w:rPr>
                <w:rFonts w:ascii="Arial" w:cs="Arial" w:eastAsia="Arial" w:hAnsi="Arial"/>
                <w:sz w:val="18"/>
                <w:szCs w:val="18"/>
                <w:color w:val="0000FF"/>
              </w:rPr>
              <w:t>Quantitative and Qualitative Disclosures About Market Risk</w:t>
            </w: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27</w:t>
            </w:r>
          </w:p>
        </w:tc>
      </w:tr>
      <w:tr>
        <w:trPr>
          <w:trHeight w:val="189"/>
        </w:trPr>
        <w:tc>
          <w:tcPr>
            <w:tcW w:w="20" w:type="dxa"/>
            <w:vAlign w:val="bottom"/>
            <w:tcBorders>
              <w:top w:val="single" w:sz="8" w:color="CCEEFF"/>
            </w:tcBorders>
          </w:tcPr>
          <w:p>
            <w:pPr>
              <w:spacing w:after="0"/>
              <w:rPr>
                <w:sz w:val="16"/>
                <w:szCs w:val="16"/>
                <w:color w:val="auto"/>
              </w:rPr>
            </w:pPr>
          </w:p>
        </w:tc>
        <w:tc>
          <w:tcPr>
            <w:tcW w:w="520" w:type="dxa"/>
            <w:vAlign w:val="bottom"/>
            <w:tcBorders>
              <w:top w:val="single" w:sz="8" w:color="0000FF"/>
            </w:tcBorders>
          </w:tcPr>
          <w:p>
            <w:pPr>
              <w:spacing w:after="0" w:line="189" w:lineRule="exact"/>
              <w:rPr>
                <w:sz w:val="20"/>
                <w:szCs w:val="20"/>
                <w:color w:val="auto"/>
              </w:rPr>
            </w:pPr>
            <w:r>
              <w:rPr>
                <w:rFonts w:ascii="Arial" w:cs="Arial" w:eastAsia="Arial" w:hAnsi="Arial"/>
                <w:sz w:val="18"/>
                <w:szCs w:val="18"/>
                <w:color w:val="0000FF"/>
                <w:w w:val="90"/>
              </w:rPr>
              <w:t>Item 4.</w:t>
            </w:r>
          </w:p>
        </w:tc>
        <w:tc>
          <w:tcPr>
            <w:tcW w:w="480" w:type="dxa"/>
            <w:vAlign w:val="bottom"/>
            <w:tcBorders>
              <w:top w:val="single" w:sz="8" w:color="CCEEFF"/>
            </w:tcBorders>
            <w:gridSpan w:val="3"/>
          </w:tcPr>
          <w:p>
            <w:pPr>
              <w:spacing w:after="0"/>
              <w:rPr>
                <w:sz w:val="16"/>
                <w:szCs w:val="16"/>
                <w:color w:val="auto"/>
              </w:rPr>
            </w:pPr>
          </w:p>
        </w:tc>
        <w:tc>
          <w:tcPr>
            <w:tcW w:w="4360" w:type="dxa"/>
            <w:vAlign w:val="bottom"/>
            <w:tcBorders>
              <w:top w:val="single" w:sz="8" w:color="0000FF"/>
            </w:tcBorders>
            <w:gridSpan w:val="10"/>
          </w:tcPr>
          <w:p>
            <w:pPr>
              <w:spacing w:after="0" w:line="189" w:lineRule="exact"/>
              <w:rPr>
                <w:sz w:val="20"/>
                <w:szCs w:val="20"/>
                <w:color w:val="auto"/>
              </w:rPr>
            </w:pPr>
            <w:r>
              <w:rPr>
                <w:rFonts w:ascii="Arial" w:cs="Arial" w:eastAsia="Arial" w:hAnsi="Arial"/>
                <w:sz w:val="18"/>
                <w:szCs w:val="18"/>
                <w:color w:val="0000FF"/>
              </w:rPr>
              <w:t>Controls and Procedures</w:t>
            </w:r>
          </w:p>
        </w:tc>
        <w:tc>
          <w:tcPr>
            <w:tcW w:w="5040" w:type="dxa"/>
            <w:vAlign w:val="bottom"/>
            <w:tcBorders>
              <w:top w:val="single" w:sz="8" w:color="CCEEFF"/>
            </w:tcBorders>
            <w:gridSpan w:val="6"/>
          </w:tcPr>
          <w:p>
            <w:pPr>
              <w:spacing w:after="0"/>
              <w:rPr>
                <w:sz w:val="16"/>
                <w:szCs w:val="16"/>
                <w:color w:val="auto"/>
              </w:rPr>
            </w:pPr>
          </w:p>
        </w:tc>
        <w:tc>
          <w:tcPr>
            <w:tcW w:w="820" w:type="dxa"/>
            <w:vAlign w:val="bottom"/>
            <w:tcBorders>
              <w:top w:val="single" w:sz="8" w:color="CCEEFF"/>
            </w:tcBorders>
          </w:tcPr>
          <w:p>
            <w:pPr>
              <w:jc w:val="right"/>
              <w:spacing w:after="0" w:line="189" w:lineRule="exact"/>
              <w:rPr>
                <w:sz w:val="20"/>
                <w:szCs w:val="20"/>
                <w:color w:val="auto"/>
              </w:rPr>
            </w:pPr>
            <w:r>
              <w:rPr>
                <w:rFonts w:ascii="Arial" w:cs="Arial" w:eastAsia="Arial" w:hAnsi="Arial"/>
                <w:sz w:val="18"/>
                <w:szCs w:val="18"/>
                <w:color w:val="auto"/>
              </w:rPr>
              <w:t>28</w:t>
            </w:r>
          </w:p>
        </w:tc>
      </w:tr>
      <w:tr>
        <w:trPr>
          <w:trHeight w:val="20"/>
        </w:trPr>
        <w:tc>
          <w:tcPr>
            <w:tcW w:w="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400" w:type="dxa"/>
            <w:vAlign w:val="bottom"/>
            <w:gridSpan w:val="20"/>
            <w:shd w:val="clear" w:color="auto" w:fill="CCEEFF"/>
          </w:tcPr>
          <w:p>
            <w:pPr>
              <w:spacing w:after="0" w:line="189" w:lineRule="exact"/>
              <w:rPr>
                <w:sz w:val="20"/>
                <w:szCs w:val="20"/>
                <w:color w:val="auto"/>
              </w:rPr>
            </w:pPr>
            <w:r>
              <w:rPr>
                <w:rFonts w:ascii="Arial" w:cs="Arial" w:eastAsia="Arial" w:hAnsi="Arial"/>
                <w:sz w:val="18"/>
                <w:szCs w:val="18"/>
                <w:b w:val="1"/>
                <w:bCs w:val="1"/>
                <w:color w:val="0000FF"/>
              </w:rPr>
              <w:t>Part II. Other Information</w:t>
            </w: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31</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9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00" w:type="dxa"/>
            <w:vAlign w:val="bottom"/>
            <w:gridSpan w:val="4"/>
          </w:tcPr>
          <w:p>
            <w:pPr>
              <w:spacing w:after="0" w:line="189" w:lineRule="exact"/>
              <w:rPr>
                <w:sz w:val="20"/>
                <w:szCs w:val="20"/>
                <w:color w:val="auto"/>
              </w:rPr>
            </w:pPr>
            <w:r>
              <w:rPr>
                <w:rFonts w:ascii="Arial" w:cs="Arial" w:eastAsia="Arial" w:hAnsi="Arial"/>
                <w:sz w:val="18"/>
                <w:szCs w:val="18"/>
                <w:color w:val="0000FF"/>
              </w:rPr>
              <w:t>Item 1.</w:t>
            </w:r>
          </w:p>
        </w:tc>
        <w:tc>
          <w:tcPr>
            <w:tcW w:w="9400" w:type="dxa"/>
            <w:vAlign w:val="bottom"/>
            <w:gridSpan w:val="16"/>
          </w:tcPr>
          <w:p>
            <w:pPr>
              <w:spacing w:after="0" w:line="189" w:lineRule="exact"/>
              <w:rPr>
                <w:sz w:val="20"/>
                <w:szCs w:val="20"/>
                <w:color w:val="auto"/>
              </w:rPr>
            </w:pPr>
            <w:r>
              <w:rPr>
                <w:rFonts w:ascii="Arial" w:cs="Arial" w:eastAsia="Arial" w:hAnsi="Arial"/>
                <w:sz w:val="18"/>
                <w:szCs w:val="18"/>
                <w:color w:val="0000FF"/>
              </w:rPr>
              <w:t>Legal Proceedings</w:t>
            </w: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31</w:t>
            </w:r>
          </w:p>
        </w:tc>
      </w:tr>
      <w:tr>
        <w:trPr>
          <w:trHeight w:val="20"/>
        </w:trPr>
        <w:tc>
          <w:tcPr>
            <w:tcW w:w="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00" w:type="dxa"/>
            <w:vAlign w:val="bottom"/>
            <w:gridSpan w:val="4"/>
            <w:shd w:val="clear" w:color="auto" w:fill="CCEEFF"/>
          </w:tcPr>
          <w:p>
            <w:pPr>
              <w:spacing w:after="0" w:line="189" w:lineRule="exact"/>
              <w:rPr>
                <w:sz w:val="20"/>
                <w:szCs w:val="20"/>
                <w:color w:val="auto"/>
              </w:rPr>
            </w:pPr>
            <w:r>
              <w:rPr>
                <w:rFonts w:ascii="Arial" w:cs="Arial" w:eastAsia="Arial" w:hAnsi="Arial"/>
                <w:sz w:val="18"/>
                <w:szCs w:val="18"/>
                <w:color w:val="0000FF"/>
              </w:rPr>
              <w:t>Item 1A.</w:t>
            </w:r>
          </w:p>
        </w:tc>
        <w:tc>
          <w:tcPr>
            <w:tcW w:w="9400" w:type="dxa"/>
            <w:vAlign w:val="bottom"/>
            <w:gridSpan w:val="16"/>
            <w:shd w:val="clear" w:color="auto" w:fill="CCEEFF"/>
          </w:tcPr>
          <w:p>
            <w:pPr>
              <w:spacing w:after="0" w:line="189" w:lineRule="exact"/>
              <w:rPr>
                <w:sz w:val="20"/>
                <w:szCs w:val="20"/>
                <w:color w:val="auto"/>
              </w:rPr>
            </w:pPr>
            <w:r>
              <w:rPr>
                <w:rFonts w:ascii="Arial" w:cs="Arial" w:eastAsia="Arial" w:hAnsi="Arial"/>
                <w:sz w:val="18"/>
                <w:szCs w:val="18"/>
                <w:color w:val="0000FF"/>
              </w:rPr>
              <w:t>Risk Factors</w:t>
            </w: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31</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9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640" w:type="dxa"/>
            <w:vAlign w:val="bottom"/>
            <w:gridSpan w:val="2"/>
          </w:tcPr>
          <w:p>
            <w:pPr>
              <w:spacing w:after="0" w:line="189" w:lineRule="exact"/>
              <w:rPr>
                <w:sz w:val="20"/>
                <w:szCs w:val="20"/>
                <w:color w:val="auto"/>
              </w:rPr>
            </w:pPr>
            <w:r>
              <w:rPr>
                <w:rFonts w:ascii="Arial" w:cs="Arial" w:eastAsia="Arial" w:hAnsi="Arial"/>
                <w:sz w:val="18"/>
                <w:szCs w:val="18"/>
                <w:color w:val="0000FF"/>
              </w:rPr>
              <w:t>Item 2.</w:t>
            </w:r>
          </w:p>
        </w:tc>
        <w:tc>
          <w:tcPr>
            <w:tcW w:w="360" w:type="dxa"/>
            <w:vAlign w:val="bottom"/>
            <w:gridSpan w:val="2"/>
          </w:tcPr>
          <w:p>
            <w:pPr>
              <w:spacing w:after="0"/>
              <w:rPr>
                <w:sz w:val="16"/>
                <w:szCs w:val="16"/>
                <w:color w:val="auto"/>
              </w:rPr>
            </w:pPr>
          </w:p>
        </w:tc>
        <w:tc>
          <w:tcPr>
            <w:tcW w:w="9400" w:type="dxa"/>
            <w:vAlign w:val="bottom"/>
            <w:gridSpan w:val="16"/>
          </w:tcPr>
          <w:p>
            <w:pPr>
              <w:spacing w:after="0" w:line="189" w:lineRule="exact"/>
              <w:rPr>
                <w:sz w:val="20"/>
                <w:szCs w:val="20"/>
                <w:color w:val="auto"/>
              </w:rPr>
            </w:pPr>
            <w:r>
              <w:rPr>
                <w:rFonts w:ascii="Arial" w:cs="Arial" w:eastAsia="Arial" w:hAnsi="Arial"/>
                <w:sz w:val="18"/>
                <w:szCs w:val="18"/>
                <w:color w:val="0000FF"/>
              </w:rPr>
              <w:t>Unregistered Sales of Equity Securities and Use of Proceeds</w:t>
            </w: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31</w:t>
            </w:r>
          </w:p>
        </w:tc>
      </w:tr>
      <w:tr>
        <w:trPr>
          <w:trHeight w:val="21"/>
        </w:trPr>
        <w:tc>
          <w:tcPr>
            <w:tcW w:w="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5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line="189" w:lineRule="exact"/>
              <w:rPr>
                <w:sz w:val="20"/>
                <w:szCs w:val="20"/>
                <w:color w:val="auto"/>
              </w:rPr>
            </w:pPr>
            <w:r>
              <w:rPr>
                <w:rFonts w:ascii="Arial" w:cs="Arial" w:eastAsia="Arial" w:hAnsi="Arial"/>
                <w:sz w:val="18"/>
                <w:szCs w:val="18"/>
                <w:color w:val="0000FF"/>
                <w:w w:val="90"/>
              </w:rPr>
              <w:t>Item 3.</w:t>
            </w:r>
          </w:p>
        </w:tc>
        <w:tc>
          <w:tcPr>
            <w:tcW w:w="480" w:type="dxa"/>
            <w:vAlign w:val="bottom"/>
            <w:gridSpan w:val="3"/>
            <w:shd w:val="clear" w:color="auto" w:fill="CCEEFF"/>
          </w:tcPr>
          <w:p>
            <w:pPr>
              <w:spacing w:after="0"/>
              <w:rPr>
                <w:sz w:val="18"/>
                <w:szCs w:val="18"/>
                <w:color w:val="auto"/>
              </w:rPr>
            </w:pPr>
          </w:p>
        </w:tc>
        <w:tc>
          <w:tcPr>
            <w:tcW w:w="9400" w:type="dxa"/>
            <w:vAlign w:val="bottom"/>
            <w:gridSpan w:val="16"/>
            <w:shd w:val="clear" w:color="auto" w:fill="CCEEFF"/>
          </w:tcPr>
          <w:p>
            <w:pPr>
              <w:spacing w:after="0" w:line="189" w:lineRule="exact"/>
              <w:rPr>
                <w:sz w:val="20"/>
                <w:szCs w:val="20"/>
                <w:color w:val="auto"/>
              </w:rPr>
            </w:pPr>
            <w:r>
              <w:rPr>
                <w:rFonts w:ascii="Arial" w:cs="Arial" w:eastAsia="Arial" w:hAnsi="Arial"/>
                <w:sz w:val="18"/>
                <w:szCs w:val="18"/>
                <w:color w:val="0000FF"/>
              </w:rPr>
              <w:t>Defaults Upon Senior Securities</w:t>
            </w: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31</w:t>
            </w:r>
          </w:p>
        </w:tc>
      </w:tr>
      <w:tr>
        <w:trPr>
          <w:trHeight w:val="189"/>
        </w:trPr>
        <w:tc>
          <w:tcPr>
            <w:tcW w:w="20" w:type="dxa"/>
            <w:vAlign w:val="bottom"/>
            <w:tcBorders>
              <w:top w:val="single" w:sz="8" w:color="CCEEFF"/>
            </w:tcBorders>
          </w:tcPr>
          <w:p>
            <w:pPr>
              <w:spacing w:after="0"/>
              <w:rPr>
                <w:sz w:val="16"/>
                <w:szCs w:val="16"/>
                <w:color w:val="auto"/>
              </w:rPr>
            </w:pPr>
          </w:p>
        </w:tc>
        <w:tc>
          <w:tcPr>
            <w:tcW w:w="520" w:type="dxa"/>
            <w:vAlign w:val="bottom"/>
            <w:tcBorders>
              <w:top w:val="single" w:sz="8" w:color="0000FF"/>
            </w:tcBorders>
          </w:tcPr>
          <w:p>
            <w:pPr>
              <w:spacing w:after="0" w:line="189" w:lineRule="exact"/>
              <w:rPr>
                <w:sz w:val="20"/>
                <w:szCs w:val="20"/>
                <w:color w:val="auto"/>
              </w:rPr>
            </w:pPr>
            <w:r>
              <w:rPr>
                <w:rFonts w:ascii="Arial" w:cs="Arial" w:eastAsia="Arial" w:hAnsi="Arial"/>
                <w:sz w:val="18"/>
                <w:szCs w:val="18"/>
                <w:color w:val="0000FF"/>
                <w:w w:val="90"/>
              </w:rPr>
              <w:t>Item 4.</w:t>
            </w:r>
          </w:p>
        </w:tc>
        <w:tc>
          <w:tcPr>
            <w:tcW w:w="480" w:type="dxa"/>
            <w:vAlign w:val="bottom"/>
            <w:tcBorders>
              <w:top w:val="single" w:sz="8" w:color="CCEEFF"/>
            </w:tcBorders>
            <w:gridSpan w:val="3"/>
          </w:tcPr>
          <w:p>
            <w:pPr>
              <w:spacing w:after="0"/>
              <w:rPr>
                <w:sz w:val="16"/>
                <w:szCs w:val="16"/>
                <w:color w:val="auto"/>
              </w:rPr>
            </w:pPr>
          </w:p>
        </w:tc>
        <w:tc>
          <w:tcPr>
            <w:tcW w:w="2320" w:type="dxa"/>
            <w:vAlign w:val="bottom"/>
            <w:tcBorders>
              <w:top w:val="single" w:sz="8" w:color="0000FF"/>
            </w:tcBorders>
            <w:gridSpan w:val="7"/>
          </w:tcPr>
          <w:p>
            <w:pPr>
              <w:spacing w:after="0" w:line="189" w:lineRule="exact"/>
              <w:rPr>
                <w:sz w:val="20"/>
                <w:szCs w:val="20"/>
                <w:color w:val="auto"/>
              </w:rPr>
            </w:pPr>
            <w:r>
              <w:rPr>
                <w:rFonts w:ascii="Arial" w:cs="Arial" w:eastAsia="Arial" w:hAnsi="Arial"/>
                <w:sz w:val="18"/>
                <w:szCs w:val="18"/>
                <w:color w:val="0000FF"/>
              </w:rPr>
              <w:t>Mine Safety Disclosures</w:t>
            </w:r>
          </w:p>
        </w:tc>
        <w:tc>
          <w:tcPr>
            <w:tcW w:w="7080" w:type="dxa"/>
            <w:vAlign w:val="bottom"/>
            <w:tcBorders>
              <w:top w:val="single" w:sz="8" w:color="CCEEFF"/>
            </w:tcBorders>
            <w:gridSpan w:val="9"/>
          </w:tcPr>
          <w:p>
            <w:pPr>
              <w:spacing w:after="0"/>
              <w:rPr>
                <w:sz w:val="16"/>
                <w:szCs w:val="16"/>
                <w:color w:val="auto"/>
              </w:rPr>
            </w:pPr>
          </w:p>
        </w:tc>
        <w:tc>
          <w:tcPr>
            <w:tcW w:w="820" w:type="dxa"/>
            <w:vAlign w:val="bottom"/>
            <w:tcBorders>
              <w:top w:val="single" w:sz="8" w:color="CCEEFF"/>
            </w:tcBorders>
          </w:tcPr>
          <w:p>
            <w:pPr>
              <w:jc w:val="right"/>
              <w:spacing w:after="0" w:line="189" w:lineRule="exact"/>
              <w:rPr>
                <w:sz w:val="20"/>
                <w:szCs w:val="20"/>
                <w:color w:val="auto"/>
              </w:rPr>
            </w:pPr>
            <w:r>
              <w:rPr>
                <w:rFonts w:ascii="Arial" w:cs="Arial" w:eastAsia="Arial" w:hAnsi="Arial"/>
                <w:sz w:val="18"/>
                <w:szCs w:val="18"/>
                <w:color w:val="auto"/>
              </w:rPr>
              <w:t>31</w:t>
            </w:r>
          </w:p>
        </w:tc>
      </w:tr>
      <w:tr>
        <w:trPr>
          <w:trHeight w:val="21"/>
        </w:trPr>
        <w:tc>
          <w:tcPr>
            <w:tcW w:w="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0000FF"/>
            </w:tcBorders>
            <w:shd w:val="clear" w:color="auto" w:fill="CCEEFF"/>
          </w:tcPr>
          <w:p>
            <w:pPr>
              <w:spacing w:after="0" w:line="189" w:lineRule="exact"/>
              <w:rPr>
                <w:sz w:val="20"/>
                <w:szCs w:val="20"/>
                <w:color w:val="auto"/>
              </w:rPr>
            </w:pPr>
            <w:r>
              <w:rPr>
                <w:rFonts w:ascii="Arial" w:cs="Arial" w:eastAsia="Arial" w:hAnsi="Arial"/>
                <w:sz w:val="18"/>
                <w:szCs w:val="18"/>
                <w:color w:val="0000FF"/>
                <w:w w:val="90"/>
              </w:rPr>
              <w:t>Item 5.</w:t>
            </w:r>
          </w:p>
        </w:tc>
        <w:tc>
          <w:tcPr>
            <w:tcW w:w="480" w:type="dxa"/>
            <w:vAlign w:val="bottom"/>
            <w:tcBorders>
              <w:bottom w:val="single" w:sz="8" w:color="CCEEFF"/>
            </w:tcBorders>
            <w:gridSpan w:val="3"/>
            <w:shd w:val="clear" w:color="auto" w:fill="CCEEFF"/>
          </w:tcPr>
          <w:p>
            <w:pPr>
              <w:spacing w:after="0"/>
              <w:rPr>
                <w:sz w:val="18"/>
                <w:szCs w:val="18"/>
                <w:color w:val="auto"/>
              </w:rPr>
            </w:pPr>
          </w:p>
        </w:tc>
        <w:tc>
          <w:tcPr>
            <w:tcW w:w="1320" w:type="dxa"/>
            <w:vAlign w:val="bottom"/>
            <w:tcBorders>
              <w:bottom w:val="single" w:sz="8" w:color="0000FF"/>
            </w:tcBorders>
            <w:gridSpan w:val="4"/>
            <w:shd w:val="clear" w:color="auto" w:fill="CCEEFF"/>
          </w:tcPr>
          <w:p>
            <w:pPr>
              <w:spacing w:after="0" w:line="189" w:lineRule="exact"/>
              <w:rPr>
                <w:sz w:val="20"/>
                <w:szCs w:val="20"/>
                <w:color w:val="auto"/>
              </w:rPr>
            </w:pPr>
            <w:r>
              <w:rPr>
                <w:rFonts w:ascii="Arial" w:cs="Arial" w:eastAsia="Arial" w:hAnsi="Arial"/>
                <w:sz w:val="18"/>
                <w:szCs w:val="18"/>
                <w:color w:val="0000FF"/>
                <w:w w:val="92"/>
              </w:rPr>
              <w:t>Other Information</w:t>
            </w:r>
          </w:p>
        </w:tc>
        <w:tc>
          <w:tcPr>
            <w:tcW w:w="8080" w:type="dxa"/>
            <w:vAlign w:val="bottom"/>
            <w:tcBorders>
              <w:bottom w:val="single" w:sz="8" w:color="CCEEFF"/>
            </w:tcBorders>
            <w:gridSpan w:val="12"/>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31</w:t>
            </w:r>
          </w:p>
        </w:tc>
      </w:tr>
      <w:tr>
        <w:trPr>
          <w:trHeight w:val="189"/>
        </w:trPr>
        <w:tc>
          <w:tcPr>
            <w:tcW w:w="20" w:type="dxa"/>
            <w:vAlign w:val="bottom"/>
          </w:tcPr>
          <w:p>
            <w:pPr>
              <w:spacing w:after="0"/>
              <w:rPr>
                <w:sz w:val="16"/>
                <w:szCs w:val="16"/>
                <w:color w:val="auto"/>
              </w:rPr>
            </w:pPr>
          </w:p>
        </w:tc>
        <w:tc>
          <w:tcPr>
            <w:tcW w:w="1000" w:type="dxa"/>
            <w:vAlign w:val="bottom"/>
            <w:gridSpan w:val="4"/>
          </w:tcPr>
          <w:p>
            <w:pPr>
              <w:spacing w:after="0" w:line="189" w:lineRule="exact"/>
              <w:rPr>
                <w:sz w:val="20"/>
                <w:szCs w:val="20"/>
                <w:color w:val="auto"/>
              </w:rPr>
            </w:pPr>
            <w:r>
              <w:rPr>
                <w:rFonts w:ascii="Arial" w:cs="Arial" w:eastAsia="Arial" w:hAnsi="Arial"/>
                <w:sz w:val="18"/>
                <w:szCs w:val="18"/>
                <w:color w:val="0000FF"/>
              </w:rPr>
              <w:t>Item 6.</w:t>
            </w:r>
          </w:p>
        </w:tc>
        <w:tc>
          <w:tcPr>
            <w:tcW w:w="9400" w:type="dxa"/>
            <w:vAlign w:val="bottom"/>
            <w:gridSpan w:val="16"/>
          </w:tcPr>
          <w:p>
            <w:pPr>
              <w:spacing w:after="0" w:line="189" w:lineRule="exact"/>
              <w:rPr>
                <w:sz w:val="20"/>
                <w:szCs w:val="20"/>
                <w:color w:val="auto"/>
              </w:rPr>
            </w:pPr>
            <w:r>
              <w:rPr>
                <w:rFonts w:ascii="Arial" w:cs="Arial" w:eastAsia="Arial" w:hAnsi="Arial"/>
                <w:sz w:val="18"/>
                <w:szCs w:val="18"/>
                <w:color w:val="0000FF"/>
              </w:rPr>
              <w:t>Exhibits</w:t>
            </w: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32</w:t>
            </w:r>
          </w:p>
        </w:tc>
      </w:tr>
      <w:tr>
        <w:trPr>
          <w:trHeight w:val="20"/>
        </w:trPr>
        <w:tc>
          <w:tcPr>
            <w:tcW w:w="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00" w:type="dxa"/>
            <w:vAlign w:val="bottom"/>
            <w:gridSpan w:val="4"/>
            <w:shd w:val="clear" w:color="auto" w:fill="CCEEFF"/>
          </w:tcPr>
          <w:p>
            <w:pPr>
              <w:spacing w:after="0" w:line="189" w:lineRule="exact"/>
              <w:rPr>
                <w:sz w:val="20"/>
                <w:szCs w:val="20"/>
                <w:color w:val="auto"/>
              </w:rPr>
            </w:pPr>
            <w:r>
              <w:rPr>
                <w:rFonts w:ascii="Arial" w:cs="Arial" w:eastAsia="Arial" w:hAnsi="Arial"/>
                <w:sz w:val="18"/>
                <w:szCs w:val="18"/>
                <w:b w:val="1"/>
                <w:bCs w:val="1"/>
                <w:color w:val="0000FF"/>
              </w:rPr>
              <w:t>Signatures</w:t>
            </w:r>
          </w:p>
        </w:tc>
        <w:tc>
          <w:tcPr>
            <w:tcW w:w="6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9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33</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9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of Arhaus, Inc. and Subsidiaries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Arhaus, Inc. and Subsidiaries</w:t>
      </w:r>
    </w:p>
    <w:p>
      <w:pPr>
        <w:jc w:val="center"/>
        <w:spacing w:after="0" w:line="219" w:lineRule="auto"/>
        <w:rPr>
          <w:sz w:val="20"/>
          <w:szCs w:val="20"/>
          <w:color w:val="auto"/>
        </w:rPr>
      </w:pPr>
      <w:r>
        <w:rPr>
          <w:rFonts w:ascii="Arial" w:cs="Arial" w:eastAsia="Arial" w:hAnsi="Arial"/>
          <w:sz w:val="18"/>
          <w:szCs w:val="18"/>
          <w:b w:val="1"/>
          <w:bCs w:val="1"/>
          <w:color w:val="auto"/>
        </w:rPr>
        <w:t>Condensed Consolidated Balance Sheets</w:t>
      </w:r>
    </w:p>
    <w:p>
      <w:pPr>
        <w:jc w:val="center"/>
        <w:spacing w:after="0"/>
        <w:rPr>
          <w:sz w:val="20"/>
          <w:szCs w:val="20"/>
          <w:color w:val="auto"/>
        </w:rPr>
      </w:pPr>
      <w:r>
        <w:rPr>
          <w:rFonts w:ascii="Arial" w:cs="Arial" w:eastAsia="Arial" w:hAnsi="Arial"/>
          <w:sz w:val="18"/>
          <w:szCs w:val="18"/>
          <w:b w:val="1"/>
          <w:bCs w:val="1"/>
          <w:color w:val="auto"/>
        </w:rPr>
        <w:t>(Unaudited, amounts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gridSpan w:val="2"/>
          </w:tcPr>
          <w:p>
            <w:pPr>
              <w:ind w:left="100"/>
              <w:spacing w:after="0"/>
              <w:rPr>
                <w:sz w:val="20"/>
                <w:szCs w:val="20"/>
                <w:color w:val="auto"/>
              </w:rPr>
            </w:pPr>
            <w:r>
              <w:rPr>
                <w:rFonts w:ascii="Arial" w:cs="Arial" w:eastAsia="Arial" w:hAnsi="Arial"/>
                <w:sz w:val="18"/>
                <w:szCs w:val="18"/>
                <w:b w:val="1"/>
                <w:bCs w:val="1"/>
                <w:color w:val="auto"/>
              </w:rPr>
              <w:t>September 30,</w:t>
            </w:r>
          </w:p>
        </w:tc>
        <w:tc>
          <w:tcPr>
            <w:tcW w:w="220" w:type="dxa"/>
            <w:vAlign w:val="bottom"/>
          </w:tcPr>
          <w:p>
            <w:pPr>
              <w:spacing w:after="0"/>
              <w:rPr>
                <w:sz w:val="17"/>
                <w:szCs w:val="17"/>
                <w:color w:val="auto"/>
              </w:rPr>
            </w:pPr>
          </w:p>
        </w:tc>
        <w:tc>
          <w:tcPr>
            <w:tcW w:w="1500" w:type="dxa"/>
            <w:vAlign w:val="bottom"/>
          </w:tcPr>
          <w:p>
            <w:pPr>
              <w:jc w:val="right"/>
              <w:ind w:right="250"/>
              <w:spacing w:after="0"/>
              <w:rPr>
                <w:sz w:val="20"/>
                <w:szCs w:val="20"/>
                <w:color w:val="auto"/>
              </w:rPr>
            </w:pPr>
            <w:r>
              <w:rPr>
                <w:rFonts w:ascii="Arial" w:cs="Arial" w:eastAsia="Arial" w:hAnsi="Arial"/>
                <w:sz w:val="18"/>
                <w:szCs w:val="18"/>
                <w:b w:val="1"/>
                <w:bCs w:val="1"/>
                <w:color w:val="auto"/>
                <w:w w:val="97"/>
              </w:rPr>
              <w:t>December 31,</w:t>
            </w:r>
          </w:p>
        </w:tc>
      </w:tr>
      <w:tr>
        <w:trPr>
          <w:trHeight w:val="239"/>
        </w:trPr>
        <w:tc>
          <w:tcPr>
            <w:tcW w:w="76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r>
      <w:tr>
        <w:trPr>
          <w:trHeight w:val="214"/>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29"/>
        </w:trPr>
        <w:tc>
          <w:tcPr>
            <w:tcW w:w="76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Cash and cash equivalents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236,930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145,181</w:t>
            </w:r>
          </w:p>
        </w:tc>
      </w:tr>
      <w:tr>
        <w:trPr>
          <w:trHeight w:val="229"/>
        </w:trPr>
        <w:tc>
          <w:tcPr>
            <w:tcW w:w="7640" w:type="dxa"/>
            <w:vAlign w:val="bottom"/>
          </w:tcPr>
          <w:p>
            <w:pPr>
              <w:ind w:left="20"/>
              <w:spacing w:after="0"/>
              <w:rPr>
                <w:sz w:val="20"/>
                <w:szCs w:val="20"/>
                <w:color w:val="auto"/>
              </w:rPr>
            </w:pPr>
            <w:r>
              <w:rPr>
                <w:rFonts w:ascii="Arial" w:cs="Arial" w:eastAsia="Arial" w:hAnsi="Arial"/>
                <w:sz w:val="18"/>
                <w:szCs w:val="18"/>
                <w:color w:val="231F20"/>
              </w:rPr>
              <w:t>Restricted cash equivalents</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3,465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7,346</w:t>
            </w:r>
          </w:p>
        </w:tc>
      </w:tr>
      <w:tr>
        <w:trPr>
          <w:trHeight w:val="229"/>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Accounts receivable, net</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w:t>
            </w: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231F20"/>
              </w:rPr>
              <w:t>Merchandise inventory, net</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268,960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286,419</w:t>
            </w:r>
          </w:p>
        </w:tc>
      </w:tr>
      <w:tr>
        <w:trPr>
          <w:trHeight w:val="229"/>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Prepaid and other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63,140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37,371</w:t>
            </w:r>
          </w:p>
        </w:tc>
      </w:tr>
      <w:tr>
        <w:trPr>
          <w:trHeight w:val="237"/>
        </w:trPr>
        <w:tc>
          <w:tcPr>
            <w:tcW w:w="7640" w:type="dxa"/>
            <w:vAlign w:val="bottom"/>
          </w:tcPr>
          <w:p>
            <w:pPr>
              <w:ind w:left="360"/>
              <w:spacing w:after="0"/>
              <w:rPr>
                <w:sz w:val="20"/>
                <w:szCs w:val="20"/>
                <w:color w:val="auto"/>
              </w:rPr>
            </w:pPr>
            <w:r>
              <w:rPr>
                <w:rFonts w:ascii="Arial" w:cs="Arial" w:eastAsia="Arial" w:hAnsi="Arial"/>
                <w:sz w:val="18"/>
                <w:szCs w:val="18"/>
                <w:color w:val="231F20"/>
              </w:rPr>
              <w:t>Total current assets</w:t>
            </w:r>
          </w:p>
        </w:tc>
        <w:tc>
          <w:tcPr>
            <w:tcW w:w="2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574,457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478,051</w:t>
            </w:r>
          </w:p>
        </w:tc>
      </w:tr>
      <w:tr>
        <w:trPr>
          <w:trHeight w:val="229"/>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Operating right-of-use assets</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314,378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252,055</w:t>
            </w: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231F20"/>
              </w:rPr>
              <w:t>Financing right-of-use assets</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39,480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38,522</w:t>
            </w:r>
          </w:p>
        </w:tc>
      </w:tr>
      <w:tr>
        <w:trPr>
          <w:trHeight w:val="229"/>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Property, furniture and equipment, net</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135,066</w:t>
            </w: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231F20"/>
              </w:rPr>
              <w:t>Deferred tax asset</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16,585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16,841</w:t>
            </w:r>
          </w:p>
        </w:tc>
      </w:tr>
      <w:tr>
        <w:trPr>
          <w:trHeight w:val="229"/>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Goodwill</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10,961</w:t>
            </w:r>
          </w:p>
        </w:tc>
      </w:tr>
      <w:tr>
        <w:trPr>
          <w:trHeight w:val="229"/>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231F20"/>
              </w:rPr>
              <w:t>Other noncurrent assets</w:t>
            </w: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w:t>
            </w:r>
          </w:p>
        </w:tc>
      </w:tr>
      <w:tr>
        <w:trPr>
          <w:trHeight w:val="248"/>
        </w:trPr>
        <w:tc>
          <w:tcPr>
            <w:tcW w:w="76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231F20"/>
              </w:rPr>
              <w:t>Total assets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1,115,574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931,792</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540" w:right="339" w:bottom="1440" w:gutter="0" w:footer="0" w:header="0"/>
        </w:sectPr>
      </w:pPr>
    </w:p>
    <w:p>
      <w:pPr>
        <w:spacing w:after="0" w:line="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63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Current liabilities</w:t>
      </w:r>
    </w:p>
    <w:p>
      <w:pPr>
        <w:spacing w:after="0" w:line="23" w:lineRule="exact"/>
        <w:rPr>
          <w:sz w:val="20"/>
          <w:szCs w:val="20"/>
          <w:color w:val="auto"/>
        </w:rPr>
      </w:pPr>
    </w:p>
    <w:p>
      <w:pPr>
        <w:ind w:left="20"/>
        <w:spacing w:after="0"/>
        <w:tabs>
          <w:tab w:leader="none" w:pos="7640" w:val="left"/>
        </w:tabs>
        <w:rPr>
          <w:sz w:val="20"/>
          <w:szCs w:val="20"/>
          <w:color w:val="auto"/>
        </w:rPr>
      </w:pPr>
      <w:r>
        <w:rPr>
          <w:rFonts w:ascii="Arial" w:cs="Arial" w:eastAsia="Arial" w:hAnsi="Arial"/>
          <w:sz w:val="18"/>
          <w:szCs w:val="18"/>
          <w:color w:val="231F20"/>
        </w:rPr>
        <w:t>Accounts payable</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6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231F20"/>
        </w:rPr>
        <w:t>Accrued taxes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231F20"/>
        </w:rPr>
        <w:t>Accrued wages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231F20"/>
        </w:rPr>
        <w:t>Accrued other expenses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231F20"/>
        </w:rPr>
        <w:t>Client 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231F20"/>
        </w:rPr>
        <w:t>Current portion of operating lease liabilities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231F20"/>
        </w:rPr>
        <w:t>Current portion of financing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5" w:lineRule="exact"/>
        <w:rPr>
          <w:sz w:val="20"/>
          <w:szCs w:val="20"/>
          <w:color w:val="auto"/>
        </w:rPr>
      </w:pPr>
    </w:p>
    <w:p>
      <w:pPr>
        <w:ind w:left="360"/>
        <w:spacing w:after="0"/>
        <w:rPr>
          <w:sz w:val="20"/>
          <w:szCs w:val="20"/>
          <w:color w:val="auto"/>
        </w:rPr>
      </w:pPr>
      <w:r>
        <w:rPr>
          <w:rFonts w:ascii="Arial" w:cs="Arial" w:eastAsia="Arial" w:hAnsi="Arial"/>
          <w:sz w:val="18"/>
          <w:szCs w:val="18"/>
          <w:color w:val="231F20"/>
        </w:rPr>
        <w:t>Total current liabilities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Operating lease liabilities, long-term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Financing lease liabilities, long-term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231F20"/>
        </w:rPr>
        <w:t>Deferred rent and lease incentives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231F20"/>
        </w:rPr>
        <w:t>Other long-term liabilities</w:t>
      </w:r>
    </w:p>
    <w:p>
      <w:pPr>
        <w:spacing w:after="0" w:line="35" w:lineRule="exact"/>
        <w:rPr>
          <w:sz w:val="20"/>
          <w:szCs w:val="20"/>
          <w:color w:val="auto"/>
        </w:rPr>
      </w:pPr>
    </w:p>
    <w:p>
      <w:pPr>
        <w:ind w:left="360"/>
        <w:spacing w:after="0"/>
        <w:tabs>
          <w:tab w:leader="none" w:pos="7640" w:val="left"/>
        </w:tabs>
        <w:rPr>
          <w:sz w:val="20"/>
          <w:szCs w:val="20"/>
          <w:color w:val="auto"/>
        </w:rPr>
      </w:pPr>
      <w:r>
        <w:rPr>
          <w:rFonts w:ascii="Arial" w:cs="Arial" w:eastAsia="Arial" w:hAnsi="Arial"/>
          <w:sz w:val="18"/>
          <w:szCs w:val="18"/>
          <w:color w:val="231F20"/>
        </w:rPr>
        <w:t>Total liabilities</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231F20"/>
        </w:rPr>
        <w:t>Commitments and contingencies (Note 9)</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231F20"/>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right="800"/>
        <w:spacing w:after="0" w:line="245" w:lineRule="auto"/>
        <w:rPr>
          <w:sz w:val="20"/>
          <w:szCs w:val="20"/>
          <w:color w:val="auto"/>
        </w:rPr>
      </w:pPr>
      <w:r>
        <w:rPr>
          <w:rFonts w:ascii="Arial" w:cs="Arial" w:eastAsia="Arial" w:hAnsi="Arial"/>
          <w:sz w:val="15"/>
          <w:szCs w:val="15"/>
          <w:color w:val="auto"/>
        </w:rPr>
        <w:t>Class A shares, par value $0.001 per share (600,000,000 shares authorized, 52,749,450 issued and 52,666,334 outstanding and 51,437,348 shares issued and outstanding as of September 30, 2023 and</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December 31, 2022, respectively)</w:t>
      </w:r>
    </w:p>
    <w:p>
      <w:pPr>
        <w:spacing w:after="0" w:line="7" w:lineRule="exact"/>
        <w:rPr>
          <w:sz w:val="20"/>
          <w:szCs w:val="20"/>
          <w:color w:val="auto"/>
        </w:rPr>
      </w:pPr>
    </w:p>
    <w:p>
      <w:pPr>
        <w:ind w:left="20" w:right="480"/>
        <w:spacing w:after="0" w:line="226" w:lineRule="auto"/>
        <w:rPr>
          <w:sz w:val="20"/>
          <w:szCs w:val="20"/>
          <w:color w:val="auto"/>
        </w:rPr>
      </w:pPr>
      <w:r>
        <w:rPr>
          <w:rFonts w:ascii="Arial" w:cs="Arial" w:eastAsia="Arial" w:hAnsi="Arial"/>
          <w:sz w:val="18"/>
          <w:szCs w:val="18"/>
          <w:color w:val="auto"/>
        </w:rPr>
        <w:t>Class B shares, par value $0.001 per share (100,000,000 shares authorized, 87,115,600 shares issued and outstanding as of September 30, 2023 and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132320" cy="2571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231F20"/>
        </w:rPr>
        <w:t>Retained Earnings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231F20"/>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760" w:type="dxa"/>
            <w:vAlign w:val="bottom"/>
          </w:tcPr>
          <w:p>
            <w:pPr>
              <w:jc w:val="right"/>
              <w:ind w:right="90"/>
              <w:spacing w:after="0"/>
              <w:rPr>
                <w:sz w:val="20"/>
                <w:szCs w:val="20"/>
                <w:color w:val="auto"/>
              </w:rPr>
            </w:pPr>
            <w:r>
              <w:rPr>
                <w:rFonts w:ascii="Arial" w:cs="Arial" w:eastAsia="Arial" w:hAnsi="Arial"/>
                <w:sz w:val="18"/>
                <w:szCs w:val="18"/>
                <w:color w:val="auto"/>
              </w:rPr>
              <w:t>58,138</w:t>
            </w: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62,636</w:t>
            </w:r>
          </w:p>
        </w:tc>
      </w:tr>
      <w:tr>
        <w:trPr>
          <w:trHeight w:val="230"/>
        </w:trPr>
        <w:tc>
          <w:tcPr>
            <w:tcW w:w="760" w:type="dxa"/>
            <w:vAlign w:val="bottom"/>
          </w:tcPr>
          <w:p>
            <w:pPr>
              <w:jc w:val="right"/>
              <w:ind w:right="90"/>
              <w:spacing w:after="0"/>
              <w:rPr>
                <w:sz w:val="20"/>
                <w:szCs w:val="20"/>
                <w:color w:val="auto"/>
              </w:rPr>
            </w:pPr>
            <w:r>
              <w:rPr>
                <w:rFonts w:ascii="Arial" w:cs="Arial" w:eastAsia="Arial" w:hAnsi="Arial"/>
                <w:sz w:val="18"/>
                <w:szCs w:val="18"/>
                <w:color w:val="auto"/>
              </w:rPr>
              <w:t>13,134</w:t>
            </w:r>
          </w:p>
        </w:tc>
        <w:tc>
          <w:tcPr>
            <w:tcW w:w="5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12,256</w:t>
            </w:r>
          </w:p>
        </w:tc>
      </w:tr>
      <w:tr>
        <w:trPr>
          <w:trHeight w:val="230"/>
        </w:trPr>
        <w:tc>
          <w:tcPr>
            <w:tcW w:w="760" w:type="dxa"/>
            <w:vAlign w:val="bottom"/>
          </w:tcPr>
          <w:p>
            <w:pPr>
              <w:jc w:val="right"/>
              <w:ind w:right="90"/>
              <w:spacing w:after="0"/>
              <w:rPr>
                <w:sz w:val="20"/>
                <w:szCs w:val="20"/>
                <w:color w:val="auto"/>
              </w:rPr>
            </w:pPr>
            <w:r>
              <w:rPr>
                <w:rFonts w:ascii="Arial" w:cs="Arial" w:eastAsia="Arial" w:hAnsi="Arial"/>
                <w:sz w:val="18"/>
                <w:szCs w:val="18"/>
                <w:color w:val="auto"/>
              </w:rPr>
              <w:t>12,015</w:t>
            </w:r>
          </w:p>
        </w:tc>
        <w:tc>
          <w:tcPr>
            <w:tcW w:w="5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20,860</w:t>
            </w:r>
          </w:p>
        </w:tc>
      </w:tr>
      <w:tr>
        <w:trPr>
          <w:trHeight w:val="230"/>
        </w:trPr>
        <w:tc>
          <w:tcPr>
            <w:tcW w:w="760" w:type="dxa"/>
            <w:vAlign w:val="bottom"/>
          </w:tcPr>
          <w:p>
            <w:pPr>
              <w:jc w:val="right"/>
              <w:ind w:right="90"/>
              <w:spacing w:after="0"/>
              <w:rPr>
                <w:sz w:val="20"/>
                <w:szCs w:val="20"/>
                <w:color w:val="auto"/>
              </w:rPr>
            </w:pPr>
            <w:r>
              <w:rPr>
                <w:rFonts w:ascii="Arial" w:cs="Arial" w:eastAsia="Arial" w:hAnsi="Arial"/>
                <w:sz w:val="18"/>
                <w:szCs w:val="18"/>
                <w:color w:val="auto"/>
              </w:rPr>
              <w:t>47,073</w:t>
            </w:r>
          </w:p>
        </w:tc>
        <w:tc>
          <w:tcPr>
            <w:tcW w:w="5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35,169</w:t>
            </w:r>
          </w:p>
        </w:tc>
      </w:tr>
      <w:tr>
        <w:trPr>
          <w:trHeight w:val="229"/>
        </w:trPr>
        <w:tc>
          <w:tcPr>
            <w:tcW w:w="760" w:type="dxa"/>
            <w:vAlign w:val="bottom"/>
          </w:tcPr>
          <w:p>
            <w:pPr>
              <w:jc w:val="right"/>
              <w:ind w:right="90"/>
              <w:spacing w:after="0"/>
              <w:rPr>
                <w:sz w:val="20"/>
                <w:szCs w:val="20"/>
                <w:color w:val="auto"/>
              </w:rPr>
            </w:pPr>
            <w:r>
              <w:rPr>
                <w:rFonts w:ascii="Arial" w:cs="Arial" w:eastAsia="Arial" w:hAnsi="Arial"/>
                <w:sz w:val="18"/>
                <w:szCs w:val="18"/>
                <w:color w:val="auto"/>
                <w:w w:val="86"/>
              </w:rPr>
              <w:t>212,406</w:t>
            </w:r>
          </w:p>
        </w:tc>
        <w:tc>
          <w:tcPr>
            <w:tcW w:w="5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202,587</w:t>
            </w:r>
          </w:p>
        </w:tc>
      </w:tr>
      <w:tr>
        <w:trPr>
          <w:trHeight w:val="230"/>
        </w:trPr>
        <w:tc>
          <w:tcPr>
            <w:tcW w:w="760" w:type="dxa"/>
            <w:vAlign w:val="bottom"/>
          </w:tcPr>
          <w:p>
            <w:pPr>
              <w:jc w:val="right"/>
              <w:ind w:right="90"/>
              <w:spacing w:after="0"/>
              <w:rPr>
                <w:sz w:val="20"/>
                <w:szCs w:val="20"/>
                <w:color w:val="auto"/>
              </w:rPr>
            </w:pPr>
            <w:r>
              <w:rPr>
                <w:rFonts w:ascii="Arial" w:cs="Arial" w:eastAsia="Arial" w:hAnsi="Arial"/>
                <w:sz w:val="18"/>
                <w:szCs w:val="18"/>
                <w:color w:val="auto"/>
              </w:rPr>
              <w:t>42,472</w:t>
            </w:r>
          </w:p>
        </w:tc>
        <w:tc>
          <w:tcPr>
            <w:tcW w:w="5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39,744</w:t>
            </w:r>
          </w:p>
        </w:tc>
      </w:tr>
      <w:tr>
        <w:trPr>
          <w:trHeight w:val="230"/>
        </w:trPr>
        <w:tc>
          <w:tcPr>
            <w:tcW w:w="760" w:type="dxa"/>
            <w:vAlign w:val="bottom"/>
          </w:tcPr>
          <w:p>
            <w:pPr>
              <w:jc w:val="right"/>
              <w:ind w:right="90"/>
              <w:spacing w:after="0"/>
              <w:rPr>
                <w:sz w:val="20"/>
                <w:szCs w:val="20"/>
                <w:color w:val="auto"/>
              </w:rPr>
            </w:pPr>
            <w:r>
              <w:rPr>
                <w:rFonts w:ascii="Arial" w:cs="Arial" w:eastAsia="Arial" w:hAnsi="Arial"/>
                <w:sz w:val="18"/>
                <w:szCs w:val="18"/>
                <w:color w:val="auto"/>
              </w:rPr>
              <w:t>925</w:t>
            </w:r>
          </w:p>
        </w:tc>
        <w:tc>
          <w:tcPr>
            <w:tcW w:w="5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w:t>
            </w:r>
          </w:p>
        </w:tc>
      </w:tr>
      <w:tr>
        <w:trPr>
          <w:trHeight w:val="236"/>
        </w:trPr>
        <w:tc>
          <w:tcPr>
            <w:tcW w:w="760" w:type="dxa"/>
            <w:vAlign w:val="bottom"/>
          </w:tcPr>
          <w:p>
            <w:pPr>
              <w:jc w:val="right"/>
              <w:ind w:right="90"/>
              <w:spacing w:after="0"/>
              <w:rPr>
                <w:sz w:val="20"/>
                <w:szCs w:val="20"/>
                <w:color w:val="auto"/>
              </w:rPr>
            </w:pPr>
            <w:r>
              <w:rPr>
                <w:rFonts w:ascii="Arial" w:cs="Arial" w:eastAsia="Arial" w:hAnsi="Arial"/>
                <w:sz w:val="18"/>
                <w:szCs w:val="18"/>
                <w:color w:val="auto"/>
                <w:w w:val="86"/>
              </w:rPr>
              <w:t>386,163</w:t>
            </w:r>
          </w:p>
        </w:tc>
        <w:tc>
          <w:tcPr>
            <w:tcW w:w="5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373,783</w:t>
            </w:r>
          </w:p>
        </w:tc>
      </w:tr>
      <w:tr>
        <w:trPr>
          <w:trHeight w:val="229"/>
        </w:trPr>
        <w:tc>
          <w:tcPr>
            <w:tcW w:w="760" w:type="dxa"/>
            <w:vAlign w:val="bottom"/>
          </w:tcPr>
          <w:p>
            <w:pPr>
              <w:jc w:val="right"/>
              <w:ind w:right="90"/>
              <w:spacing w:after="0"/>
              <w:rPr>
                <w:sz w:val="20"/>
                <w:szCs w:val="20"/>
                <w:color w:val="auto"/>
              </w:rPr>
            </w:pPr>
            <w:r>
              <w:rPr>
                <w:rFonts w:ascii="Arial" w:cs="Arial" w:eastAsia="Arial" w:hAnsi="Arial"/>
                <w:sz w:val="18"/>
                <w:szCs w:val="18"/>
                <w:color w:val="auto"/>
                <w:w w:val="86"/>
              </w:rPr>
              <w:t>360,708</w:t>
            </w:r>
          </w:p>
        </w:tc>
        <w:tc>
          <w:tcPr>
            <w:tcW w:w="5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289,871</w:t>
            </w:r>
          </w:p>
        </w:tc>
      </w:tr>
      <w:tr>
        <w:trPr>
          <w:trHeight w:val="230"/>
        </w:trPr>
        <w:tc>
          <w:tcPr>
            <w:tcW w:w="760" w:type="dxa"/>
            <w:vAlign w:val="bottom"/>
          </w:tcPr>
          <w:p>
            <w:pPr>
              <w:jc w:val="right"/>
              <w:ind w:right="90"/>
              <w:spacing w:after="0"/>
              <w:rPr>
                <w:sz w:val="20"/>
                <w:szCs w:val="20"/>
                <w:color w:val="auto"/>
              </w:rPr>
            </w:pPr>
            <w:r>
              <w:rPr>
                <w:rFonts w:ascii="Arial" w:cs="Arial" w:eastAsia="Arial" w:hAnsi="Arial"/>
                <w:sz w:val="18"/>
                <w:szCs w:val="18"/>
                <w:color w:val="auto"/>
              </w:rPr>
              <w:t>54,010</w:t>
            </w:r>
          </w:p>
        </w:tc>
        <w:tc>
          <w:tcPr>
            <w:tcW w:w="5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51,835</w:t>
            </w:r>
          </w:p>
        </w:tc>
      </w:tr>
      <w:tr>
        <w:trPr>
          <w:trHeight w:val="230"/>
        </w:trPr>
        <w:tc>
          <w:tcPr>
            <w:tcW w:w="760" w:type="dxa"/>
            <w:vAlign w:val="bottom"/>
          </w:tcPr>
          <w:p>
            <w:pPr>
              <w:jc w:val="right"/>
              <w:ind w:right="90"/>
              <w:spacing w:after="0"/>
              <w:rPr>
                <w:sz w:val="20"/>
                <w:szCs w:val="20"/>
                <w:color w:val="auto"/>
              </w:rPr>
            </w:pPr>
            <w:r>
              <w:rPr>
                <w:rFonts w:ascii="Arial" w:cs="Arial" w:eastAsia="Arial" w:hAnsi="Arial"/>
                <w:sz w:val="18"/>
                <w:szCs w:val="18"/>
                <w:color w:val="auto"/>
              </w:rPr>
              <w:t>2,032</w:t>
            </w:r>
          </w:p>
        </w:tc>
        <w:tc>
          <w:tcPr>
            <w:tcW w:w="5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2,272</w:t>
            </w:r>
          </w:p>
        </w:tc>
      </w:tr>
      <w:tr>
        <w:trPr>
          <w:trHeight w:val="230"/>
        </w:trPr>
        <w:tc>
          <w:tcPr>
            <w:tcW w:w="760" w:type="dxa"/>
            <w:vAlign w:val="bottom"/>
          </w:tcPr>
          <w:p>
            <w:pPr>
              <w:jc w:val="right"/>
              <w:ind w:right="90"/>
              <w:spacing w:after="0"/>
              <w:rPr>
                <w:sz w:val="20"/>
                <w:szCs w:val="20"/>
                <w:color w:val="auto"/>
              </w:rPr>
            </w:pPr>
            <w:r>
              <w:rPr>
                <w:rFonts w:ascii="Arial" w:cs="Arial" w:eastAsia="Arial" w:hAnsi="Arial"/>
                <w:sz w:val="18"/>
                <w:szCs w:val="18"/>
                <w:color w:val="auto"/>
              </w:rPr>
              <w:t>4,173</w:t>
            </w:r>
          </w:p>
        </w:tc>
        <w:tc>
          <w:tcPr>
            <w:tcW w:w="5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4,336</w:t>
            </w:r>
          </w:p>
        </w:tc>
      </w:tr>
      <w:tr>
        <w:trPr>
          <w:trHeight w:val="237"/>
        </w:trPr>
        <w:tc>
          <w:tcPr>
            <w:tcW w:w="760" w:type="dxa"/>
            <w:vAlign w:val="bottom"/>
          </w:tcPr>
          <w:p>
            <w:pPr>
              <w:jc w:val="right"/>
              <w:ind w:right="90"/>
              <w:spacing w:after="0"/>
              <w:rPr>
                <w:sz w:val="20"/>
                <w:szCs w:val="20"/>
                <w:color w:val="auto"/>
              </w:rPr>
            </w:pPr>
            <w:r>
              <w:rPr>
                <w:rFonts w:ascii="Arial" w:cs="Arial" w:eastAsia="Arial" w:hAnsi="Arial"/>
                <w:sz w:val="18"/>
                <w:szCs w:val="18"/>
                <w:color w:val="auto"/>
                <w:w w:val="86"/>
              </w:rPr>
              <w:t>807,086</w:t>
            </w: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722,097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-704850</wp:posOffset>
            </wp:positionH>
            <wp:positionV relativeFrom="paragraph">
              <wp:posOffset>-7620</wp:posOffset>
            </wp:positionV>
            <wp:extent cx="11226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22680" cy="8255"/>
                    </a:xfrm>
                    <a:prstGeom prst="rect">
                      <a:avLst/>
                    </a:prstGeom>
                    <a:noFill/>
                  </pic:spPr>
                </pic:pic>
              </a:graphicData>
            </a:graphic>
          </wp:anchor>
        </w:drawing>
        <w:drawing>
          <wp:anchor simplePos="0" relativeHeight="251657728" behindDoc="1" locked="0" layoutInCell="0" allowOverlap="1">
            <wp:simplePos x="0" y="0"/>
            <wp:positionH relativeFrom="column">
              <wp:posOffset>-704850</wp:posOffset>
            </wp:positionH>
            <wp:positionV relativeFrom="paragraph">
              <wp:posOffset>-916305</wp:posOffset>
            </wp:positionV>
            <wp:extent cx="11226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00" w:type="dxa"/>
            <w:vAlign w:val="bottom"/>
          </w:tcPr>
          <w:p>
            <w:pPr>
              <w:jc w:val="right"/>
              <w:ind w:right="530"/>
              <w:spacing w:after="0"/>
              <w:rPr>
                <w:sz w:val="20"/>
                <w:szCs w:val="20"/>
                <w:color w:val="auto"/>
              </w:rPr>
            </w:pPr>
            <w:r>
              <w:rPr>
                <w:rFonts w:ascii="Arial" w:cs="Arial" w:eastAsia="Arial" w:hAnsi="Arial"/>
                <w:sz w:val="18"/>
                <w:szCs w:val="18"/>
                <w:color w:val="auto"/>
              </w:rPr>
              <w:t>52</w:t>
            </w:r>
          </w:p>
        </w:tc>
        <w:tc>
          <w:tcPr>
            <w:tcW w:w="12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404"/>
        </w:trPr>
        <w:tc>
          <w:tcPr>
            <w:tcW w:w="1200" w:type="dxa"/>
            <w:vAlign w:val="bottom"/>
          </w:tcPr>
          <w:p>
            <w:pPr>
              <w:jc w:val="right"/>
              <w:ind w:right="530"/>
              <w:spacing w:after="0"/>
              <w:rPr>
                <w:sz w:val="20"/>
                <w:szCs w:val="20"/>
                <w:color w:val="auto"/>
              </w:rPr>
            </w:pPr>
            <w:r>
              <w:rPr>
                <w:rFonts w:ascii="Arial" w:cs="Arial" w:eastAsia="Arial" w:hAnsi="Arial"/>
                <w:sz w:val="18"/>
                <w:szCs w:val="18"/>
                <w:color w:val="auto"/>
              </w:rPr>
              <w:t>87</w:t>
            </w:r>
          </w:p>
        </w:tc>
        <w:tc>
          <w:tcPr>
            <w:tcW w:w="120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30"/>
        </w:trPr>
        <w:tc>
          <w:tcPr>
            <w:tcW w:w="1200" w:type="dxa"/>
            <w:vAlign w:val="bottom"/>
          </w:tcPr>
          <w:p>
            <w:pPr>
              <w:jc w:val="right"/>
              <w:ind w:right="530"/>
              <w:spacing w:after="0"/>
              <w:rPr>
                <w:sz w:val="20"/>
                <w:szCs w:val="20"/>
                <w:color w:val="auto"/>
              </w:rPr>
            </w:pPr>
            <w:r>
              <w:rPr>
                <w:rFonts w:ascii="Arial" w:cs="Arial" w:eastAsia="Arial" w:hAnsi="Arial"/>
                <w:sz w:val="18"/>
                <w:szCs w:val="18"/>
                <w:color w:val="auto"/>
                <w:w w:val="86"/>
              </w:rPr>
              <w:t>114,076</w:t>
            </w:r>
          </w:p>
        </w:tc>
        <w:tc>
          <w:tcPr>
            <w:tcW w:w="1200" w:type="dxa"/>
            <w:vAlign w:val="bottom"/>
          </w:tcPr>
          <w:p>
            <w:pPr>
              <w:jc w:val="right"/>
              <w:spacing w:after="0"/>
              <w:rPr>
                <w:sz w:val="20"/>
                <w:szCs w:val="20"/>
                <w:color w:val="auto"/>
              </w:rPr>
            </w:pPr>
            <w:r>
              <w:rPr>
                <w:rFonts w:ascii="Arial" w:cs="Arial" w:eastAsia="Arial" w:hAnsi="Arial"/>
                <w:sz w:val="18"/>
                <w:szCs w:val="18"/>
                <w:color w:val="auto"/>
              </w:rPr>
              <w:t>20,053</w:t>
            </w:r>
          </w:p>
        </w:tc>
      </w:tr>
      <w:tr>
        <w:trPr>
          <w:trHeight w:val="230"/>
        </w:trPr>
        <w:tc>
          <w:tcPr>
            <w:tcW w:w="1200" w:type="dxa"/>
            <w:vAlign w:val="bottom"/>
          </w:tcPr>
          <w:p>
            <w:pPr>
              <w:jc w:val="right"/>
              <w:ind w:right="530"/>
              <w:spacing w:after="0"/>
              <w:rPr>
                <w:sz w:val="20"/>
                <w:szCs w:val="20"/>
                <w:color w:val="auto"/>
              </w:rPr>
            </w:pPr>
            <w:r>
              <w:rPr>
                <w:rFonts w:ascii="Arial" w:cs="Arial" w:eastAsia="Arial" w:hAnsi="Arial"/>
                <w:sz w:val="18"/>
                <w:szCs w:val="18"/>
                <w:color w:val="auto"/>
                <w:w w:val="86"/>
              </w:rPr>
              <w:t>194,273</w:t>
            </w:r>
          </w:p>
        </w:tc>
        <w:tc>
          <w:tcPr>
            <w:tcW w:w="1200" w:type="dxa"/>
            <w:vAlign w:val="bottom"/>
          </w:tcPr>
          <w:p>
            <w:pPr>
              <w:jc w:val="right"/>
              <w:spacing w:after="0"/>
              <w:rPr>
                <w:sz w:val="20"/>
                <w:szCs w:val="20"/>
                <w:color w:val="auto"/>
              </w:rPr>
            </w:pPr>
            <w:r>
              <w:rPr>
                <w:rFonts w:ascii="Arial" w:cs="Arial" w:eastAsia="Arial" w:hAnsi="Arial"/>
                <w:sz w:val="18"/>
                <w:szCs w:val="18"/>
                <w:color w:val="auto"/>
              </w:rPr>
              <w:t>189,504</w:t>
            </w:r>
          </w:p>
        </w:tc>
      </w:tr>
    </w:tbl>
    <w:p>
      <w:pPr>
        <w:spacing w:after="0" w:line="1" w:lineRule="exact"/>
        <w:rPr>
          <w:sz w:val="20"/>
          <w:szCs w:val="20"/>
          <w:color w:val="auto"/>
        </w:rPr>
      </w:pPr>
    </w:p>
    <w:p>
      <w:pPr>
        <w:sectPr>
          <w:pgSz w:w="11900" w:h="16838" w:orient="portrait"/>
          <w:cols w:equalWidth="0" w:num="2">
            <w:col w:w="8040" w:space="720"/>
            <w:col w:w="2480"/>
          </w:cols>
          <w:pgMar w:left="320" w:top="540" w:right="3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76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231F20"/>
              </w:rPr>
              <w:t>Total Arhaus, Inc. stockholders' equity</w:t>
            </w:r>
          </w:p>
        </w:tc>
        <w:tc>
          <w:tcPr>
            <w:tcW w:w="5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308,488</w:t>
            </w:r>
          </w:p>
        </w:tc>
        <w:tc>
          <w:tcPr>
            <w:tcW w:w="100" w:type="dxa"/>
            <w:vAlign w:val="bottom"/>
            <w:tcBorders>
              <w:bottom w:val="single" w:sz="8" w:color="CCEEFF"/>
            </w:tcBorders>
          </w:tcPr>
          <w:p>
            <w:pPr>
              <w:spacing w:after="0"/>
              <w:rPr>
                <w:sz w:val="20"/>
                <w:szCs w:val="20"/>
                <w:color w:val="auto"/>
              </w:rPr>
            </w:pPr>
          </w:p>
        </w:tc>
        <w:tc>
          <w:tcPr>
            <w:tcW w:w="58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209,695</w:t>
            </w:r>
          </w:p>
        </w:tc>
      </w:tr>
      <w:tr>
        <w:trPr>
          <w:trHeight w:val="248"/>
        </w:trPr>
        <w:tc>
          <w:tcPr>
            <w:tcW w:w="76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 and stockholders' equity</w:t>
            </w: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1,115,574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931,792</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type w:val="continuous"/>
        </w:sectPr>
      </w:pPr>
    </w:p>
    <w:bookmarkStart w:id="4" w:name="page5"/>
    <w:bookmarkEnd w:id="4"/>
    <w:p>
      <w:pPr>
        <w:jc w:val="center"/>
        <w:ind w:right="-219"/>
        <w:spacing w:after="0"/>
        <w:rPr>
          <w:sz w:val="20"/>
          <w:szCs w:val="20"/>
          <w:color w:val="auto"/>
        </w:rPr>
      </w:pPr>
      <w:r>
        <w:rPr>
          <w:rFonts w:ascii="Arial" w:cs="Arial" w:eastAsia="Arial" w:hAnsi="Arial"/>
          <w:sz w:val="18"/>
          <w:szCs w:val="18"/>
          <w:b w:val="1"/>
          <w:bCs w:val="1"/>
          <w:color w:val="auto"/>
        </w:rPr>
        <w:t>Arhaus, Inc. and Subsidiaries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(Unaudited, amounts in thousands, except share and per share data)</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020" w:type="dxa"/>
            <w:vAlign w:val="bottom"/>
            <w:tcBorders>
              <w:top w:val="single" w:sz="8" w:color="auto"/>
            </w:tcBorders>
          </w:tcPr>
          <w:p>
            <w:pPr>
              <w:spacing w:after="0"/>
              <w:rPr>
                <w:sz w:val="21"/>
                <w:szCs w:val="21"/>
                <w:color w:val="auto"/>
              </w:rPr>
            </w:pPr>
          </w:p>
        </w:tc>
        <w:tc>
          <w:tcPr>
            <w:tcW w:w="2920" w:type="dxa"/>
            <w:vAlign w:val="bottom"/>
            <w:tcBorders>
              <w:top w:val="single" w:sz="8" w:color="auto"/>
            </w:tcBorders>
            <w:gridSpan w:val="6"/>
          </w:tcPr>
          <w:p>
            <w:pPr>
              <w:ind w:left="100"/>
              <w:spacing w:after="0"/>
              <w:rPr>
                <w:sz w:val="20"/>
                <w:szCs w:val="20"/>
                <w:color w:val="auto"/>
              </w:rPr>
            </w:pPr>
            <w:r>
              <w:rPr>
                <w:rFonts w:ascii="Arial" w:cs="Arial" w:eastAsia="Arial" w:hAnsi="Arial"/>
                <w:sz w:val="18"/>
                <w:szCs w:val="18"/>
                <w:b w:val="1"/>
                <w:bCs w:val="1"/>
                <w:color w:val="auto"/>
                <w:w w:val="94"/>
              </w:rPr>
              <w:t>Nine months ended September 30,</w:t>
            </w:r>
          </w:p>
        </w:tc>
        <w:tc>
          <w:tcPr>
            <w:tcW w:w="140" w:type="dxa"/>
            <w:vAlign w:val="bottom"/>
            <w:tcBorders>
              <w:top w:val="single" w:sz="8" w:color="auto"/>
            </w:tcBorders>
          </w:tcPr>
          <w:p>
            <w:pPr>
              <w:spacing w:after="0"/>
              <w:rPr>
                <w:sz w:val="21"/>
                <w:szCs w:val="21"/>
                <w:color w:val="auto"/>
              </w:rPr>
            </w:pPr>
          </w:p>
        </w:tc>
        <w:tc>
          <w:tcPr>
            <w:tcW w:w="2940" w:type="dxa"/>
            <w:vAlign w:val="bottom"/>
            <w:tcBorders>
              <w:top w:val="single" w:sz="8" w:color="auto"/>
            </w:tcBorders>
            <w:gridSpan w:val="4"/>
          </w:tcPr>
          <w:p>
            <w:pPr>
              <w:jc w:val="right"/>
              <w:ind w:right="90"/>
              <w:spacing w:after="0"/>
              <w:rPr>
                <w:sz w:val="20"/>
                <w:szCs w:val="20"/>
                <w:color w:val="auto"/>
              </w:rPr>
            </w:pPr>
            <w:r>
              <w:rPr>
                <w:rFonts w:ascii="Arial" w:cs="Arial" w:eastAsia="Arial" w:hAnsi="Arial"/>
                <w:sz w:val="18"/>
                <w:szCs w:val="18"/>
                <w:b w:val="1"/>
                <w:bCs w:val="1"/>
                <w:color w:val="auto"/>
                <w:w w:val="89"/>
              </w:rPr>
              <w:t>Three months ended September 30,</w:t>
            </w:r>
          </w:p>
        </w:tc>
      </w:tr>
      <w:tr>
        <w:trPr>
          <w:trHeight w:val="223"/>
        </w:trPr>
        <w:tc>
          <w:tcPr>
            <w:tcW w:w="50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r>
      <w:tr>
        <w:trPr>
          <w:trHeight w:val="223"/>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943,696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872,595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326,229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320,030</w:t>
            </w:r>
          </w:p>
        </w:tc>
      </w:tr>
      <w:tr>
        <w:trPr>
          <w:trHeight w:val="229"/>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544,481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505,561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195,372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183,739</w:t>
            </w:r>
          </w:p>
        </w:tc>
      </w:tr>
      <w:tr>
        <w:trPr>
          <w:trHeight w:val="223"/>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Gross margin</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399,215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367,034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130,857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136,291</w:t>
            </w:r>
          </w:p>
        </w:tc>
      </w:tr>
      <w:tr>
        <w:trPr>
          <w:trHeight w:val="229"/>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275,890</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246,767</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106,977</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89,145</w:t>
            </w:r>
          </w:p>
        </w:tc>
      </w:tr>
      <w:tr>
        <w:trPr>
          <w:trHeight w:val="223"/>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from operations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23,880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47,146</w:t>
            </w:r>
          </w:p>
        </w:tc>
      </w:tr>
      <w:tr>
        <w:trPr>
          <w:trHeight w:val="229"/>
        </w:trPr>
        <w:tc>
          <w:tcPr>
            <w:tcW w:w="5020" w:type="dxa"/>
            <w:vAlign w:val="bottom"/>
          </w:tcPr>
          <w:p>
            <w:pPr>
              <w:ind w:left="20"/>
              <w:spacing w:after="0"/>
              <w:rPr>
                <w:sz w:val="20"/>
                <w:szCs w:val="20"/>
                <w:color w:val="auto"/>
              </w:rPr>
            </w:pPr>
            <w:r>
              <w:rPr>
                <w:rFonts w:ascii="Arial" w:cs="Arial" w:eastAsia="Arial" w:hAnsi="Arial"/>
                <w:sz w:val="18"/>
                <w:szCs w:val="18"/>
                <w:color w:val="auto"/>
              </w:rPr>
              <w:t>Interest expense (income), net</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(1,731)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3,367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(1,080)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751</w:t>
            </w:r>
          </w:p>
        </w:tc>
      </w:tr>
      <w:tr>
        <w:trPr>
          <w:trHeight w:val="23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23"/>
        </w:trPr>
        <w:tc>
          <w:tcPr>
            <w:tcW w:w="5020" w:type="dxa"/>
            <w:vAlign w:val="bottom"/>
          </w:tcPr>
          <w:p>
            <w:pPr>
              <w:ind w:left="240"/>
              <w:spacing w:after="0"/>
              <w:rPr>
                <w:sz w:val="20"/>
                <w:szCs w:val="20"/>
                <w:color w:val="auto"/>
              </w:rPr>
            </w:pPr>
            <w:r>
              <w:rPr>
                <w:rFonts w:ascii="Arial" w:cs="Arial" w:eastAsia="Arial" w:hAnsi="Arial"/>
                <w:sz w:val="18"/>
                <w:szCs w:val="18"/>
                <w:color w:val="auto"/>
              </w:rPr>
              <w:t>Income before taxes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125,794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117,484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25,038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46,504</w:t>
            </w:r>
          </w:p>
        </w:tc>
      </w:tr>
      <w:tr>
        <w:trPr>
          <w:trHeight w:val="23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31,771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27,851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9,568</w:t>
            </w:r>
          </w:p>
        </w:tc>
      </w:tr>
      <w:tr>
        <w:trPr>
          <w:trHeight w:val="196"/>
        </w:trPr>
        <w:tc>
          <w:tcPr>
            <w:tcW w:w="5020" w:type="dxa"/>
            <w:vAlign w:val="bottom"/>
          </w:tcPr>
          <w:p>
            <w:pPr>
              <w:ind w:left="180"/>
              <w:spacing w:after="0" w:line="196" w:lineRule="exact"/>
              <w:rPr>
                <w:sz w:val="20"/>
                <w:szCs w:val="20"/>
                <w:color w:val="auto"/>
              </w:rPr>
            </w:pPr>
            <w:r>
              <w:rPr>
                <w:rFonts w:ascii="Arial" w:cs="Arial" w:eastAsia="Arial" w:hAnsi="Arial"/>
                <w:sz w:val="18"/>
                <w:szCs w:val="18"/>
                <w:color w:val="auto"/>
              </w:rPr>
              <w:t>Net and comprehensive income</w:t>
            </w: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94,023</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89,633</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19,741</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36,936</w:t>
            </w: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3"/>
        </w:trPr>
        <w:tc>
          <w:tcPr>
            <w:tcW w:w="5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4"/>
        </w:trPr>
        <w:tc>
          <w:tcPr>
            <w:tcW w:w="5020" w:type="dxa"/>
            <w:vAlign w:val="bottom"/>
          </w:tcPr>
          <w:p>
            <w:pPr>
              <w:ind w:left="20"/>
              <w:spacing w:after="0"/>
              <w:rPr>
                <w:sz w:val="20"/>
                <w:szCs w:val="20"/>
                <w:color w:val="auto"/>
              </w:rPr>
            </w:pPr>
            <w:r>
              <w:rPr>
                <w:rFonts w:ascii="Arial" w:cs="Arial" w:eastAsia="Arial" w:hAnsi="Arial"/>
                <w:sz w:val="18"/>
                <w:szCs w:val="18"/>
                <w:b w:val="1"/>
                <w:bCs w:val="1"/>
                <w:color w:val="231F20"/>
              </w:rPr>
              <w:t>Net and comprehensive income per share, basic</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2"/>
        </w:trPr>
        <w:tc>
          <w:tcPr>
            <w:tcW w:w="5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29"/>
        </w:trPr>
        <w:tc>
          <w:tcPr>
            <w:tcW w:w="50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4"/>
              </w:rPr>
              <w:t>Weighted-average number of common shares outstanding, basic</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139,365,870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137,939,577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139,628,776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138,484,495</w:t>
            </w:r>
          </w:p>
        </w:tc>
      </w:tr>
      <w:tr>
        <w:trPr>
          <w:trHeight w:val="230"/>
        </w:trPr>
        <w:tc>
          <w:tcPr>
            <w:tcW w:w="5020" w:type="dxa"/>
            <w:vAlign w:val="bottom"/>
          </w:tcPr>
          <w:p>
            <w:pPr>
              <w:ind w:left="140"/>
              <w:spacing w:after="0"/>
              <w:rPr>
                <w:sz w:val="20"/>
                <w:szCs w:val="20"/>
                <w:color w:val="auto"/>
              </w:rPr>
            </w:pPr>
            <w:r>
              <w:rPr>
                <w:rFonts w:ascii="Arial" w:cs="Arial" w:eastAsia="Arial" w:hAnsi="Arial"/>
                <w:sz w:val="18"/>
                <w:szCs w:val="18"/>
                <w:color w:val="auto"/>
              </w:rPr>
              <w:t>Net and comprehensive income per share, basic</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0.67</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0.65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0.27</w:t>
            </w:r>
          </w:p>
        </w:tc>
      </w:tr>
      <w:tr>
        <w:trPr>
          <w:trHeight w:val="236"/>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231F20"/>
              </w:rPr>
              <w:t>Net and comprehensive income per share, diluted</w:t>
            </w: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30"/>
        </w:trPr>
        <w:tc>
          <w:tcPr>
            <w:tcW w:w="5020" w:type="dxa"/>
            <w:vAlign w:val="bottom"/>
          </w:tcPr>
          <w:p>
            <w:pPr>
              <w:ind w:left="140"/>
              <w:spacing w:after="0"/>
              <w:rPr>
                <w:sz w:val="20"/>
                <w:szCs w:val="20"/>
                <w:color w:val="auto"/>
              </w:rPr>
            </w:pPr>
            <w:r>
              <w:rPr>
                <w:rFonts w:ascii="Arial" w:cs="Arial" w:eastAsia="Arial" w:hAnsi="Arial"/>
                <w:sz w:val="18"/>
                <w:szCs w:val="18"/>
                <w:color w:val="auto"/>
                <w:w w:val="92"/>
              </w:rPr>
              <w:t>Weighted-average number of common shares outstanding, diluted</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140,021,670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139,545,802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140,140,899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139,845,333</w:t>
            </w:r>
          </w:p>
        </w:tc>
      </w:tr>
      <w:tr>
        <w:trPr>
          <w:trHeight w:val="229"/>
        </w:trPr>
        <w:tc>
          <w:tcPr>
            <w:tcW w:w="5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and comprehensive income per share, diluted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r>
    </w:tbl>
    <w:p>
      <w:pPr>
        <w:spacing w:after="0" w:line="24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850" w:right="559" w:bottom="1440" w:gutter="0" w:footer="0" w:header="0"/>
        </w:sectPr>
      </w:pPr>
    </w:p>
    <w:bookmarkStart w:id="5" w:name="page6"/>
    <w:bookmarkEnd w:id="5"/>
    <w:p>
      <w:pPr>
        <w:ind w:left="4460"/>
        <w:spacing w:after="0"/>
        <w:rPr>
          <w:sz w:val="20"/>
          <w:szCs w:val="20"/>
          <w:color w:val="auto"/>
        </w:rPr>
      </w:pPr>
      <w:r>
        <w:rPr>
          <w:rFonts w:ascii="Arial" w:cs="Arial" w:eastAsia="Arial" w:hAnsi="Arial"/>
          <w:sz w:val="18"/>
          <w:szCs w:val="18"/>
          <w:b w:val="1"/>
          <w:bCs w:val="1"/>
          <w:color w:val="auto"/>
        </w:rPr>
        <w:t>Arhaus, Inc. and Subsidiaries</w:t>
      </w:r>
    </w:p>
    <w:p>
      <w:pPr>
        <w:spacing w:after="0" w:line="27" w:lineRule="exact"/>
        <w:rPr>
          <w:sz w:val="20"/>
          <w:szCs w:val="20"/>
          <w:color w:val="auto"/>
        </w:rPr>
      </w:pPr>
    </w:p>
    <w:p>
      <w:pPr>
        <w:ind w:left="2820"/>
        <w:spacing w:after="0"/>
        <w:rPr>
          <w:sz w:val="20"/>
          <w:szCs w:val="20"/>
          <w:color w:val="auto"/>
        </w:rPr>
      </w:pPr>
      <w:r>
        <w:rPr>
          <w:rFonts w:ascii="Arial" w:cs="Arial" w:eastAsia="Arial" w:hAnsi="Arial"/>
          <w:sz w:val="15"/>
          <w:szCs w:val="15"/>
          <w:b w:val="1"/>
          <w:bCs w:val="1"/>
          <w:color w:val="auto"/>
        </w:rPr>
        <w:t>Condensed Consolidated Statements of Changes in Stockholders’ Equity</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Balances as of December 31, 2022</w:t>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color w:val="auto"/>
        </w:rPr>
        <w:t>Net income</w:t>
      </w:r>
    </w:p>
    <w:p>
      <w:pPr>
        <w:spacing w:after="0" w:line="55" w:lineRule="exact"/>
        <w:rPr>
          <w:sz w:val="20"/>
          <w:szCs w:val="20"/>
          <w:color w:val="auto"/>
        </w:rPr>
      </w:pPr>
    </w:p>
    <w:p>
      <w:pPr>
        <w:ind w:right="600"/>
        <w:spacing w:after="0" w:line="346" w:lineRule="auto"/>
        <w:rPr>
          <w:sz w:val="20"/>
          <w:szCs w:val="20"/>
          <w:color w:val="auto"/>
        </w:rPr>
      </w:pPr>
      <w:r>
        <w:rPr>
          <w:rFonts w:ascii="Arial" w:cs="Arial" w:eastAsia="Arial" w:hAnsi="Arial"/>
          <w:sz w:val="13"/>
          <w:szCs w:val="13"/>
          <w:color w:val="auto"/>
        </w:rPr>
        <w:t>Shareholder capital contribution Equity based compensation</w:t>
      </w:r>
    </w:p>
    <w:p>
      <w:pPr>
        <w:spacing w:after="0" w:line="1" w:lineRule="exact"/>
        <w:rPr>
          <w:sz w:val="20"/>
          <w:szCs w:val="20"/>
          <w:color w:val="auto"/>
        </w:rPr>
      </w:pPr>
    </w:p>
    <w:p>
      <w:pPr>
        <w:ind w:right="360"/>
        <w:spacing w:after="0" w:line="257" w:lineRule="auto"/>
        <w:rPr>
          <w:sz w:val="20"/>
          <w:szCs w:val="20"/>
          <w:color w:val="auto"/>
        </w:rPr>
      </w:pPr>
      <w:r>
        <w:rPr>
          <w:rFonts w:ascii="Arial" w:cs="Arial" w:eastAsia="Arial" w:hAnsi="Arial"/>
          <w:sz w:val="14"/>
          <w:szCs w:val="14"/>
          <w:color w:val="auto"/>
        </w:rPr>
        <w:t>Shares withheld to cover employees' withholding taxes for equity based compensation</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September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400"/>
        <w:spacing w:after="0" w:line="335" w:lineRule="auto"/>
        <w:rPr>
          <w:sz w:val="20"/>
          <w:szCs w:val="20"/>
          <w:color w:val="auto"/>
        </w:rPr>
      </w:pPr>
      <w:r>
        <w:rPr>
          <w:rFonts w:ascii="Arial" w:cs="Arial" w:eastAsia="Arial" w:hAnsi="Arial"/>
          <w:sz w:val="14"/>
          <w:szCs w:val="14"/>
          <w:b w:val="1"/>
          <w:bCs w:val="1"/>
          <w:color w:val="auto"/>
        </w:rPr>
        <w:t xml:space="preserve">Balances as of December 31, 2021 </w:t>
      </w:r>
      <w:r>
        <w:rPr>
          <w:rFonts w:ascii="Arial" w:cs="Arial" w:eastAsia="Arial" w:hAnsi="Arial"/>
          <w:sz w:val="14"/>
          <w:szCs w:val="14"/>
          <w:color w:val="auto"/>
        </w:rPr>
        <w:t>Net income</w:t>
      </w:r>
    </w:p>
    <w:p>
      <w:pPr>
        <w:spacing w:after="0" w:line="257" w:lineRule="auto"/>
        <w:rPr>
          <w:sz w:val="20"/>
          <w:szCs w:val="20"/>
          <w:color w:val="auto"/>
        </w:rPr>
      </w:pPr>
      <w:r>
        <w:rPr>
          <w:rFonts w:ascii="Arial" w:cs="Arial" w:eastAsia="Arial" w:hAnsi="Arial"/>
          <w:sz w:val="14"/>
          <w:szCs w:val="14"/>
          <w:color w:val="auto"/>
        </w:rPr>
        <w:t>Adjustment to deferred tax asset impact of Reorganization from partnership to a corporation</w:t>
      </w:r>
    </w:p>
    <w:p>
      <w:pPr>
        <w:spacing w:after="0" w:line="23" w:lineRule="exact"/>
        <w:rPr>
          <w:sz w:val="20"/>
          <w:szCs w:val="20"/>
          <w:color w:val="auto"/>
        </w:rPr>
      </w:pPr>
    </w:p>
    <w:p>
      <w:pPr>
        <w:ind w:right="600"/>
        <w:spacing w:after="0" w:line="376" w:lineRule="auto"/>
        <w:rPr>
          <w:sz w:val="20"/>
          <w:szCs w:val="20"/>
          <w:color w:val="auto"/>
        </w:rPr>
      </w:pPr>
      <w:r>
        <w:rPr>
          <w:rFonts w:ascii="Arial" w:cs="Arial" w:eastAsia="Arial" w:hAnsi="Arial"/>
          <w:sz w:val="13"/>
          <w:szCs w:val="13"/>
          <w:color w:val="auto"/>
        </w:rPr>
        <w:t>Shareholder capital contribution Equity based compensation</w:t>
      </w:r>
    </w:p>
    <w:p>
      <w:pPr>
        <w:spacing w:after="0"/>
        <w:rPr>
          <w:sz w:val="20"/>
          <w:szCs w:val="20"/>
          <w:color w:val="auto"/>
        </w:rPr>
      </w:pPr>
      <w:r>
        <w:rPr>
          <w:rFonts w:ascii="Arial" w:cs="Arial" w:eastAsia="Arial" w:hAnsi="Arial"/>
          <w:sz w:val="14"/>
          <w:szCs w:val="14"/>
          <w:b w:val="1"/>
          <w:bCs w:val="1"/>
          <w:color w:val="auto"/>
        </w:rPr>
        <w:t>September 30,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32385</wp:posOffset>
            </wp:positionV>
            <wp:extent cx="531495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314950" cy="8255"/>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gridSpan w:val="5"/>
          </w:tcPr>
          <w:p>
            <w:pPr>
              <w:jc w:val="center"/>
              <w:ind w:left="788"/>
              <w:spacing w:after="0"/>
              <w:rPr>
                <w:sz w:val="20"/>
                <w:szCs w:val="20"/>
                <w:color w:val="auto"/>
              </w:rPr>
            </w:pPr>
            <w:r>
              <w:rPr>
                <w:rFonts w:ascii="Arial" w:cs="Arial" w:eastAsia="Arial" w:hAnsi="Arial"/>
                <w:sz w:val="14"/>
                <w:szCs w:val="14"/>
                <w:b w:val="1"/>
                <w:bCs w:val="1"/>
                <w:color w:val="auto"/>
                <w:w w:val="91"/>
              </w:rPr>
              <w:t>Total Stockholders'</w:t>
            </w: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4"/>
          </w:tcPr>
          <w:p>
            <w:pPr>
              <w:ind w:left="22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5"/>
          </w:tcPr>
          <w:p>
            <w:pPr>
              <w:ind w:left="340"/>
              <w:spacing w:after="0"/>
              <w:rPr>
                <w:sz w:val="20"/>
                <w:szCs w:val="20"/>
                <w:color w:val="auto"/>
              </w:rPr>
            </w:pPr>
            <w:r>
              <w:rPr>
                <w:rFonts w:ascii="Arial" w:cs="Arial" w:eastAsia="Arial" w:hAnsi="Arial"/>
                <w:sz w:val="14"/>
                <w:szCs w:val="14"/>
                <w:b w:val="1"/>
                <w:bCs w:val="1"/>
                <w:color w:val="auto"/>
              </w:rPr>
              <w:t>Treasury Stock</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Equity</w:t>
            </w: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720" w:type="dxa"/>
            <w:vAlign w:val="bottom"/>
            <w:tcBorders>
              <w:bottom w:val="single" w:sz="8" w:color="auto"/>
            </w:tcBorders>
            <w:gridSpan w:val="5"/>
          </w:tcPr>
          <w:p>
            <w:pPr>
              <w:spacing w:after="0"/>
              <w:rPr>
                <w:sz w:val="2"/>
                <w:szCs w:val="2"/>
                <w:color w:val="auto"/>
              </w:rPr>
            </w:pPr>
          </w:p>
        </w:tc>
        <w:tc>
          <w:tcPr>
            <w:tcW w:w="160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gridSpan w:val="4"/>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720" w:type="dxa"/>
            <w:vAlign w:val="bottom"/>
            <w:gridSpan w:val="5"/>
          </w:tcPr>
          <w:p>
            <w:pPr>
              <w:ind w:left="600"/>
              <w:spacing w:after="0"/>
              <w:rPr>
                <w:sz w:val="20"/>
                <w:szCs w:val="20"/>
                <w:color w:val="auto"/>
              </w:rPr>
            </w:pPr>
            <w:r>
              <w:rPr>
                <w:rFonts w:ascii="Arial" w:cs="Arial" w:eastAsia="Arial" w:hAnsi="Arial"/>
                <w:sz w:val="14"/>
                <w:szCs w:val="14"/>
                <w:b w:val="1"/>
                <w:bCs w:val="1"/>
                <w:color w:val="auto"/>
              </w:rPr>
              <w:t>Class A</w:t>
            </w:r>
          </w:p>
        </w:tc>
        <w:tc>
          <w:tcPr>
            <w:tcW w:w="1700" w:type="dxa"/>
            <w:vAlign w:val="bottom"/>
            <w:gridSpan w:val="5"/>
          </w:tcPr>
          <w:p>
            <w:pPr>
              <w:ind w:left="580"/>
              <w:spacing w:after="0"/>
              <w:rPr>
                <w:sz w:val="20"/>
                <w:szCs w:val="20"/>
                <w:color w:val="auto"/>
              </w:rPr>
            </w:pPr>
            <w:r>
              <w:rPr>
                <w:rFonts w:ascii="Arial" w:cs="Arial" w:eastAsia="Arial" w:hAnsi="Arial"/>
                <w:sz w:val="14"/>
                <w:szCs w:val="14"/>
                <w:b w:val="1"/>
                <w:bCs w:val="1"/>
                <w:color w:val="auto"/>
              </w:rPr>
              <w:t>Class B</w:t>
            </w:r>
          </w:p>
        </w:tc>
        <w:tc>
          <w:tcPr>
            <w:tcW w:w="1700" w:type="dxa"/>
            <w:vAlign w:val="bottom"/>
            <w:gridSpan w:val="5"/>
          </w:tcPr>
          <w:p>
            <w:pPr>
              <w:ind w:left="560"/>
              <w:spacing w:after="0"/>
              <w:rPr>
                <w:sz w:val="20"/>
                <w:szCs w:val="20"/>
                <w:color w:val="auto"/>
              </w:rPr>
            </w:pPr>
            <w:r>
              <w:rPr>
                <w:rFonts w:ascii="Arial" w:cs="Arial" w:eastAsia="Arial" w:hAnsi="Arial"/>
                <w:sz w:val="14"/>
                <w:szCs w:val="14"/>
                <w:b w:val="1"/>
                <w:bCs w:val="1"/>
                <w:color w:val="auto"/>
              </w:rPr>
              <w:t>Class A</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Retained</w:t>
            </w:r>
          </w:p>
        </w:tc>
        <w:tc>
          <w:tcPr>
            <w:tcW w:w="120" w:type="dxa"/>
            <w:vAlign w:val="bottom"/>
          </w:tcPr>
          <w:p>
            <w:pPr>
              <w:spacing w:after="0"/>
              <w:rPr>
                <w:sz w:val="2"/>
                <w:szCs w:val="2"/>
                <w:color w:val="auto"/>
              </w:rPr>
            </w:pPr>
          </w:p>
        </w:tc>
        <w:tc>
          <w:tcPr>
            <w:tcW w:w="9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6"/>
              </w:rPr>
              <w:t>Additional</w:t>
            </w:r>
          </w:p>
        </w:tc>
        <w:tc>
          <w:tcPr>
            <w:tcW w:w="200" w:type="dxa"/>
            <w:vAlign w:val="bottom"/>
          </w:tcPr>
          <w:p>
            <w:pPr>
              <w:spacing w:after="0"/>
              <w:rPr>
                <w:sz w:val="2"/>
                <w:szCs w:val="2"/>
                <w:color w:val="auto"/>
              </w:rPr>
            </w:pPr>
          </w:p>
        </w:tc>
        <w:tc>
          <w:tcPr>
            <w:tcW w:w="78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w w:val="95"/>
              </w:rPr>
              <w:t>Total</w:t>
            </w: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Paid-in</w:t>
            </w: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Stockholders'</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880" w:type="dxa"/>
            <w:vAlign w:val="bottom"/>
            <w:gridSpan w:val="2"/>
          </w:tcPr>
          <w:p>
            <w:pPr>
              <w:ind w:left="30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6"/>
                <w:szCs w:val="16"/>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840" w:type="dxa"/>
            <w:vAlign w:val="bottom"/>
            <w:gridSpan w:val="2"/>
          </w:tcPr>
          <w:p>
            <w:pPr>
              <w:ind w:left="18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6"/>
                <w:szCs w:val="16"/>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840" w:type="dxa"/>
            <w:vAlign w:val="bottom"/>
            <w:gridSpan w:val="2"/>
          </w:tcPr>
          <w:p>
            <w:pPr>
              <w:ind w:left="16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6"/>
                <w:szCs w:val="16"/>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Earnings</w:t>
            </w:r>
          </w:p>
        </w:tc>
        <w:tc>
          <w:tcPr>
            <w:tcW w:w="120" w:type="dxa"/>
            <w:vAlign w:val="bottom"/>
          </w:tcPr>
          <w:p>
            <w:pPr>
              <w:spacing w:after="0"/>
              <w:rPr>
                <w:sz w:val="16"/>
                <w:szCs w:val="16"/>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Capital</w:t>
            </w:r>
          </w:p>
        </w:tc>
        <w:tc>
          <w:tcPr>
            <w:tcW w:w="200" w:type="dxa"/>
            <w:vAlign w:val="bottom"/>
          </w:tcPr>
          <w:p>
            <w:pPr>
              <w:spacing w:after="0"/>
              <w:rPr>
                <w:sz w:val="16"/>
                <w:szCs w:val="16"/>
                <w:color w:val="auto"/>
              </w:rPr>
            </w:pPr>
          </w:p>
        </w:tc>
        <w:tc>
          <w:tcPr>
            <w:tcW w:w="780" w:type="dxa"/>
            <w:vAlign w:val="bottom"/>
          </w:tcPr>
          <w:p>
            <w:pPr>
              <w:jc w:val="center"/>
              <w:ind w:right="128"/>
              <w:spacing w:after="0"/>
              <w:rPr>
                <w:sz w:val="20"/>
                <w:szCs w:val="20"/>
                <w:color w:val="auto"/>
              </w:rPr>
            </w:pPr>
            <w:r>
              <w:rPr>
                <w:rFonts w:ascii="Arial" w:cs="Arial" w:eastAsia="Arial" w:hAnsi="Arial"/>
                <w:sz w:val="14"/>
                <w:szCs w:val="14"/>
                <w:b w:val="1"/>
                <w:bCs w:val="1"/>
                <w:color w:val="auto"/>
                <w:w w:val="98"/>
              </w:rPr>
              <w:t>Equity</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8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51,437</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51</w:t>
            </w:r>
          </w:p>
        </w:tc>
        <w:tc>
          <w:tcPr>
            <w:tcW w:w="80" w:type="dxa"/>
            <w:vAlign w:val="bottom"/>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87,116</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87</w:t>
            </w:r>
          </w:p>
        </w:tc>
        <w:tc>
          <w:tcPr>
            <w:tcW w:w="100" w:type="dxa"/>
            <w:vAlign w:val="bottom"/>
          </w:tcPr>
          <w:p>
            <w:pPr>
              <w:spacing w:after="0"/>
              <w:rPr>
                <w:sz w:val="16"/>
                <w:szCs w:val="16"/>
                <w:color w:val="auto"/>
              </w:rPr>
            </w:pPr>
          </w:p>
        </w:tc>
        <w:tc>
          <w:tcPr>
            <w:tcW w:w="76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20,053</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189,504</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209,695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94,023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94,023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4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jc w:val="right"/>
              <w:ind w:right="8"/>
              <w:spacing w:after="0"/>
              <w:rPr>
                <w:sz w:val="20"/>
                <w:szCs w:val="20"/>
                <w:color w:val="auto"/>
              </w:rPr>
            </w:pPr>
            <w:r>
              <w:rPr>
                <w:rFonts w:ascii="Arial" w:cs="Arial" w:eastAsia="Arial" w:hAnsi="Arial"/>
                <w:sz w:val="14"/>
                <w:szCs w:val="14"/>
                <w:color w:val="auto"/>
              </w:rPr>
              <w:t>1,312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4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5,751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5,752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0"/>
        </w:trPr>
        <w:tc>
          <w:tcPr>
            <w:tcW w:w="800" w:type="dxa"/>
            <w:vAlign w:val="bottom"/>
          </w:tcPr>
          <w:p>
            <w:pPr>
              <w:jc w:val="right"/>
              <w:spacing w:after="0"/>
              <w:rPr>
                <w:sz w:val="20"/>
                <w:szCs w:val="20"/>
                <w:color w:val="auto"/>
              </w:rPr>
            </w:pPr>
            <w:r>
              <w:rPr>
                <w:rFonts w:ascii="Arial" w:cs="Arial" w:eastAsia="Arial" w:hAnsi="Arial"/>
                <w:sz w:val="14"/>
                <w:szCs w:val="14"/>
                <w:color w:val="auto"/>
              </w:rPr>
              <w:t>(83)</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tcPr>
          <w:p>
            <w:pPr>
              <w:ind w:left="560"/>
              <w:spacing w:after="0"/>
              <w:rPr>
                <w:sz w:val="20"/>
                <w:szCs w:val="20"/>
                <w:color w:val="auto"/>
              </w:rPr>
            </w:pPr>
            <w:r>
              <w:rPr>
                <w:rFonts w:ascii="Arial" w:cs="Arial" w:eastAsia="Arial" w:hAnsi="Arial"/>
                <w:sz w:val="14"/>
                <w:szCs w:val="14"/>
                <w:color w:val="auto"/>
              </w:rPr>
              <w:t>83</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(1,024)</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(1,024)</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00" w:type="dxa"/>
            <w:vAlign w:val="bottom"/>
          </w:tcPr>
          <w:p>
            <w:pPr>
              <w:jc w:val="right"/>
              <w:ind w:right="8"/>
              <w:spacing w:after="0"/>
              <w:rPr>
                <w:sz w:val="20"/>
                <w:szCs w:val="20"/>
                <w:color w:val="auto"/>
              </w:rPr>
            </w:pPr>
            <w:r>
              <w:rPr>
                <w:rFonts w:ascii="Arial" w:cs="Arial" w:eastAsia="Arial" w:hAnsi="Arial"/>
                <w:sz w:val="14"/>
                <w:szCs w:val="14"/>
                <w:b w:val="1"/>
                <w:bCs w:val="1"/>
                <w:color w:val="auto"/>
              </w:rPr>
              <w:t>52,666</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52</w:t>
            </w: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87,116</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87</w:t>
            </w:r>
          </w:p>
        </w:tc>
        <w:tc>
          <w:tcPr>
            <w:tcW w:w="100" w:type="dxa"/>
            <w:vAlign w:val="bottom"/>
          </w:tcPr>
          <w:p>
            <w:pPr>
              <w:spacing w:after="0"/>
              <w:rPr>
                <w:sz w:val="16"/>
                <w:szCs w:val="16"/>
                <w:color w:val="auto"/>
              </w:rPr>
            </w:pPr>
          </w:p>
        </w:tc>
        <w:tc>
          <w:tcPr>
            <w:tcW w:w="760" w:type="dxa"/>
            <w:vAlign w:val="bottom"/>
          </w:tcPr>
          <w:p>
            <w:pPr>
              <w:ind w:left="560"/>
              <w:spacing w:after="0"/>
              <w:rPr>
                <w:sz w:val="20"/>
                <w:szCs w:val="20"/>
                <w:color w:val="auto"/>
              </w:rPr>
            </w:pPr>
            <w:r>
              <w:rPr>
                <w:rFonts w:ascii="Arial" w:cs="Arial" w:eastAsia="Arial" w:hAnsi="Arial"/>
                <w:sz w:val="14"/>
                <w:szCs w:val="14"/>
                <w:b w:val="1"/>
                <w:bCs w:val="1"/>
                <w:color w:val="auto"/>
              </w:rPr>
              <w:t>83</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gridSpan w:val="2"/>
          </w:tcPr>
          <w:p>
            <w:pPr>
              <w:ind w:left="44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114,076</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194,273</w:t>
            </w:r>
          </w:p>
        </w:tc>
        <w:tc>
          <w:tcPr>
            <w:tcW w:w="8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308,488</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3"/>
        </w:trPr>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gridSpan w:val="5"/>
          </w:tcPr>
          <w:p>
            <w:pPr>
              <w:ind w:left="160"/>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60" w:type="dxa"/>
            <w:vAlign w:val="bottom"/>
            <w:gridSpan w:val="5"/>
          </w:tcPr>
          <w:p>
            <w:pPr>
              <w:jc w:val="center"/>
              <w:ind w:left="788"/>
              <w:spacing w:after="0" w:line="160" w:lineRule="exact"/>
              <w:rPr>
                <w:sz w:val="20"/>
                <w:szCs w:val="20"/>
                <w:color w:val="auto"/>
              </w:rPr>
            </w:pPr>
            <w:r>
              <w:rPr>
                <w:rFonts w:ascii="Arial" w:cs="Arial" w:eastAsia="Arial" w:hAnsi="Arial"/>
                <w:sz w:val="14"/>
                <w:szCs w:val="14"/>
                <w:b w:val="1"/>
                <w:bCs w:val="1"/>
                <w:color w:val="auto"/>
                <w:w w:val="91"/>
              </w:rPr>
              <w:t>Total Stockholders'</w:t>
            </w: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4"/>
          </w:tcPr>
          <w:p>
            <w:pPr>
              <w:ind w:left="22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5"/>
          </w:tcPr>
          <w:p>
            <w:pPr>
              <w:ind w:left="340"/>
              <w:spacing w:after="0"/>
              <w:rPr>
                <w:sz w:val="20"/>
                <w:szCs w:val="20"/>
                <w:color w:val="auto"/>
              </w:rPr>
            </w:pPr>
            <w:r>
              <w:rPr>
                <w:rFonts w:ascii="Arial" w:cs="Arial" w:eastAsia="Arial" w:hAnsi="Arial"/>
                <w:sz w:val="14"/>
                <w:szCs w:val="14"/>
                <w:b w:val="1"/>
                <w:bCs w:val="1"/>
                <w:color w:val="auto"/>
              </w:rPr>
              <w:t>Treasury Stock</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Equity</w:t>
            </w: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720" w:type="dxa"/>
            <w:vAlign w:val="bottom"/>
            <w:tcBorders>
              <w:bottom w:val="single" w:sz="8" w:color="auto"/>
            </w:tcBorders>
            <w:gridSpan w:val="5"/>
          </w:tcPr>
          <w:p>
            <w:pPr>
              <w:spacing w:after="0"/>
              <w:rPr>
                <w:sz w:val="2"/>
                <w:szCs w:val="2"/>
                <w:color w:val="auto"/>
              </w:rPr>
            </w:pPr>
          </w:p>
        </w:tc>
        <w:tc>
          <w:tcPr>
            <w:tcW w:w="160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gridSpan w:val="4"/>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720" w:type="dxa"/>
            <w:vAlign w:val="bottom"/>
            <w:gridSpan w:val="5"/>
          </w:tcPr>
          <w:p>
            <w:pPr>
              <w:ind w:left="600"/>
              <w:spacing w:after="0"/>
              <w:rPr>
                <w:sz w:val="20"/>
                <w:szCs w:val="20"/>
                <w:color w:val="auto"/>
              </w:rPr>
            </w:pPr>
            <w:r>
              <w:rPr>
                <w:rFonts w:ascii="Arial" w:cs="Arial" w:eastAsia="Arial" w:hAnsi="Arial"/>
                <w:sz w:val="14"/>
                <w:szCs w:val="14"/>
                <w:b w:val="1"/>
                <w:bCs w:val="1"/>
                <w:color w:val="auto"/>
              </w:rPr>
              <w:t>Class A</w:t>
            </w:r>
          </w:p>
        </w:tc>
        <w:tc>
          <w:tcPr>
            <w:tcW w:w="1700" w:type="dxa"/>
            <w:vAlign w:val="bottom"/>
            <w:gridSpan w:val="5"/>
          </w:tcPr>
          <w:p>
            <w:pPr>
              <w:ind w:left="580"/>
              <w:spacing w:after="0"/>
              <w:rPr>
                <w:sz w:val="20"/>
                <w:szCs w:val="20"/>
                <w:color w:val="auto"/>
              </w:rPr>
            </w:pPr>
            <w:r>
              <w:rPr>
                <w:rFonts w:ascii="Arial" w:cs="Arial" w:eastAsia="Arial" w:hAnsi="Arial"/>
                <w:sz w:val="14"/>
                <w:szCs w:val="14"/>
                <w:b w:val="1"/>
                <w:bCs w:val="1"/>
                <w:color w:val="auto"/>
              </w:rPr>
              <w:t>Class B</w:t>
            </w:r>
          </w:p>
        </w:tc>
        <w:tc>
          <w:tcPr>
            <w:tcW w:w="1700" w:type="dxa"/>
            <w:vAlign w:val="bottom"/>
            <w:gridSpan w:val="5"/>
          </w:tcPr>
          <w:p>
            <w:pPr>
              <w:ind w:left="560"/>
              <w:spacing w:after="0"/>
              <w:rPr>
                <w:sz w:val="20"/>
                <w:szCs w:val="20"/>
                <w:color w:val="auto"/>
              </w:rPr>
            </w:pPr>
            <w:r>
              <w:rPr>
                <w:rFonts w:ascii="Arial" w:cs="Arial" w:eastAsia="Arial" w:hAnsi="Arial"/>
                <w:sz w:val="14"/>
                <w:szCs w:val="14"/>
                <w:b w:val="1"/>
                <w:bCs w:val="1"/>
                <w:color w:val="auto"/>
              </w:rPr>
              <w:t>Class A</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Retained</w:t>
            </w:r>
          </w:p>
        </w:tc>
        <w:tc>
          <w:tcPr>
            <w:tcW w:w="120" w:type="dxa"/>
            <w:vAlign w:val="bottom"/>
          </w:tcPr>
          <w:p>
            <w:pPr>
              <w:spacing w:after="0"/>
              <w:rPr>
                <w:sz w:val="2"/>
                <w:szCs w:val="2"/>
                <w:color w:val="auto"/>
              </w:rPr>
            </w:pPr>
          </w:p>
        </w:tc>
        <w:tc>
          <w:tcPr>
            <w:tcW w:w="9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6"/>
              </w:rPr>
              <w:t>Additional</w:t>
            </w:r>
          </w:p>
        </w:tc>
        <w:tc>
          <w:tcPr>
            <w:tcW w:w="200" w:type="dxa"/>
            <w:vAlign w:val="bottom"/>
          </w:tcPr>
          <w:p>
            <w:pPr>
              <w:spacing w:after="0"/>
              <w:rPr>
                <w:sz w:val="2"/>
                <w:szCs w:val="2"/>
                <w:color w:val="auto"/>
              </w:rPr>
            </w:pPr>
          </w:p>
        </w:tc>
        <w:tc>
          <w:tcPr>
            <w:tcW w:w="78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w w:val="95"/>
              </w:rPr>
              <w:t>Total</w:t>
            </w: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Earnings</w:t>
            </w:r>
          </w:p>
        </w:tc>
        <w:tc>
          <w:tcPr>
            <w:tcW w:w="1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(Accumulated</w:t>
            </w:r>
          </w:p>
        </w:tc>
        <w:tc>
          <w:tcPr>
            <w:tcW w:w="12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Paid-in</w:t>
            </w: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Stockholders'</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880" w:type="dxa"/>
            <w:vAlign w:val="bottom"/>
            <w:gridSpan w:val="2"/>
          </w:tcPr>
          <w:p>
            <w:pPr>
              <w:ind w:left="30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6"/>
                <w:szCs w:val="16"/>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840" w:type="dxa"/>
            <w:vAlign w:val="bottom"/>
            <w:gridSpan w:val="2"/>
          </w:tcPr>
          <w:p>
            <w:pPr>
              <w:ind w:left="18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6"/>
                <w:szCs w:val="16"/>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840" w:type="dxa"/>
            <w:vAlign w:val="bottom"/>
            <w:gridSpan w:val="2"/>
          </w:tcPr>
          <w:p>
            <w:pPr>
              <w:ind w:left="16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6"/>
                <w:szCs w:val="16"/>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Deficit)</w:t>
            </w:r>
          </w:p>
        </w:tc>
        <w:tc>
          <w:tcPr>
            <w:tcW w:w="120" w:type="dxa"/>
            <w:vAlign w:val="bottom"/>
          </w:tcPr>
          <w:p>
            <w:pPr>
              <w:spacing w:after="0"/>
              <w:rPr>
                <w:sz w:val="16"/>
                <w:szCs w:val="16"/>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Capital</w:t>
            </w:r>
          </w:p>
        </w:tc>
        <w:tc>
          <w:tcPr>
            <w:tcW w:w="200" w:type="dxa"/>
            <w:vAlign w:val="bottom"/>
          </w:tcPr>
          <w:p>
            <w:pPr>
              <w:spacing w:after="0"/>
              <w:rPr>
                <w:sz w:val="16"/>
                <w:szCs w:val="16"/>
                <w:color w:val="auto"/>
              </w:rPr>
            </w:pPr>
          </w:p>
        </w:tc>
        <w:tc>
          <w:tcPr>
            <w:tcW w:w="780" w:type="dxa"/>
            <w:vAlign w:val="bottom"/>
          </w:tcPr>
          <w:p>
            <w:pPr>
              <w:jc w:val="center"/>
              <w:ind w:right="128"/>
              <w:spacing w:after="0"/>
              <w:rPr>
                <w:sz w:val="20"/>
                <w:szCs w:val="20"/>
                <w:color w:val="auto"/>
              </w:rPr>
            </w:pPr>
            <w:r>
              <w:rPr>
                <w:rFonts w:ascii="Arial" w:cs="Arial" w:eastAsia="Arial" w:hAnsi="Arial"/>
                <w:sz w:val="14"/>
                <w:szCs w:val="14"/>
                <w:b w:val="1"/>
                <w:bCs w:val="1"/>
                <w:color w:val="auto"/>
                <w:w w:val="98"/>
              </w:rPr>
              <w:t>Equity</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8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50,428</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50</w:t>
            </w:r>
          </w:p>
        </w:tc>
        <w:tc>
          <w:tcPr>
            <w:tcW w:w="80" w:type="dxa"/>
            <w:vAlign w:val="bottom"/>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86,519</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87</w:t>
            </w:r>
          </w:p>
        </w:tc>
        <w:tc>
          <w:tcPr>
            <w:tcW w:w="100" w:type="dxa"/>
            <w:vAlign w:val="bottom"/>
          </w:tcPr>
          <w:p>
            <w:pPr>
              <w:spacing w:after="0"/>
              <w:rPr>
                <w:sz w:val="16"/>
                <w:szCs w:val="16"/>
                <w:color w:val="auto"/>
              </w:rPr>
            </w:pPr>
          </w:p>
        </w:tc>
        <w:tc>
          <w:tcPr>
            <w:tcW w:w="76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(116,581)</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186,209</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69,765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89,633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89,633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0"/>
        </w:trPr>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4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(1,278)</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(1,278)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4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jc w:val="right"/>
              <w:ind w:right="8"/>
              <w:spacing w:after="0"/>
              <w:rPr>
                <w:sz w:val="20"/>
                <w:szCs w:val="20"/>
                <w:color w:val="auto"/>
              </w:rPr>
            </w:pPr>
            <w:r>
              <w:rPr>
                <w:rFonts w:ascii="Arial" w:cs="Arial" w:eastAsia="Arial" w:hAnsi="Arial"/>
                <w:sz w:val="14"/>
                <w:szCs w:val="14"/>
                <w:color w:val="auto"/>
              </w:rPr>
              <w:t>1,009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597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4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2,612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2,613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00" w:type="dxa"/>
            <w:vAlign w:val="bottom"/>
          </w:tcPr>
          <w:p>
            <w:pPr>
              <w:jc w:val="right"/>
              <w:ind w:right="8"/>
              <w:spacing w:after="0"/>
              <w:rPr>
                <w:sz w:val="20"/>
                <w:szCs w:val="20"/>
                <w:color w:val="auto"/>
              </w:rPr>
            </w:pPr>
            <w:r>
              <w:rPr>
                <w:rFonts w:ascii="Arial" w:cs="Arial" w:eastAsia="Arial" w:hAnsi="Arial"/>
                <w:sz w:val="14"/>
                <w:szCs w:val="14"/>
                <w:b w:val="1"/>
                <w:bCs w:val="1"/>
                <w:color w:val="auto"/>
              </w:rPr>
              <w:t>51,437</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51</w:t>
            </w: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87,116</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87</w:t>
            </w:r>
          </w:p>
        </w:tc>
        <w:tc>
          <w:tcPr>
            <w:tcW w:w="100" w:type="dxa"/>
            <w:vAlign w:val="bottom"/>
          </w:tcPr>
          <w:p>
            <w:pPr>
              <w:spacing w:after="0"/>
              <w:rPr>
                <w:sz w:val="16"/>
                <w:szCs w:val="16"/>
                <w:color w:val="auto"/>
              </w:rPr>
            </w:pPr>
          </w:p>
        </w:tc>
        <w:tc>
          <w:tcPr>
            <w:tcW w:w="840" w:type="dxa"/>
            <w:vAlign w:val="bottom"/>
            <w:gridSpan w:val="2"/>
          </w:tcPr>
          <w:p>
            <w:pPr>
              <w:ind w:left="5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gridSpan w:val="2"/>
          </w:tcPr>
          <w:p>
            <w:pPr>
              <w:ind w:left="44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(26,948)</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187,605</w:t>
            </w:r>
          </w:p>
        </w:tc>
        <w:tc>
          <w:tcPr>
            <w:tcW w:w="8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160,795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-1759585</wp:posOffset>
            </wp:positionH>
            <wp:positionV relativeFrom="paragraph">
              <wp:posOffset>-3291205</wp:posOffset>
            </wp:positionV>
            <wp:extent cx="7080885"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80885" cy="137160"/>
                    </a:xfrm>
                    <a:prstGeom prst="rect">
                      <a:avLst/>
                    </a:prstGeom>
                    <a:noFill/>
                  </pic:spPr>
                </pic:pic>
              </a:graphicData>
            </a:graphic>
          </wp:anchor>
        </w:drawing>
        <w:drawing>
          <wp:anchor simplePos="0" relativeHeight="251657728" behindDoc="1" locked="0" layoutInCell="0" allowOverlap="1">
            <wp:simplePos x="0" y="0"/>
            <wp:positionH relativeFrom="column">
              <wp:posOffset>-1759585</wp:posOffset>
            </wp:positionH>
            <wp:positionV relativeFrom="paragraph">
              <wp:posOffset>-3007995</wp:posOffset>
            </wp:positionV>
            <wp:extent cx="7080885"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80885" cy="137160"/>
                    </a:xfrm>
                    <a:prstGeom prst="rect">
                      <a:avLst/>
                    </a:prstGeom>
                    <a:noFill/>
                  </pic:spPr>
                </pic:pic>
              </a:graphicData>
            </a:graphic>
          </wp:anchor>
        </w:drawing>
        <w:drawing>
          <wp:anchor simplePos="0" relativeHeight="251657728" behindDoc="1" locked="0" layoutInCell="0" allowOverlap="1">
            <wp:simplePos x="0" y="0"/>
            <wp:positionH relativeFrom="column">
              <wp:posOffset>-1759585</wp:posOffset>
            </wp:positionH>
            <wp:positionV relativeFrom="paragraph">
              <wp:posOffset>-2734310</wp:posOffset>
            </wp:positionV>
            <wp:extent cx="7080885" cy="3429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80885" cy="342900"/>
                    </a:xfrm>
                    <a:prstGeom prst="rect">
                      <a:avLst/>
                    </a:prstGeom>
                    <a:noFill/>
                  </pic:spPr>
                </pic:pic>
              </a:graphicData>
            </a:graphic>
          </wp:anchor>
        </w:drawing>
        <w:drawing>
          <wp:anchor simplePos="0" relativeHeight="251657728" behindDoc="1" locked="0" layoutInCell="0" allowOverlap="1">
            <wp:simplePos x="0" y="0"/>
            <wp:positionH relativeFrom="column">
              <wp:posOffset>-1759585</wp:posOffset>
            </wp:positionH>
            <wp:positionV relativeFrom="paragraph">
              <wp:posOffset>-1079500</wp:posOffset>
            </wp:positionV>
            <wp:extent cx="7080885"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80885" cy="137160"/>
                    </a:xfrm>
                    <a:prstGeom prst="rect">
                      <a:avLst/>
                    </a:prstGeom>
                    <a:noFill/>
                  </pic:spPr>
                </pic:pic>
              </a:graphicData>
            </a:graphic>
          </wp:anchor>
        </w:drawing>
        <w:drawing>
          <wp:anchor simplePos="0" relativeHeight="251657728" behindDoc="1" locked="0" layoutInCell="0" allowOverlap="1">
            <wp:simplePos x="0" y="0"/>
            <wp:positionH relativeFrom="column">
              <wp:posOffset>-1759585</wp:posOffset>
            </wp:positionH>
            <wp:positionV relativeFrom="paragraph">
              <wp:posOffset>-796290</wp:posOffset>
            </wp:positionV>
            <wp:extent cx="7080885" cy="3429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80885" cy="342900"/>
                    </a:xfrm>
                    <a:prstGeom prst="rect">
                      <a:avLst/>
                    </a:prstGeom>
                    <a:noFill/>
                  </pic:spPr>
                </pic:pic>
              </a:graphicData>
            </a:graphic>
          </wp:anchor>
        </w:drawing>
        <w:drawing>
          <wp:anchor simplePos="0" relativeHeight="251657728" behindDoc="1" locked="0" layoutInCell="0" allowOverlap="1">
            <wp:simplePos x="0" y="0"/>
            <wp:positionH relativeFrom="column">
              <wp:posOffset>-1759585</wp:posOffset>
            </wp:positionH>
            <wp:positionV relativeFrom="paragraph">
              <wp:posOffset>-316865</wp:posOffset>
            </wp:positionV>
            <wp:extent cx="7080885"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80885"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60" w:space="300"/>
            <w:col w:w="8460"/>
          </w:cols>
          <w:pgMar w:left="340" w:top="17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75" w:right="339" w:bottom="1440" w:gutter="0" w:footer="0" w:header="0"/>
          <w:type w:val="continuous"/>
        </w:sectPr>
      </w:pPr>
    </w:p>
    <w:bookmarkStart w:id="6" w:name="page7"/>
    <w:bookmarkEnd w:id="6"/>
    <w:p>
      <w:pPr>
        <w:ind w:left="4480"/>
        <w:spacing w:after="0"/>
        <w:rPr>
          <w:sz w:val="20"/>
          <w:szCs w:val="20"/>
          <w:color w:val="auto"/>
        </w:rPr>
      </w:pPr>
      <w:r>
        <w:rPr>
          <w:rFonts w:ascii="Arial" w:cs="Arial" w:eastAsia="Arial" w:hAnsi="Arial"/>
          <w:sz w:val="18"/>
          <w:szCs w:val="18"/>
          <w:b w:val="1"/>
          <w:bCs w:val="1"/>
          <w:color w:val="auto"/>
        </w:rPr>
        <w:t>Arhaus, Inc. and Subsidiaries</w:t>
      </w:r>
    </w:p>
    <w:p>
      <w:pPr>
        <w:spacing w:after="0" w:line="25"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Condensed Consolidated Statements of Changes in Stockholders’ Equity (continued)</w:t>
      </w:r>
    </w:p>
    <w:p>
      <w:pPr>
        <w:jc w:val="center"/>
        <w:spacing w:after="0"/>
        <w:rPr>
          <w:sz w:val="20"/>
          <w:szCs w:val="20"/>
          <w:color w:val="auto"/>
        </w:rPr>
      </w:pPr>
      <w:r>
        <w:rPr>
          <w:rFonts w:ascii="Arial" w:cs="Arial" w:eastAsia="Arial" w:hAnsi="Arial"/>
          <w:sz w:val="18"/>
          <w:szCs w:val="18"/>
          <w:b w:val="1"/>
          <w:bCs w:val="1"/>
          <w:color w:val="auto"/>
        </w:rPr>
        <w:t>(Unaudited, 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40" w:type="dxa"/>
            <w:vAlign w:val="bottom"/>
            <w:gridSpan w:val="6"/>
          </w:tcPr>
          <w:p>
            <w:pPr>
              <w:ind w:left="6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8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2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80" w:type="dxa"/>
            <w:vAlign w:val="bottom"/>
            <w:gridSpan w:val="5"/>
          </w:tcPr>
          <w:p>
            <w:pPr>
              <w:jc w:val="center"/>
              <w:ind w:left="788"/>
              <w:spacing w:after="0" w:line="160" w:lineRule="exact"/>
              <w:rPr>
                <w:sz w:val="20"/>
                <w:szCs w:val="20"/>
                <w:color w:val="auto"/>
              </w:rPr>
            </w:pPr>
            <w:r>
              <w:rPr>
                <w:rFonts w:ascii="Arial" w:cs="Arial" w:eastAsia="Arial" w:hAnsi="Arial"/>
                <w:sz w:val="14"/>
                <w:szCs w:val="14"/>
                <w:b w:val="1"/>
                <w:bCs w:val="1"/>
                <w:color w:val="auto"/>
                <w:w w:val="92"/>
              </w:rPr>
              <w:t>Total Stockholders'</w:t>
            </w: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4"/>
          </w:tcPr>
          <w:p>
            <w:pPr>
              <w:ind w:left="24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5"/>
          </w:tcPr>
          <w:p>
            <w:pPr>
              <w:ind w:left="200"/>
              <w:spacing w:after="0"/>
              <w:rPr>
                <w:sz w:val="20"/>
                <w:szCs w:val="20"/>
                <w:color w:val="auto"/>
              </w:rPr>
            </w:pPr>
            <w:r>
              <w:rPr>
                <w:rFonts w:ascii="Arial" w:cs="Arial" w:eastAsia="Arial" w:hAnsi="Arial"/>
                <w:sz w:val="14"/>
                <w:szCs w:val="14"/>
                <w:b w:val="1"/>
                <w:bCs w:val="1"/>
                <w:color w:val="auto"/>
              </w:rPr>
              <w:t>Treasury Stock</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Equity</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820" w:type="dxa"/>
            <w:vAlign w:val="bottom"/>
          </w:tcPr>
          <w:p>
            <w:pPr>
              <w:spacing w:after="0"/>
              <w:rPr>
                <w:sz w:val="2"/>
                <w:szCs w:val="2"/>
                <w:color w:val="auto"/>
              </w:rPr>
            </w:pPr>
          </w:p>
        </w:tc>
        <w:tc>
          <w:tcPr>
            <w:tcW w:w="1760" w:type="dxa"/>
            <w:vAlign w:val="bottom"/>
            <w:tcBorders>
              <w:bottom w:val="single" w:sz="8" w:color="auto"/>
            </w:tcBorders>
            <w:gridSpan w:val="5"/>
          </w:tcPr>
          <w:p>
            <w:pPr>
              <w:spacing w:after="0"/>
              <w:rPr>
                <w:sz w:val="2"/>
                <w:szCs w:val="2"/>
                <w:color w:val="auto"/>
              </w:rPr>
            </w:pPr>
          </w:p>
        </w:tc>
        <w:tc>
          <w:tcPr>
            <w:tcW w:w="1660" w:type="dxa"/>
            <w:vAlign w:val="bottom"/>
            <w:tcBorders>
              <w:bottom w:val="single" w:sz="8" w:color="auto"/>
            </w:tcBorders>
            <w:gridSpan w:val="4"/>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4"/>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820" w:type="dxa"/>
            <w:vAlign w:val="bottom"/>
          </w:tcPr>
          <w:p>
            <w:pPr>
              <w:spacing w:after="0"/>
              <w:rPr>
                <w:sz w:val="16"/>
                <w:szCs w:val="16"/>
                <w:color w:val="auto"/>
              </w:rPr>
            </w:pPr>
          </w:p>
        </w:tc>
        <w:tc>
          <w:tcPr>
            <w:tcW w:w="1760" w:type="dxa"/>
            <w:vAlign w:val="bottom"/>
            <w:gridSpan w:val="5"/>
          </w:tcPr>
          <w:p>
            <w:pPr>
              <w:ind w:left="600"/>
              <w:spacing w:after="0"/>
              <w:rPr>
                <w:sz w:val="20"/>
                <w:szCs w:val="20"/>
                <w:color w:val="auto"/>
              </w:rPr>
            </w:pPr>
            <w:r>
              <w:rPr>
                <w:rFonts w:ascii="Arial" w:cs="Arial" w:eastAsia="Arial" w:hAnsi="Arial"/>
                <w:sz w:val="14"/>
                <w:szCs w:val="14"/>
                <w:b w:val="1"/>
                <w:bCs w:val="1"/>
                <w:color w:val="auto"/>
              </w:rPr>
              <w:t>Class A</w:t>
            </w:r>
          </w:p>
        </w:tc>
        <w:tc>
          <w:tcPr>
            <w:tcW w:w="1740" w:type="dxa"/>
            <w:vAlign w:val="bottom"/>
            <w:gridSpan w:val="5"/>
          </w:tcPr>
          <w:p>
            <w:pPr>
              <w:ind w:left="600"/>
              <w:spacing w:after="0"/>
              <w:rPr>
                <w:sz w:val="20"/>
                <w:szCs w:val="20"/>
                <w:color w:val="auto"/>
              </w:rPr>
            </w:pPr>
            <w:r>
              <w:rPr>
                <w:rFonts w:ascii="Arial" w:cs="Arial" w:eastAsia="Arial" w:hAnsi="Arial"/>
                <w:sz w:val="14"/>
                <w:szCs w:val="14"/>
                <w:b w:val="1"/>
                <w:bCs w:val="1"/>
                <w:color w:val="auto"/>
              </w:rPr>
              <w:t>Class B</w:t>
            </w:r>
          </w:p>
        </w:tc>
        <w:tc>
          <w:tcPr>
            <w:tcW w:w="120" w:type="dxa"/>
            <w:vAlign w:val="bottom"/>
          </w:tcPr>
          <w:p>
            <w:pPr>
              <w:spacing w:after="0"/>
              <w:rPr>
                <w:sz w:val="16"/>
                <w:szCs w:val="16"/>
                <w:color w:val="auto"/>
              </w:rPr>
            </w:pPr>
          </w:p>
        </w:tc>
        <w:tc>
          <w:tcPr>
            <w:tcW w:w="1520" w:type="dxa"/>
            <w:vAlign w:val="bottom"/>
            <w:gridSpan w:val="5"/>
          </w:tcPr>
          <w:p>
            <w:pPr>
              <w:ind w:left="420"/>
              <w:spacing w:after="0"/>
              <w:rPr>
                <w:sz w:val="20"/>
                <w:szCs w:val="20"/>
                <w:color w:val="auto"/>
              </w:rPr>
            </w:pPr>
            <w:r>
              <w:rPr>
                <w:rFonts w:ascii="Arial" w:cs="Arial" w:eastAsia="Arial" w:hAnsi="Arial"/>
                <w:sz w:val="14"/>
                <w:szCs w:val="14"/>
                <w:b w:val="1"/>
                <w:bCs w:val="1"/>
                <w:color w:val="auto"/>
              </w:rPr>
              <w:t>Class A</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8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1"/>
              </w:rPr>
              <w:t>Retained</w:t>
            </w:r>
          </w:p>
        </w:tc>
        <w:tc>
          <w:tcPr>
            <w:tcW w:w="120" w:type="dxa"/>
            <w:vAlign w:val="bottom"/>
          </w:tcPr>
          <w:p>
            <w:pPr>
              <w:spacing w:after="0"/>
              <w:rPr>
                <w:sz w:val="2"/>
                <w:szCs w:val="2"/>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2"/>
                <w:szCs w:val="2"/>
                <w:color w:val="auto"/>
              </w:rPr>
            </w:pPr>
          </w:p>
        </w:tc>
        <w:tc>
          <w:tcPr>
            <w:tcW w:w="80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60"/>
        </w:trPr>
        <w:tc>
          <w:tcPr>
            <w:tcW w:w="2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86"/>
        </w:trPr>
        <w:tc>
          <w:tcPr>
            <w:tcW w:w="2820" w:type="dxa"/>
            <w:vAlign w:val="bottom"/>
          </w:tcPr>
          <w:p>
            <w:pPr>
              <w:spacing w:after="0"/>
              <w:rPr>
                <w:sz w:val="16"/>
                <w:szCs w:val="16"/>
                <w:color w:val="auto"/>
              </w:rPr>
            </w:pPr>
          </w:p>
        </w:tc>
        <w:tc>
          <w:tcPr>
            <w:tcW w:w="880" w:type="dxa"/>
            <w:vAlign w:val="bottom"/>
            <w:gridSpan w:val="2"/>
          </w:tcPr>
          <w:p>
            <w:pPr>
              <w:ind w:left="30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6"/>
                <w:szCs w:val="16"/>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860" w:type="dxa"/>
            <w:vAlign w:val="bottom"/>
            <w:gridSpan w:val="2"/>
          </w:tcPr>
          <w:p>
            <w:pPr>
              <w:ind w:left="18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6"/>
                <w:szCs w:val="16"/>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700" w:type="dxa"/>
            <w:vAlign w:val="bottom"/>
            <w:gridSpan w:val="2"/>
          </w:tcPr>
          <w:p>
            <w:pPr>
              <w:ind w:left="4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6"/>
                <w:szCs w:val="16"/>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Earnings</w:t>
            </w: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Paid-in Capital</w:t>
            </w:r>
          </w:p>
        </w:tc>
        <w:tc>
          <w:tcPr>
            <w:tcW w:w="180" w:type="dxa"/>
            <w:vAlign w:val="bottom"/>
          </w:tcPr>
          <w:p>
            <w:pPr>
              <w:spacing w:after="0"/>
              <w:rPr>
                <w:sz w:val="16"/>
                <w:szCs w:val="16"/>
                <w:color w:val="auto"/>
              </w:rPr>
            </w:pPr>
          </w:p>
        </w:tc>
        <w:tc>
          <w:tcPr>
            <w:tcW w:w="800" w:type="dxa"/>
            <w:vAlign w:val="bottom"/>
          </w:tcPr>
          <w:p>
            <w:pPr>
              <w:jc w:val="center"/>
              <w:ind w:right="10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6"/>
        </w:trPr>
        <w:tc>
          <w:tcPr>
            <w:tcW w:w="28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Balances as of June 30, 2023</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52,345</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52</w:t>
            </w:r>
          </w:p>
        </w:tc>
        <w:tc>
          <w:tcPr>
            <w:tcW w:w="100" w:type="dxa"/>
            <w:vAlign w:val="bottom"/>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87,116</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87</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4"/>
                <w:szCs w:val="14"/>
                <w:b w:val="1"/>
                <w:bCs w:val="1"/>
                <w:color w:val="auto"/>
              </w:rPr>
              <w:t>25</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4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94,335</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193,090</w:t>
            </w:r>
          </w:p>
        </w:tc>
        <w:tc>
          <w:tcPr>
            <w:tcW w:w="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287,564</w:t>
            </w:r>
          </w:p>
        </w:tc>
        <w:tc>
          <w:tcPr>
            <w:tcW w:w="0" w:type="dxa"/>
            <w:vAlign w:val="bottom"/>
          </w:tcPr>
          <w:p>
            <w:pPr>
              <w:spacing w:after="0"/>
              <w:rPr>
                <w:sz w:val="1"/>
                <w:szCs w:val="1"/>
                <w:color w:val="auto"/>
              </w:rPr>
            </w:pPr>
          </w:p>
        </w:tc>
      </w:tr>
      <w:tr>
        <w:trPr>
          <w:trHeight w:val="190"/>
        </w:trPr>
        <w:tc>
          <w:tcPr>
            <w:tcW w:w="28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19,741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19,741</w:t>
            </w:r>
          </w:p>
        </w:tc>
        <w:tc>
          <w:tcPr>
            <w:tcW w:w="0" w:type="dxa"/>
            <w:vAlign w:val="bottom"/>
          </w:tcPr>
          <w:p>
            <w:pPr>
              <w:spacing w:after="0"/>
              <w:rPr>
                <w:sz w:val="1"/>
                <w:szCs w:val="1"/>
                <w:color w:val="auto"/>
              </w:rPr>
            </w:pPr>
          </w:p>
        </w:tc>
      </w:tr>
      <w:tr>
        <w:trPr>
          <w:trHeight w:val="26"/>
        </w:trPr>
        <w:tc>
          <w:tcPr>
            <w:tcW w:w="2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Shareholder capital contribution</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91"/>
        </w:trPr>
        <w:tc>
          <w:tcPr>
            <w:tcW w:w="2820" w:type="dxa"/>
            <w:vAlign w:val="bottom"/>
          </w:tcPr>
          <w:p>
            <w:pPr>
              <w:ind w:left="20"/>
              <w:spacing w:after="0"/>
              <w:rPr>
                <w:sz w:val="20"/>
                <w:szCs w:val="20"/>
                <w:color w:val="auto"/>
              </w:rPr>
            </w:pPr>
            <w:r>
              <w:rPr>
                <w:rFonts w:ascii="Arial" w:cs="Arial" w:eastAsia="Arial" w:hAnsi="Arial"/>
                <w:sz w:val="14"/>
                <w:szCs w:val="14"/>
                <w:color w:val="auto"/>
              </w:rPr>
              <w:t>Equity based compensation</w:t>
            </w:r>
          </w:p>
        </w:tc>
        <w:tc>
          <w:tcPr>
            <w:tcW w:w="800" w:type="dxa"/>
            <w:vAlign w:val="bottom"/>
          </w:tcPr>
          <w:p>
            <w:pPr>
              <w:jc w:val="right"/>
              <w:spacing w:after="0"/>
              <w:rPr>
                <w:sz w:val="20"/>
                <w:szCs w:val="20"/>
                <w:color w:val="auto"/>
              </w:rPr>
            </w:pPr>
            <w:r>
              <w:rPr>
                <w:rFonts w:ascii="Arial" w:cs="Arial" w:eastAsia="Arial" w:hAnsi="Arial"/>
                <w:sz w:val="14"/>
                <w:szCs w:val="14"/>
                <w:color w:val="auto"/>
              </w:rPr>
              <w:t>379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1,848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1,848</w:t>
            </w:r>
          </w:p>
        </w:tc>
        <w:tc>
          <w:tcPr>
            <w:tcW w:w="0" w:type="dxa"/>
            <w:vAlign w:val="bottom"/>
          </w:tcPr>
          <w:p>
            <w:pPr>
              <w:spacing w:after="0"/>
              <w:rPr>
                <w:sz w:val="1"/>
                <w:szCs w:val="1"/>
                <w:color w:val="auto"/>
              </w:rPr>
            </w:pPr>
          </w:p>
        </w:tc>
      </w:tr>
      <w:tr>
        <w:trPr>
          <w:trHeight w:val="26"/>
        </w:trPr>
        <w:tc>
          <w:tcPr>
            <w:tcW w:w="2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withheld to cover employees'</w:t>
            </w: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withholding taxes for equity based</w:t>
            </w: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compensation</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4"/>
                <w:szCs w:val="14"/>
                <w:color w:val="auto"/>
              </w:rPr>
              <w:t>58</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(677)</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(677)</w:t>
            </w:r>
          </w:p>
        </w:tc>
        <w:tc>
          <w:tcPr>
            <w:tcW w:w="0" w:type="dxa"/>
            <w:vAlign w:val="bottom"/>
          </w:tcPr>
          <w:p>
            <w:pPr>
              <w:spacing w:after="0"/>
              <w:rPr>
                <w:sz w:val="1"/>
                <w:szCs w:val="1"/>
                <w:color w:val="auto"/>
              </w:rPr>
            </w:pPr>
          </w:p>
        </w:tc>
      </w:tr>
      <w:tr>
        <w:trPr>
          <w:trHeight w:val="210"/>
        </w:trPr>
        <w:tc>
          <w:tcPr>
            <w:tcW w:w="2820" w:type="dxa"/>
            <w:vAlign w:val="bottom"/>
          </w:tcPr>
          <w:p>
            <w:pPr>
              <w:ind w:left="20"/>
              <w:spacing w:after="0"/>
              <w:rPr>
                <w:sz w:val="20"/>
                <w:szCs w:val="20"/>
                <w:color w:val="auto"/>
              </w:rPr>
            </w:pPr>
            <w:r>
              <w:rPr>
                <w:rFonts w:ascii="Arial" w:cs="Arial" w:eastAsia="Arial" w:hAnsi="Arial"/>
                <w:sz w:val="14"/>
                <w:szCs w:val="14"/>
                <w:b w:val="1"/>
                <w:bCs w:val="1"/>
                <w:color w:val="auto"/>
              </w:rPr>
              <w:t>September 30, 2023</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52,666</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52</w:t>
            </w:r>
          </w:p>
        </w:tc>
        <w:tc>
          <w:tcPr>
            <w:tcW w:w="10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87,116</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87</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4"/>
                <w:szCs w:val="14"/>
                <w:b w:val="1"/>
                <w:bCs w:val="1"/>
                <w:color w:val="auto"/>
              </w:rPr>
              <w:t>83</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64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114,076</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194,273</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308,488</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3"/>
        </w:trPr>
        <w:tc>
          <w:tcPr>
            <w:tcW w:w="2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gridSpan w:val="6"/>
          </w:tcPr>
          <w:p>
            <w:pPr>
              <w:ind w:left="6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28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2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80" w:type="dxa"/>
            <w:vAlign w:val="bottom"/>
            <w:gridSpan w:val="5"/>
          </w:tcPr>
          <w:p>
            <w:pPr>
              <w:jc w:val="center"/>
              <w:ind w:left="788"/>
              <w:spacing w:after="0" w:line="160" w:lineRule="exact"/>
              <w:rPr>
                <w:sz w:val="20"/>
                <w:szCs w:val="20"/>
                <w:color w:val="auto"/>
              </w:rPr>
            </w:pPr>
            <w:r>
              <w:rPr>
                <w:rFonts w:ascii="Arial" w:cs="Arial" w:eastAsia="Arial" w:hAnsi="Arial"/>
                <w:sz w:val="14"/>
                <w:szCs w:val="14"/>
                <w:b w:val="1"/>
                <w:bCs w:val="1"/>
                <w:color w:val="auto"/>
                <w:w w:val="92"/>
              </w:rPr>
              <w:t>Total Stockholders'</w:t>
            </w: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4"/>
          </w:tcPr>
          <w:p>
            <w:pPr>
              <w:ind w:left="24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5"/>
          </w:tcPr>
          <w:p>
            <w:pPr>
              <w:ind w:left="200"/>
              <w:spacing w:after="0"/>
              <w:rPr>
                <w:sz w:val="20"/>
                <w:szCs w:val="20"/>
                <w:color w:val="auto"/>
              </w:rPr>
            </w:pPr>
            <w:r>
              <w:rPr>
                <w:rFonts w:ascii="Arial" w:cs="Arial" w:eastAsia="Arial" w:hAnsi="Arial"/>
                <w:sz w:val="14"/>
                <w:szCs w:val="14"/>
                <w:b w:val="1"/>
                <w:bCs w:val="1"/>
                <w:color w:val="auto"/>
              </w:rPr>
              <w:t>Treasury Stock</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Equity</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820" w:type="dxa"/>
            <w:vAlign w:val="bottom"/>
          </w:tcPr>
          <w:p>
            <w:pPr>
              <w:spacing w:after="0"/>
              <w:rPr>
                <w:sz w:val="2"/>
                <w:szCs w:val="2"/>
                <w:color w:val="auto"/>
              </w:rPr>
            </w:pPr>
          </w:p>
        </w:tc>
        <w:tc>
          <w:tcPr>
            <w:tcW w:w="1760" w:type="dxa"/>
            <w:vAlign w:val="bottom"/>
            <w:tcBorders>
              <w:bottom w:val="single" w:sz="8" w:color="auto"/>
            </w:tcBorders>
            <w:gridSpan w:val="5"/>
          </w:tcPr>
          <w:p>
            <w:pPr>
              <w:spacing w:after="0"/>
              <w:rPr>
                <w:sz w:val="2"/>
                <w:szCs w:val="2"/>
                <w:color w:val="auto"/>
              </w:rPr>
            </w:pPr>
          </w:p>
        </w:tc>
        <w:tc>
          <w:tcPr>
            <w:tcW w:w="1660" w:type="dxa"/>
            <w:vAlign w:val="bottom"/>
            <w:tcBorders>
              <w:bottom w:val="single" w:sz="8" w:color="auto"/>
            </w:tcBorders>
            <w:gridSpan w:val="4"/>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4"/>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820" w:type="dxa"/>
            <w:vAlign w:val="bottom"/>
          </w:tcPr>
          <w:p>
            <w:pPr>
              <w:spacing w:after="0"/>
              <w:rPr>
                <w:sz w:val="16"/>
                <w:szCs w:val="16"/>
                <w:color w:val="auto"/>
              </w:rPr>
            </w:pPr>
          </w:p>
        </w:tc>
        <w:tc>
          <w:tcPr>
            <w:tcW w:w="1760" w:type="dxa"/>
            <w:vAlign w:val="bottom"/>
            <w:gridSpan w:val="5"/>
          </w:tcPr>
          <w:p>
            <w:pPr>
              <w:ind w:left="600"/>
              <w:spacing w:after="0"/>
              <w:rPr>
                <w:sz w:val="20"/>
                <w:szCs w:val="20"/>
                <w:color w:val="auto"/>
              </w:rPr>
            </w:pPr>
            <w:r>
              <w:rPr>
                <w:rFonts w:ascii="Arial" w:cs="Arial" w:eastAsia="Arial" w:hAnsi="Arial"/>
                <w:sz w:val="14"/>
                <w:szCs w:val="14"/>
                <w:b w:val="1"/>
                <w:bCs w:val="1"/>
                <w:color w:val="auto"/>
              </w:rPr>
              <w:t>Class A</w:t>
            </w:r>
          </w:p>
        </w:tc>
        <w:tc>
          <w:tcPr>
            <w:tcW w:w="1740" w:type="dxa"/>
            <w:vAlign w:val="bottom"/>
            <w:gridSpan w:val="5"/>
          </w:tcPr>
          <w:p>
            <w:pPr>
              <w:ind w:left="600"/>
              <w:spacing w:after="0"/>
              <w:rPr>
                <w:sz w:val="20"/>
                <w:szCs w:val="20"/>
                <w:color w:val="auto"/>
              </w:rPr>
            </w:pPr>
            <w:r>
              <w:rPr>
                <w:rFonts w:ascii="Arial" w:cs="Arial" w:eastAsia="Arial" w:hAnsi="Arial"/>
                <w:sz w:val="14"/>
                <w:szCs w:val="14"/>
                <w:b w:val="1"/>
                <w:bCs w:val="1"/>
                <w:color w:val="auto"/>
              </w:rPr>
              <w:t>Class B</w:t>
            </w:r>
          </w:p>
        </w:tc>
        <w:tc>
          <w:tcPr>
            <w:tcW w:w="120" w:type="dxa"/>
            <w:vAlign w:val="bottom"/>
          </w:tcPr>
          <w:p>
            <w:pPr>
              <w:spacing w:after="0"/>
              <w:rPr>
                <w:sz w:val="16"/>
                <w:szCs w:val="16"/>
                <w:color w:val="auto"/>
              </w:rPr>
            </w:pPr>
          </w:p>
        </w:tc>
        <w:tc>
          <w:tcPr>
            <w:tcW w:w="1520" w:type="dxa"/>
            <w:vAlign w:val="bottom"/>
            <w:gridSpan w:val="5"/>
          </w:tcPr>
          <w:p>
            <w:pPr>
              <w:ind w:left="420"/>
              <w:spacing w:after="0"/>
              <w:rPr>
                <w:sz w:val="20"/>
                <w:szCs w:val="20"/>
                <w:color w:val="auto"/>
              </w:rPr>
            </w:pPr>
            <w:r>
              <w:rPr>
                <w:rFonts w:ascii="Arial" w:cs="Arial" w:eastAsia="Arial" w:hAnsi="Arial"/>
                <w:sz w:val="14"/>
                <w:szCs w:val="14"/>
                <w:b w:val="1"/>
                <w:bCs w:val="1"/>
                <w:color w:val="auto"/>
              </w:rPr>
              <w:t>Class A</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8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1"/>
              </w:rPr>
              <w:t>Retained</w:t>
            </w: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60"/>
        </w:trPr>
        <w:tc>
          <w:tcPr>
            <w:tcW w:w="2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Earnings</w:t>
            </w:r>
          </w:p>
        </w:tc>
        <w:tc>
          <w:tcPr>
            <w:tcW w:w="120" w:type="dxa"/>
            <w:vAlign w:val="bottom"/>
          </w:tcPr>
          <w:p>
            <w:pPr>
              <w:spacing w:after="0"/>
              <w:rPr>
                <w:sz w:val="14"/>
                <w:szCs w:val="14"/>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(Accumulated</w:t>
            </w:r>
          </w:p>
        </w:tc>
        <w:tc>
          <w:tcPr>
            <w:tcW w:w="1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86"/>
        </w:trPr>
        <w:tc>
          <w:tcPr>
            <w:tcW w:w="2820" w:type="dxa"/>
            <w:vAlign w:val="bottom"/>
          </w:tcPr>
          <w:p>
            <w:pPr>
              <w:spacing w:after="0"/>
              <w:rPr>
                <w:sz w:val="16"/>
                <w:szCs w:val="16"/>
                <w:color w:val="auto"/>
              </w:rPr>
            </w:pPr>
          </w:p>
        </w:tc>
        <w:tc>
          <w:tcPr>
            <w:tcW w:w="880" w:type="dxa"/>
            <w:vAlign w:val="bottom"/>
            <w:gridSpan w:val="2"/>
          </w:tcPr>
          <w:p>
            <w:pPr>
              <w:ind w:left="30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6"/>
                <w:szCs w:val="16"/>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860" w:type="dxa"/>
            <w:vAlign w:val="bottom"/>
            <w:gridSpan w:val="2"/>
          </w:tcPr>
          <w:p>
            <w:pPr>
              <w:ind w:left="18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6"/>
                <w:szCs w:val="16"/>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700" w:type="dxa"/>
            <w:vAlign w:val="bottom"/>
            <w:gridSpan w:val="2"/>
          </w:tcPr>
          <w:p>
            <w:pPr>
              <w:ind w:left="4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6"/>
                <w:szCs w:val="16"/>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Deficit)</w:t>
            </w: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Paid-in Capital</w:t>
            </w:r>
          </w:p>
        </w:tc>
        <w:tc>
          <w:tcPr>
            <w:tcW w:w="180" w:type="dxa"/>
            <w:vAlign w:val="bottom"/>
          </w:tcPr>
          <w:p>
            <w:pPr>
              <w:spacing w:after="0"/>
              <w:rPr>
                <w:sz w:val="16"/>
                <w:szCs w:val="16"/>
                <w:color w:val="auto"/>
              </w:rPr>
            </w:pPr>
          </w:p>
        </w:tc>
        <w:tc>
          <w:tcPr>
            <w:tcW w:w="800" w:type="dxa"/>
            <w:vAlign w:val="bottom"/>
          </w:tcPr>
          <w:p>
            <w:pPr>
              <w:jc w:val="center"/>
              <w:ind w:right="10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
        </w:trPr>
        <w:tc>
          <w:tcPr>
            <w:tcW w:w="28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Balances as of June 30, 2022</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51,360</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51</w:t>
            </w:r>
          </w:p>
        </w:tc>
        <w:tc>
          <w:tcPr>
            <w:tcW w:w="100" w:type="dxa"/>
            <w:vAlign w:val="bottom"/>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87,116</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87</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(63,884)</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187,640</w:t>
            </w:r>
          </w:p>
        </w:tc>
        <w:tc>
          <w:tcPr>
            <w:tcW w:w="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123,894</w:t>
            </w:r>
          </w:p>
        </w:tc>
        <w:tc>
          <w:tcPr>
            <w:tcW w:w="0" w:type="dxa"/>
            <w:vAlign w:val="bottom"/>
          </w:tcPr>
          <w:p>
            <w:pPr>
              <w:spacing w:after="0"/>
              <w:rPr>
                <w:sz w:val="1"/>
                <w:szCs w:val="1"/>
                <w:color w:val="auto"/>
              </w:rPr>
            </w:pPr>
          </w:p>
        </w:tc>
      </w:tr>
      <w:tr>
        <w:trPr>
          <w:trHeight w:val="190"/>
        </w:trPr>
        <w:tc>
          <w:tcPr>
            <w:tcW w:w="28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36,936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36,936</w:t>
            </w:r>
          </w:p>
        </w:tc>
        <w:tc>
          <w:tcPr>
            <w:tcW w:w="0" w:type="dxa"/>
            <w:vAlign w:val="bottom"/>
          </w:tcPr>
          <w:p>
            <w:pPr>
              <w:spacing w:after="0"/>
              <w:rPr>
                <w:sz w:val="1"/>
                <w:szCs w:val="1"/>
                <w:color w:val="auto"/>
              </w:rPr>
            </w:pPr>
          </w:p>
        </w:tc>
      </w:tr>
      <w:tr>
        <w:trPr>
          <w:trHeight w:val="25"/>
        </w:trPr>
        <w:tc>
          <w:tcPr>
            <w:tcW w:w="2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 to deferred tax asset impact of</w:t>
            </w: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Reorganization from partnership to a</w:t>
            </w: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corporation</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(1,278)</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(1,278)</w:t>
            </w:r>
          </w:p>
        </w:tc>
        <w:tc>
          <w:tcPr>
            <w:tcW w:w="0" w:type="dxa"/>
            <w:vAlign w:val="bottom"/>
          </w:tcPr>
          <w:p>
            <w:pPr>
              <w:spacing w:after="0"/>
              <w:rPr>
                <w:sz w:val="1"/>
                <w:szCs w:val="1"/>
                <w:color w:val="auto"/>
              </w:rPr>
            </w:pPr>
          </w:p>
        </w:tc>
      </w:tr>
      <w:tr>
        <w:trPr>
          <w:trHeight w:val="190"/>
        </w:trPr>
        <w:tc>
          <w:tcPr>
            <w:tcW w:w="2820" w:type="dxa"/>
            <w:vAlign w:val="bottom"/>
          </w:tcPr>
          <w:p>
            <w:pPr>
              <w:ind w:left="20"/>
              <w:spacing w:after="0"/>
              <w:rPr>
                <w:sz w:val="20"/>
                <w:szCs w:val="20"/>
                <w:color w:val="auto"/>
              </w:rPr>
            </w:pPr>
            <w:r>
              <w:rPr>
                <w:rFonts w:ascii="Arial" w:cs="Arial" w:eastAsia="Arial" w:hAnsi="Arial"/>
                <w:sz w:val="14"/>
                <w:szCs w:val="14"/>
                <w:color w:val="auto"/>
              </w:rPr>
              <w:t>Shareholder capital contribution</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5"/>
        </w:trPr>
        <w:tc>
          <w:tcPr>
            <w:tcW w:w="2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Equity based compensation</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1,224</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1,224</w:t>
            </w:r>
          </w:p>
        </w:tc>
        <w:tc>
          <w:tcPr>
            <w:tcW w:w="0" w:type="dxa"/>
            <w:vAlign w:val="bottom"/>
          </w:tcPr>
          <w:p>
            <w:pPr>
              <w:spacing w:after="0"/>
              <w:rPr>
                <w:sz w:val="1"/>
                <w:szCs w:val="1"/>
                <w:color w:val="auto"/>
              </w:rPr>
            </w:pPr>
          </w:p>
        </w:tc>
      </w:tr>
      <w:tr>
        <w:trPr>
          <w:trHeight w:val="210"/>
        </w:trPr>
        <w:tc>
          <w:tcPr>
            <w:tcW w:w="2820" w:type="dxa"/>
            <w:vAlign w:val="bottom"/>
          </w:tcPr>
          <w:p>
            <w:pPr>
              <w:ind w:left="20"/>
              <w:spacing w:after="0"/>
              <w:rPr>
                <w:sz w:val="20"/>
                <w:szCs w:val="20"/>
                <w:color w:val="auto"/>
              </w:rPr>
            </w:pPr>
            <w:r>
              <w:rPr>
                <w:rFonts w:ascii="Arial" w:cs="Arial" w:eastAsia="Arial" w:hAnsi="Arial"/>
                <w:sz w:val="14"/>
                <w:szCs w:val="14"/>
                <w:b w:val="1"/>
                <w:bCs w:val="1"/>
                <w:color w:val="auto"/>
              </w:rPr>
              <w:t>Balances as of September 30, 2022</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51,437</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51</w:t>
            </w:r>
          </w:p>
        </w:tc>
        <w:tc>
          <w:tcPr>
            <w:tcW w:w="10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87,116</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87</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64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(26,948)</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187,605</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160,795</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7" w:name="page8"/>
    <w:bookmarkEnd w:id="7"/>
    <w:p>
      <w:pPr>
        <w:jc w:val="center"/>
        <w:ind w:right="-259"/>
        <w:spacing w:after="0"/>
        <w:rPr>
          <w:sz w:val="20"/>
          <w:szCs w:val="20"/>
          <w:color w:val="auto"/>
        </w:rPr>
      </w:pPr>
      <w:r>
        <w:rPr>
          <w:rFonts w:ascii="Arial" w:cs="Arial" w:eastAsia="Arial" w:hAnsi="Arial"/>
          <w:sz w:val="18"/>
          <w:szCs w:val="18"/>
          <w:b w:val="1"/>
          <w:bCs w:val="1"/>
          <w:color w:val="auto"/>
        </w:rPr>
        <w:t>Arhaus, Inc. and Subsidiaries</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(Unaudited, amounts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180" w:type="dxa"/>
            <w:vAlign w:val="bottom"/>
            <w:tcBorders>
              <w:top w:val="single" w:sz="8" w:color="auto"/>
            </w:tcBorders>
          </w:tcPr>
          <w:p>
            <w:pPr>
              <w:spacing w:after="0"/>
              <w:rPr>
                <w:sz w:val="21"/>
                <w:szCs w:val="21"/>
                <w:color w:val="auto"/>
              </w:rPr>
            </w:pPr>
          </w:p>
        </w:tc>
        <w:tc>
          <w:tcPr>
            <w:tcW w:w="2800" w:type="dxa"/>
            <w:vAlign w:val="bottom"/>
            <w:tcBorders>
              <w:top w:val="single" w:sz="8" w:color="auto"/>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28"/>
        </w:trPr>
        <w:tc>
          <w:tcPr>
            <w:tcW w:w="8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ind w:right="179"/>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ind w:right="179"/>
              <w:spacing w:after="0"/>
              <w:rPr>
                <w:sz w:val="20"/>
                <w:szCs w:val="20"/>
                <w:color w:val="auto"/>
              </w:rPr>
            </w:pPr>
            <w:r>
              <w:rPr>
                <w:rFonts w:ascii="Arial" w:cs="Arial" w:eastAsia="Arial" w:hAnsi="Arial"/>
                <w:sz w:val="18"/>
                <w:szCs w:val="18"/>
                <w:b w:val="1"/>
                <w:bCs w:val="1"/>
                <w:color w:val="auto"/>
              </w:rPr>
              <w:t>2022</w:t>
            </w:r>
          </w:p>
        </w:tc>
      </w:tr>
      <w:tr>
        <w:trPr>
          <w:trHeight w:val="22"/>
        </w:trPr>
        <w:tc>
          <w:tcPr>
            <w:tcW w:w="81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09"/>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20"/>
        </w:trPr>
        <w:tc>
          <w:tcPr>
            <w:tcW w:w="81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420" w:type="dxa"/>
            <w:vAlign w:val="bottom"/>
          </w:tcPr>
          <w:p>
            <w:pPr>
              <w:jc w:val="right"/>
              <w:ind w:right="236"/>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94,023</w:t>
            </w:r>
          </w:p>
        </w:tc>
        <w:tc>
          <w:tcPr>
            <w:tcW w:w="100" w:type="dxa"/>
            <w:vAlign w:val="bottom"/>
          </w:tcPr>
          <w:p>
            <w:pPr>
              <w:spacing w:after="0"/>
              <w:rPr>
                <w:sz w:val="19"/>
                <w:szCs w:val="19"/>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89,633</w:t>
            </w:r>
          </w:p>
        </w:tc>
      </w:tr>
      <w:tr>
        <w:trPr>
          <w:trHeight w:val="239"/>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4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20"/>
        </w:trPr>
        <w:tc>
          <w:tcPr>
            <w:tcW w:w="8180" w:type="dxa"/>
            <w:vAlign w:val="bottom"/>
          </w:tcPr>
          <w:p>
            <w:pPr>
              <w:ind w:left="180"/>
              <w:spacing w:after="0"/>
              <w:rPr>
                <w:sz w:val="20"/>
                <w:szCs w:val="20"/>
                <w:color w:val="auto"/>
              </w:rPr>
            </w:pPr>
            <w:r>
              <w:rPr>
                <w:rFonts w:ascii="Arial" w:cs="Arial" w:eastAsia="Arial" w:hAnsi="Arial"/>
                <w:sz w:val="16"/>
                <w:szCs w:val="16"/>
                <w:color w:val="auto"/>
              </w:rPr>
              <w:t>Depreciation and amortization</w:t>
            </w: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21,439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18,319</w:t>
            </w:r>
          </w:p>
        </w:tc>
      </w:tr>
      <w:tr>
        <w:trPr>
          <w:trHeight w:val="239"/>
        </w:trPr>
        <w:tc>
          <w:tcPr>
            <w:tcW w:w="81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Amortization of operating lease right-of-use asset</w:t>
            </w:r>
          </w:p>
        </w:tc>
        <w:tc>
          <w:tcPr>
            <w:tcW w:w="4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24,733</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21,976</w:t>
            </w:r>
          </w:p>
        </w:tc>
      </w:tr>
      <w:tr>
        <w:trPr>
          <w:trHeight w:val="193"/>
        </w:trPr>
        <w:tc>
          <w:tcPr>
            <w:tcW w:w="8180" w:type="dxa"/>
            <w:vAlign w:val="bottom"/>
          </w:tcPr>
          <w:p>
            <w:pPr>
              <w:ind w:left="180"/>
              <w:spacing w:after="0"/>
              <w:rPr>
                <w:sz w:val="20"/>
                <w:szCs w:val="20"/>
                <w:color w:val="auto"/>
              </w:rPr>
            </w:pPr>
            <w:r>
              <w:rPr>
                <w:rFonts w:ascii="Arial" w:cs="Arial" w:eastAsia="Arial" w:hAnsi="Arial"/>
                <w:sz w:val="16"/>
                <w:szCs w:val="16"/>
                <w:color w:val="auto"/>
                <w:w w:val="96"/>
              </w:rPr>
              <w:t>Amortization of deferred financing fees, interest on finance lease in excess of principal paid and interest on operating</w:t>
            </w:r>
          </w:p>
        </w:tc>
        <w:tc>
          <w:tcPr>
            <w:tcW w:w="4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6"/>
        </w:trPr>
        <w:tc>
          <w:tcPr>
            <w:tcW w:w="8180" w:type="dxa"/>
            <w:vAlign w:val="bottom"/>
          </w:tcPr>
          <w:p>
            <w:pPr>
              <w:ind w:left="360"/>
              <w:spacing w:after="0"/>
              <w:rPr>
                <w:sz w:val="20"/>
                <w:szCs w:val="20"/>
                <w:color w:val="auto"/>
              </w:rPr>
            </w:pPr>
            <w:r>
              <w:rPr>
                <w:rFonts w:ascii="Arial" w:cs="Arial" w:eastAsia="Arial" w:hAnsi="Arial"/>
                <w:sz w:val="16"/>
                <w:szCs w:val="16"/>
                <w:color w:val="auto"/>
              </w:rPr>
              <w:t>leases</w:t>
            </w: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16,037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8,731</w:t>
            </w:r>
          </w:p>
        </w:tc>
      </w:tr>
      <w:tr>
        <w:trPr>
          <w:trHeight w:val="239"/>
        </w:trPr>
        <w:tc>
          <w:tcPr>
            <w:tcW w:w="81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Equity based compensation</w:t>
            </w:r>
          </w:p>
        </w:tc>
        <w:tc>
          <w:tcPr>
            <w:tcW w:w="4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5,752</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2,613</w:t>
            </w:r>
          </w:p>
        </w:tc>
      </w:tr>
      <w:tr>
        <w:trPr>
          <w:trHeight w:val="220"/>
        </w:trPr>
        <w:tc>
          <w:tcPr>
            <w:tcW w:w="8180" w:type="dxa"/>
            <w:vAlign w:val="bottom"/>
          </w:tcPr>
          <w:p>
            <w:pPr>
              <w:ind w:left="180"/>
              <w:spacing w:after="0"/>
              <w:rPr>
                <w:sz w:val="20"/>
                <w:szCs w:val="20"/>
                <w:color w:val="auto"/>
              </w:rPr>
            </w:pPr>
            <w:r>
              <w:rPr>
                <w:rFonts w:ascii="Arial" w:cs="Arial" w:eastAsia="Arial" w:hAnsi="Arial"/>
                <w:sz w:val="16"/>
                <w:szCs w:val="16"/>
                <w:color w:val="auto"/>
              </w:rPr>
              <w:t>Deferred tax assets</w:t>
            </w: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5,458</w:t>
            </w:r>
          </w:p>
        </w:tc>
      </w:tr>
      <w:tr>
        <w:trPr>
          <w:trHeight w:val="239"/>
        </w:trPr>
        <w:tc>
          <w:tcPr>
            <w:tcW w:w="81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Amortization of cloud computing arrangements</w:t>
            </w:r>
          </w:p>
        </w:tc>
        <w:tc>
          <w:tcPr>
            <w:tcW w:w="4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0"/>
        </w:trPr>
        <w:tc>
          <w:tcPr>
            <w:tcW w:w="8180" w:type="dxa"/>
            <w:vAlign w:val="bottom"/>
          </w:tcPr>
          <w:p>
            <w:pPr>
              <w:ind w:left="180"/>
              <w:spacing w:after="0"/>
              <w:rPr>
                <w:sz w:val="20"/>
                <w:szCs w:val="20"/>
                <w:color w:val="auto"/>
              </w:rPr>
            </w:pPr>
            <w:r>
              <w:rPr>
                <w:rFonts w:ascii="Arial" w:cs="Arial" w:eastAsia="Arial" w:hAnsi="Arial"/>
                <w:sz w:val="16"/>
                <w:szCs w:val="16"/>
                <w:color w:val="auto"/>
              </w:rPr>
              <w:t>Amortization and write-off of lease incentives</w:t>
            </w: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(224)</w:t>
            </w:r>
          </w:p>
        </w:tc>
      </w:tr>
      <w:tr>
        <w:trPr>
          <w:trHeight w:val="239"/>
        </w:trPr>
        <w:tc>
          <w:tcPr>
            <w:tcW w:w="81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Insurance proceeds</w:t>
            </w:r>
          </w:p>
        </w:tc>
        <w:tc>
          <w:tcPr>
            <w:tcW w:w="4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0"/>
        </w:trPr>
        <w:tc>
          <w:tcPr>
            <w:tcW w:w="8180" w:type="dxa"/>
            <w:vAlign w:val="bottom"/>
          </w:tcPr>
          <w:p>
            <w:pPr>
              <w:ind w:left="180"/>
              <w:spacing w:after="0"/>
              <w:rPr>
                <w:sz w:val="20"/>
                <w:szCs w:val="20"/>
                <w:color w:val="auto"/>
              </w:rPr>
            </w:pPr>
            <w:r>
              <w:rPr>
                <w:rFonts w:ascii="Arial" w:cs="Arial" w:eastAsia="Arial" w:hAnsi="Arial"/>
                <w:sz w:val="16"/>
                <w:szCs w:val="16"/>
                <w:color w:val="auto"/>
              </w:rPr>
              <w:t>Changes in operating assets and liabilities</w:t>
            </w: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9"/>
        </w:trPr>
        <w:tc>
          <w:tcPr>
            <w:tcW w:w="81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receivable</w:t>
            </w:r>
          </w:p>
        </w:tc>
        <w:tc>
          <w:tcPr>
            <w:tcW w:w="4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(1,550)</w:t>
            </w:r>
          </w:p>
        </w:tc>
      </w:tr>
      <w:tr>
        <w:trPr>
          <w:trHeight w:val="220"/>
        </w:trPr>
        <w:tc>
          <w:tcPr>
            <w:tcW w:w="8180" w:type="dxa"/>
            <w:vAlign w:val="bottom"/>
          </w:tcPr>
          <w:p>
            <w:pPr>
              <w:ind w:left="360"/>
              <w:spacing w:after="0"/>
              <w:rPr>
                <w:sz w:val="20"/>
                <w:szCs w:val="20"/>
                <w:color w:val="auto"/>
              </w:rPr>
            </w:pPr>
            <w:r>
              <w:rPr>
                <w:rFonts w:ascii="Arial" w:cs="Arial" w:eastAsia="Arial" w:hAnsi="Arial"/>
                <w:sz w:val="16"/>
                <w:szCs w:val="16"/>
                <w:color w:val="auto"/>
              </w:rPr>
              <w:t>Merchandise inventory</w:t>
            </w: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17,399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(84,228)</w:t>
            </w:r>
          </w:p>
        </w:tc>
      </w:tr>
      <w:tr>
        <w:trPr>
          <w:trHeight w:val="239"/>
        </w:trPr>
        <w:tc>
          <w:tcPr>
            <w:tcW w:w="81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Prepaid and other assets</w:t>
            </w:r>
          </w:p>
        </w:tc>
        <w:tc>
          <w:tcPr>
            <w:tcW w:w="4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(28,952)</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(11,249)</w:t>
            </w:r>
          </w:p>
        </w:tc>
      </w:tr>
      <w:tr>
        <w:trPr>
          <w:trHeight w:val="220"/>
        </w:trPr>
        <w:tc>
          <w:tcPr>
            <w:tcW w:w="8180" w:type="dxa"/>
            <w:vAlign w:val="bottom"/>
          </w:tcPr>
          <w:p>
            <w:pPr>
              <w:ind w:left="360"/>
              <w:spacing w:after="0"/>
              <w:rPr>
                <w:sz w:val="20"/>
                <w:szCs w:val="20"/>
                <w:color w:val="auto"/>
              </w:rPr>
            </w:pPr>
            <w:r>
              <w:rPr>
                <w:rFonts w:ascii="Arial" w:cs="Arial" w:eastAsia="Arial" w:hAnsi="Arial"/>
                <w:sz w:val="16"/>
                <w:szCs w:val="16"/>
                <w:color w:val="auto"/>
              </w:rPr>
              <w:t>Other noncurrent liabilities</w:t>
            </w: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273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456</w:t>
            </w:r>
          </w:p>
        </w:tc>
      </w:tr>
      <w:tr>
        <w:trPr>
          <w:trHeight w:val="239"/>
        </w:trPr>
        <w:tc>
          <w:tcPr>
            <w:tcW w:w="81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payable</w:t>
            </w:r>
          </w:p>
        </w:tc>
        <w:tc>
          <w:tcPr>
            <w:tcW w:w="4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(4,093)</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10,334</w:t>
            </w:r>
          </w:p>
        </w:tc>
      </w:tr>
      <w:tr>
        <w:trPr>
          <w:trHeight w:val="220"/>
        </w:trPr>
        <w:tc>
          <w:tcPr>
            <w:tcW w:w="8180" w:type="dxa"/>
            <w:vAlign w:val="bottom"/>
          </w:tcPr>
          <w:p>
            <w:pPr>
              <w:ind w:left="360"/>
              <w:spacing w:after="0"/>
              <w:rPr>
                <w:sz w:val="20"/>
                <w:szCs w:val="20"/>
                <w:color w:val="auto"/>
              </w:rPr>
            </w:pPr>
            <w:r>
              <w:rPr>
                <w:rFonts w:ascii="Arial" w:cs="Arial" w:eastAsia="Arial" w:hAnsi="Arial"/>
                <w:sz w:val="16"/>
                <w:szCs w:val="16"/>
                <w:color w:val="auto"/>
              </w:rPr>
              <w:t>Accrued expenses</w:t>
            </w: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3,502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23,682</w:t>
            </w:r>
          </w:p>
        </w:tc>
      </w:tr>
      <w:tr>
        <w:trPr>
          <w:trHeight w:val="239"/>
        </w:trPr>
        <w:tc>
          <w:tcPr>
            <w:tcW w:w="81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Operating lease liabilities</w:t>
            </w:r>
          </w:p>
        </w:tc>
        <w:tc>
          <w:tcPr>
            <w:tcW w:w="4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(28,797)</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(22,586)</w:t>
            </w:r>
          </w:p>
        </w:tc>
      </w:tr>
      <w:tr>
        <w:trPr>
          <w:trHeight w:val="223"/>
        </w:trPr>
        <w:tc>
          <w:tcPr>
            <w:tcW w:w="81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Client deposits</w:t>
            </w: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9,819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(3,128)</w:t>
            </w:r>
          </w:p>
        </w:tc>
      </w:tr>
      <w:tr>
        <w:trPr>
          <w:trHeight w:val="230"/>
        </w:trPr>
        <w:tc>
          <w:tcPr>
            <w:tcW w:w="81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Net cash provided by operating activities</w:t>
            </w:r>
          </w:p>
        </w:tc>
        <w:tc>
          <w:tcPr>
            <w:tcW w:w="4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131,368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58,237</w:t>
            </w:r>
          </w:p>
        </w:tc>
      </w:tr>
      <w:tr>
        <w:trPr>
          <w:trHeight w:val="200"/>
        </w:trPr>
        <w:tc>
          <w:tcPr>
            <w:tcW w:w="818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9"/>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of property, furniture and equipment</w:t>
            </w:r>
          </w:p>
        </w:tc>
        <w:tc>
          <w:tcPr>
            <w:tcW w:w="4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(42,306)</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(36,950)</w:t>
            </w:r>
          </w:p>
        </w:tc>
      </w:tr>
      <w:tr>
        <w:trPr>
          <w:trHeight w:val="223"/>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Insurance proceeds</w:t>
            </w: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81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Net cash used in investing activities</w:t>
            </w:r>
          </w:p>
        </w:tc>
        <w:tc>
          <w:tcPr>
            <w:tcW w:w="4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(41,973)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(36,950)</w:t>
            </w:r>
          </w:p>
        </w:tc>
      </w:tr>
      <w:tr>
        <w:trPr>
          <w:trHeight w:val="200"/>
        </w:trPr>
        <w:tc>
          <w:tcPr>
            <w:tcW w:w="818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9"/>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Principal payments under finance leases</w:t>
            </w:r>
          </w:p>
        </w:tc>
        <w:tc>
          <w:tcPr>
            <w:tcW w:w="4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(503)</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w:t>
            </w:r>
          </w:p>
        </w:tc>
      </w:tr>
      <w:tr>
        <w:trPr>
          <w:trHeight w:val="223"/>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Repurchase of shares for payment of withholding taxes for equity based compensation</w:t>
            </w: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81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Net cash used in financing activities</w:t>
            </w:r>
          </w:p>
        </w:tc>
        <w:tc>
          <w:tcPr>
            <w:tcW w:w="4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w:t>
            </w:r>
          </w:p>
        </w:tc>
      </w:tr>
      <w:tr>
        <w:trPr>
          <w:trHeight w:val="213"/>
        </w:trPr>
        <w:tc>
          <w:tcPr>
            <w:tcW w:w="8180" w:type="dxa"/>
            <w:vAlign w:val="bottom"/>
          </w:tcPr>
          <w:p>
            <w:pPr>
              <w:ind w:left="520"/>
              <w:spacing w:after="0"/>
              <w:rPr>
                <w:sz w:val="20"/>
                <w:szCs w:val="20"/>
                <w:color w:val="auto"/>
              </w:rPr>
            </w:pPr>
            <w:r>
              <w:rPr>
                <w:rFonts w:ascii="Arial" w:cs="Arial" w:eastAsia="Arial" w:hAnsi="Arial"/>
                <w:sz w:val="16"/>
                <w:szCs w:val="16"/>
                <w:color w:val="auto"/>
              </w:rPr>
              <w:t>Net increase (decrease) in cash, cash equivalents and restricted cash equivalents</w:t>
            </w: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87,868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21,174</w:t>
            </w:r>
          </w:p>
        </w:tc>
      </w:tr>
      <w:tr>
        <w:trPr>
          <w:trHeight w:val="226"/>
        </w:trPr>
        <w:tc>
          <w:tcPr>
            <w:tcW w:w="8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0"/>
        </w:trPr>
        <w:tc>
          <w:tcPr>
            <w:tcW w:w="8180" w:type="dxa"/>
            <w:vAlign w:val="bottom"/>
          </w:tcPr>
          <w:p>
            <w:pPr>
              <w:ind w:left="20"/>
              <w:spacing w:after="0"/>
              <w:rPr>
                <w:sz w:val="20"/>
                <w:szCs w:val="20"/>
                <w:color w:val="auto"/>
              </w:rPr>
            </w:pPr>
            <w:r>
              <w:rPr>
                <w:rFonts w:ascii="Arial" w:cs="Arial" w:eastAsia="Arial" w:hAnsi="Arial"/>
                <w:sz w:val="16"/>
                <w:szCs w:val="16"/>
                <w:b w:val="1"/>
                <w:bCs w:val="1"/>
                <w:color w:val="auto"/>
              </w:rPr>
              <w:t>Cash, cash equivalents and restricted cash equivalents</w:t>
            </w: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9"/>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of period</w:t>
            </w:r>
          </w:p>
        </w:tc>
        <w:tc>
          <w:tcPr>
            <w:tcW w:w="42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152,527</w:t>
            </w:r>
          </w:p>
        </w:tc>
        <w:tc>
          <w:tcPr>
            <w:tcW w:w="10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130,908</w:t>
            </w:r>
          </w:p>
        </w:tc>
      </w:tr>
      <w:tr>
        <w:trPr>
          <w:trHeight w:val="203"/>
        </w:trPr>
        <w:tc>
          <w:tcPr>
            <w:tcW w:w="8180" w:type="dxa"/>
            <w:vAlign w:val="bottom"/>
          </w:tcPr>
          <w:p>
            <w:pPr>
              <w:ind w:left="20"/>
              <w:spacing w:after="0"/>
              <w:rPr>
                <w:sz w:val="20"/>
                <w:szCs w:val="20"/>
                <w:color w:val="auto"/>
              </w:rPr>
            </w:pPr>
            <w:r>
              <w:rPr>
                <w:rFonts w:ascii="Arial" w:cs="Arial" w:eastAsia="Arial" w:hAnsi="Arial"/>
                <w:sz w:val="16"/>
                <w:szCs w:val="16"/>
                <w:color w:val="auto"/>
              </w:rPr>
              <w:t>End of period</w:t>
            </w:r>
          </w:p>
        </w:tc>
        <w:tc>
          <w:tcPr>
            <w:tcW w:w="420" w:type="dxa"/>
            <w:vAlign w:val="bottom"/>
          </w:tcPr>
          <w:p>
            <w:pPr>
              <w:jc w:val="right"/>
              <w:ind w:right="236"/>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240,395</w:t>
            </w:r>
          </w:p>
        </w:tc>
        <w:tc>
          <w:tcPr>
            <w:tcW w:w="100" w:type="dxa"/>
            <w:vAlign w:val="bottom"/>
          </w:tcPr>
          <w:p>
            <w:pPr>
              <w:spacing w:after="0"/>
              <w:rPr>
                <w:sz w:val="17"/>
                <w:szCs w:val="17"/>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152,082</w:t>
            </w:r>
          </w:p>
        </w:tc>
      </w:tr>
    </w:tbl>
    <w:p>
      <w:pPr>
        <w:spacing w:after="0" w:line="26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21" w:right="59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71"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Arhaus, Inc. and Subsidiaries</w:t>
      </w:r>
    </w:p>
    <w:p>
      <w:pPr>
        <w:spacing w:after="0" w:line="25"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Condensed Consolidated Statements of Cash Flows (continued)</w:t>
      </w:r>
    </w:p>
    <w:p>
      <w:pPr>
        <w:jc w:val="center"/>
        <w:ind w:right="-259"/>
        <w:spacing w:after="0"/>
        <w:rPr>
          <w:sz w:val="20"/>
          <w:szCs w:val="20"/>
          <w:color w:val="auto"/>
        </w:rPr>
      </w:pPr>
      <w:r>
        <w:rPr>
          <w:rFonts w:ascii="Arial" w:cs="Arial" w:eastAsia="Arial" w:hAnsi="Arial"/>
          <w:sz w:val="18"/>
          <w:szCs w:val="18"/>
          <w:b w:val="1"/>
          <w:bCs w:val="1"/>
          <w:color w:val="auto"/>
        </w:rPr>
        <w:t>(Unaudited, amounts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180" w:type="dxa"/>
            <w:vAlign w:val="bottom"/>
            <w:tcBorders>
              <w:top w:val="single" w:sz="8" w:color="auto"/>
            </w:tcBorders>
          </w:tcPr>
          <w:p>
            <w:pPr>
              <w:spacing w:after="0"/>
              <w:rPr>
                <w:sz w:val="21"/>
                <w:szCs w:val="21"/>
                <w:color w:val="auto"/>
              </w:rPr>
            </w:pPr>
          </w:p>
        </w:tc>
        <w:tc>
          <w:tcPr>
            <w:tcW w:w="2800" w:type="dxa"/>
            <w:vAlign w:val="bottom"/>
            <w:tcBorders>
              <w:top w:val="single" w:sz="8" w:color="auto"/>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28"/>
        </w:trPr>
        <w:tc>
          <w:tcPr>
            <w:tcW w:w="8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ind w:right="178"/>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ind w:right="178"/>
              <w:spacing w:after="0"/>
              <w:rPr>
                <w:sz w:val="20"/>
                <w:szCs w:val="20"/>
                <w:color w:val="auto"/>
              </w:rPr>
            </w:pPr>
            <w:r>
              <w:rPr>
                <w:rFonts w:ascii="Arial" w:cs="Arial" w:eastAsia="Arial" w:hAnsi="Arial"/>
                <w:sz w:val="18"/>
                <w:szCs w:val="18"/>
                <w:b w:val="1"/>
                <w:bCs w:val="1"/>
                <w:color w:val="auto"/>
              </w:rPr>
              <w:t>2022</w:t>
            </w:r>
          </w:p>
        </w:tc>
      </w:tr>
      <w:tr>
        <w:trPr>
          <w:trHeight w:val="22"/>
        </w:trPr>
        <w:tc>
          <w:tcPr>
            <w:tcW w:w="81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09"/>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20"/>
        </w:trPr>
        <w:tc>
          <w:tcPr>
            <w:tcW w:w="8180" w:type="dxa"/>
            <w:vAlign w:val="bottom"/>
          </w:tcPr>
          <w:p>
            <w:pPr>
              <w:ind w:left="20"/>
              <w:spacing w:after="0"/>
              <w:rPr>
                <w:sz w:val="20"/>
                <w:szCs w:val="20"/>
                <w:color w:val="auto"/>
              </w:rPr>
            </w:pPr>
            <w:r>
              <w:rPr>
                <w:rFonts w:ascii="Arial" w:cs="Arial" w:eastAsia="Arial" w:hAnsi="Arial"/>
                <w:sz w:val="16"/>
                <w:szCs w:val="16"/>
                <w:color w:val="auto"/>
              </w:rPr>
              <w:t>Interest paid in cash</w:t>
            </w:r>
          </w:p>
        </w:tc>
        <w:tc>
          <w:tcPr>
            <w:tcW w:w="420" w:type="dxa"/>
            <w:vAlign w:val="bottom"/>
          </w:tcPr>
          <w:p>
            <w:pPr>
              <w:jc w:val="right"/>
              <w:ind w:right="235"/>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3,962</w:t>
            </w:r>
          </w:p>
        </w:tc>
        <w:tc>
          <w:tcPr>
            <w:tcW w:w="100" w:type="dxa"/>
            <w:vAlign w:val="bottom"/>
          </w:tcPr>
          <w:p>
            <w:pPr>
              <w:spacing w:after="0"/>
              <w:rPr>
                <w:sz w:val="19"/>
                <w:szCs w:val="19"/>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3,858</w:t>
            </w:r>
          </w:p>
        </w:tc>
      </w:tr>
      <w:tr>
        <w:trPr>
          <w:trHeight w:val="239"/>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received in cash</w:t>
            </w:r>
          </w:p>
        </w:tc>
        <w:tc>
          <w:tcPr>
            <w:tcW w:w="4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5,395</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w:t>
            </w:r>
          </w:p>
        </w:tc>
      </w:tr>
      <w:tr>
        <w:trPr>
          <w:trHeight w:val="220"/>
        </w:trPr>
        <w:tc>
          <w:tcPr>
            <w:tcW w:w="8180" w:type="dxa"/>
            <w:vAlign w:val="bottom"/>
          </w:tcPr>
          <w:p>
            <w:pPr>
              <w:ind w:left="20"/>
              <w:spacing w:after="0"/>
              <w:rPr>
                <w:sz w:val="20"/>
                <w:szCs w:val="20"/>
                <w:color w:val="auto"/>
              </w:rPr>
            </w:pPr>
            <w:r>
              <w:rPr>
                <w:rFonts w:ascii="Arial" w:cs="Arial" w:eastAsia="Arial" w:hAnsi="Arial"/>
                <w:sz w:val="16"/>
                <w:szCs w:val="16"/>
                <w:color w:val="auto"/>
              </w:rPr>
              <w:t>Income taxes paid in cash</w:t>
            </w: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28,856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20,579</w:t>
            </w:r>
          </w:p>
        </w:tc>
      </w:tr>
      <w:tr>
        <w:trPr>
          <w:trHeight w:val="239"/>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Noncash operating activities:</w:t>
            </w:r>
          </w:p>
        </w:tc>
        <w:tc>
          <w:tcPr>
            <w:tcW w:w="4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20"/>
        </w:trPr>
        <w:tc>
          <w:tcPr>
            <w:tcW w:w="8180" w:type="dxa"/>
            <w:vAlign w:val="bottom"/>
          </w:tcPr>
          <w:p>
            <w:pPr>
              <w:ind w:left="520"/>
              <w:spacing w:after="0"/>
              <w:rPr>
                <w:sz w:val="20"/>
                <w:szCs w:val="20"/>
                <w:color w:val="auto"/>
              </w:rPr>
            </w:pPr>
            <w:r>
              <w:rPr>
                <w:rFonts w:ascii="Arial" w:cs="Arial" w:eastAsia="Arial" w:hAnsi="Arial"/>
                <w:sz w:val="16"/>
                <w:szCs w:val="16"/>
                <w:color w:val="auto"/>
              </w:rPr>
              <w:t>Lease incentives</w:t>
            </w: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7,313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7,532</w:t>
            </w:r>
          </w:p>
        </w:tc>
      </w:tr>
      <w:tr>
        <w:trPr>
          <w:trHeight w:val="239"/>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Noncash investing activities:</w:t>
            </w:r>
          </w:p>
        </w:tc>
        <w:tc>
          <w:tcPr>
            <w:tcW w:w="4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20"/>
        </w:trPr>
        <w:tc>
          <w:tcPr>
            <w:tcW w:w="8180" w:type="dxa"/>
            <w:vAlign w:val="bottom"/>
          </w:tcPr>
          <w:p>
            <w:pPr>
              <w:ind w:left="520"/>
              <w:spacing w:after="0"/>
              <w:rPr>
                <w:sz w:val="20"/>
                <w:szCs w:val="20"/>
                <w:color w:val="auto"/>
              </w:rPr>
            </w:pPr>
            <w:r>
              <w:rPr>
                <w:rFonts w:ascii="Arial" w:cs="Arial" w:eastAsia="Arial" w:hAnsi="Arial"/>
                <w:sz w:val="16"/>
                <w:szCs w:val="16"/>
                <w:color w:val="auto"/>
              </w:rPr>
              <w:t>Purchase of property, furniture and equipment in accounts payable</w:t>
            </w: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2,756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2,661</w:t>
            </w:r>
          </w:p>
        </w:tc>
      </w:tr>
      <w:tr>
        <w:trPr>
          <w:trHeight w:val="239"/>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Noncash financing activities:</w:t>
            </w:r>
          </w:p>
        </w:tc>
        <w:tc>
          <w:tcPr>
            <w:tcW w:w="4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20"/>
        </w:trPr>
        <w:tc>
          <w:tcPr>
            <w:tcW w:w="8180" w:type="dxa"/>
            <w:vAlign w:val="bottom"/>
          </w:tcPr>
          <w:p>
            <w:pPr>
              <w:ind w:left="520"/>
              <w:spacing w:after="0"/>
              <w:rPr>
                <w:sz w:val="20"/>
                <w:szCs w:val="20"/>
                <w:color w:val="auto"/>
              </w:rPr>
            </w:pPr>
            <w:r>
              <w:rPr>
                <w:rFonts w:ascii="Arial" w:cs="Arial" w:eastAsia="Arial" w:hAnsi="Arial"/>
                <w:sz w:val="16"/>
                <w:szCs w:val="16"/>
                <w:color w:val="auto"/>
              </w:rPr>
              <w:t>Adjustment to deferred tax asset impact of Reorganization from partnership to a corporation</w:t>
            </w:r>
          </w:p>
        </w:tc>
        <w:tc>
          <w:tcPr>
            <w:tcW w:w="4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(1,278)</w:t>
            </w:r>
          </w:p>
        </w:tc>
      </w:tr>
      <w:tr>
        <w:trPr>
          <w:trHeight w:val="239"/>
        </w:trPr>
        <w:tc>
          <w:tcPr>
            <w:tcW w:w="81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Derecognition of build-to-suit assets as a result of ASC 842 adoption</w:t>
            </w:r>
          </w:p>
        </w:tc>
        <w:tc>
          <w:tcPr>
            <w:tcW w:w="4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(31,017)</w:t>
            </w:r>
          </w:p>
        </w:tc>
      </w:tr>
      <w:tr>
        <w:trPr>
          <w:trHeight w:val="210"/>
        </w:trPr>
        <w:tc>
          <w:tcPr>
            <w:tcW w:w="8180" w:type="dxa"/>
            <w:vAlign w:val="bottom"/>
          </w:tcPr>
          <w:p>
            <w:pPr>
              <w:ind w:left="520"/>
              <w:spacing w:after="0"/>
              <w:rPr>
                <w:sz w:val="20"/>
                <w:szCs w:val="20"/>
                <w:color w:val="auto"/>
              </w:rPr>
            </w:pPr>
            <w:r>
              <w:rPr>
                <w:rFonts w:ascii="Arial" w:cs="Arial" w:eastAsia="Arial" w:hAnsi="Arial"/>
                <w:sz w:val="16"/>
                <w:szCs w:val="16"/>
                <w:color w:val="auto"/>
              </w:rPr>
              <w:t>Capital contributions</w:t>
            </w: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62</w:t>
            </w:r>
          </w:p>
        </w:tc>
      </w:tr>
    </w:tbl>
    <w:p>
      <w:pPr>
        <w:spacing w:after="0" w:line="26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21" w:right="59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Arhaus,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7620" w:firstLine="8"/>
        <w:spacing w:after="0" w:line="464" w:lineRule="auto"/>
        <w:tabs>
          <w:tab w:leader="none" w:pos="1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 and Basis of Presentation Nature of Business</w:t>
      </w:r>
    </w:p>
    <w:p>
      <w:pPr>
        <w:ind w:right="160"/>
        <w:spacing w:after="0" w:line="257" w:lineRule="auto"/>
        <w:rPr>
          <w:sz w:val="20"/>
          <w:szCs w:val="20"/>
          <w:color w:val="auto"/>
        </w:rPr>
      </w:pPr>
      <w:r>
        <w:rPr>
          <w:rFonts w:ascii="Arial" w:cs="Arial" w:eastAsia="Arial" w:hAnsi="Arial"/>
          <w:sz w:val="18"/>
          <w:szCs w:val="18"/>
          <w:color w:val="auto"/>
        </w:rPr>
        <w:t>Arhaus, Inc. (the “Company,” “we” or “Arhaus”) is a Delaware corporation and is a premium retailer in the home furnishings market, specializing in livable luxury supported by heirloom quality merchandise. We offer merchandise in a number of categories, including furniture, outdoor, lighting, textiles and décor. Our curated assortments are presented across our sales channels in sophisticated, family friendly and unique lifestyle settings. We position our retail locations as Showrooms for our brand, while our website acts as a virtual extension of our Showrooms. The Company operated 86 Showrooms at September 30, 2023.</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89"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The condensed consolidated financial statements have been prepared in conformity with accounting principles generally accepted in the United States of America (“U.S. GAAP”). The accompanying condensed consolidated financial statements include our accounts and those of our wholly owned subsidiaries. Accordingly, all intercompany balances and transactions have been eliminated through the consolidation process.</w:t>
      </w:r>
    </w:p>
    <w:p>
      <w:pPr>
        <w:spacing w:after="0" w:line="138"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The accompanying condensed consolidated balance sheets at September 30, 2023 and December 31, 2022, the condensed consolidated statements of comprehensive income and changes in stockholders’equity for the nine and three months ended September 30, 2023 and 2022, the condensed consolidated statements of cash flows for the nine months ended September 30, 2023 and 2022 and the related interim condensed consolidated disclosures are unaudited and have been prepared pursuant to the rules and regulations of the Securities and Exchange Commission (“SEC”) for interim financial information. Accordingly, they do not include all of the information and footnotes required by U.S. GAAP for complete financial statements.</w:t>
      </w:r>
    </w:p>
    <w:p>
      <w:pPr>
        <w:spacing w:after="0" w:line="121" w:lineRule="exact"/>
        <w:rPr>
          <w:sz w:val="20"/>
          <w:szCs w:val="20"/>
          <w:color w:val="auto"/>
        </w:rPr>
      </w:pPr>
    </w:p>
    <w:p>
      <w:pPr>
        <w:ind w:right="220"/>
        <w:spacing w:after="0" w:line="275" w:lineRule="auto"/>
        <w:rPr>
          <w:sz w:val="20"/>
          <w:szCs w:val="20"/>
          <w:color w:val="auto"/>
        </w:rPr>
      </w:pPr>
      <w:r>
        <w:rPr>
          <w:rFonts w:ascii="Arial" w:cs="Arial" w:eastAsia="Arial" w:hAnsi="Arial"/>
          <w:sz w:val="17"/>
          <w:szCs w:val="17"/>
          <w:color w:val="auto"/>
        </w:rPr>
        <w:t>In management’s opinion, the accompanying condensed consolidated financial statements contain all adjustments, consisting of normal recurring adjustments, necessary for a fair statement of the Company’s financial position at September 30, 2023, the results of operations and changes in stockholders’equity for the nine and three months ended September 30, 2023 and 2022 and the condensed consolidated statements of cash flows for the nine months ended September 30, 2023 and 2022. The condensed consolidated balance sheet as of December 31, 2022 included herein was derived from audited financial statements, but does not include all disclosures required by U.S. GAAP.</w:t>
      </w:r>
    </w:p>
    <w:p>
      <w:pPr>
        <w:spacing w:after="0" w:line="136"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The results for the nine and three months ended September 30, 2023 and 2022 are not necessarily indicative of the operating results to be expected for the full fiscal year or any future period. Certain information and footnote disclosures normally included in annual financial statements prepared in accordance with U.S. GAAP have been condensed or omitted. Therefore, these condensed consolidated financial statements should be read in conjunction with the consolidated financial statements and notes thereto included in our Annual Report on Form 10-K for the year ended December 31, 2022.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89"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The preparation of our condensed consolidated financial statements in conformity with U.S. GAAP requires management to make estimates and assumptions that affect the reported amounts of assets and liabilities, disclosures of contingent assets and liabilities at the date of the condensed consolidated financial statements and the reported amounts of revenues and expenses during the reporting period. Actual results could differ from those estimates.</w:t>
      </w:r>
    </w:p>
    <w:p>
      <w:pPr>
        <w:spacing w:after="0" w:line="146"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The accounting estimates and other matters included within our condensed consolidated financial statements and notes to the condensed consolidated financial statements we have assessed include, but were not limited to, revenue recognition, including a reserve for merchandise returns, inventory reserves, goodwill and fair value of financial instruments which include, but are not limited to, accounts receivable, payables and lease obligations.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Client Deposits</w:t>
      </w:r>
    </w:p>
    <w:p>
      <w:pPr>
        <w:spacing w:after="0" w:line="18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Client deposits represent payments made by clients on orders. At the time of purchase, the Company collects deposits for all orders equivalent to at least 50 percent of the clients’ purchase price. Orders are recognized as revenue when the merchandise is delivered to the client and at the time of delivery the client deposit is no longer recorded as a liability. The</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Arhaus,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Company expects substantially all client deposits as of September 30, 2023 will be recognized as net revenue within the next 12 months as the performance obligations are satisfied.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Gift Cards</w:t>
      </w:r>
    </w:p>
    <w:p>
      <w:pPr>
        <w:spacing w:after="0" w:line="202"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 Company sells gift cards to clients in our Showrooms and through our website. Such gift cards do not have expiration dates. We defer revenue when payments are received in advance of performance for unsatisfied obligations related to our gift cards. The liability related to unredeemed gift cards at September 30, 2023 and December 31, 2022 of $0.4 million and $1.0 million, respectively, is recorded in the accrued other expenses line item of the condensed consolidated balance sheets. The Company recognizes income associated with breakage proportional to actual gift card redemptions. For the nine and three months ended September 30, 2023, breakage income was $0.8 million and $0.1 million, respectively. For the nine and three months ended September 30, 2022, breakage was minimal.</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Values of Financial Instruments</w:t>
      </w:r>
    </w:p>
    <w:p>
      <w:pPr>
        <w:spacing w:after="0" w:line="189"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 xml:space="preserve">The Company’s primary financial instruments are cash and cash equivalent investments, accounts receivable, payables, lease obligations and equity based compensation instruments. Due to the short-term maturities of cash and cash equivalent investments, accounts receivable and payables, the Company believes the fair values of these instruments approximate their respective carrying values at September 30, 2023 and December 31, 2022. See Note 5 — </w:t>
      </w:r>
      <w:r>
        <w:rPr>
          <w:rFonts w:ascii="Arial" w:cs="Arial" w:eastAsia="Arial" w:hAnsi="Arial"/>
          <w:sz w:val="16"/>
          <w:szCs w:val="16"/>
          <w:i w:val="1"/>
          <w:iCs w:val="1"/>
          <w:color w:val="auto"/>
        </w:rPr>
        <w:t xml:space="preserve">Leases </w:t>
      </w:r>
      <w:r>
        <w:rPr>
          <w:rFonts w:ascii="Arial" w:cs="Arial" w:eastAsia="Arial" w:hAnsi="Arial"/>
          <w:sz w:val="16"/>
          <w:szCs w:val="16"/>
          <w:color w:val="auto"/>
        </w:rPr>
        <w:t>for discussion of our lease obligations and Note 6 —</w:t>
      </w:r>
      <w:r>
        <w:rPr>
          <w:rFonts w:ascii="Arial" w:cs="Arial" w:eastAsia="Arial" w:hAnsi="Arial"/>
          <w:sz w:val="16"/>
          <w:szCs w:val="16"/>
          <w:i w:val="1"/>
          <w:iCs w:val="1"/>
          <w:color w:val="auto"/>
        </w:rPr>
        <w:t xml:space="preserve"> Equity Based Compensation </w:t>
      </w:r>
      <w:r>
        <w:rPr>
          <w:rFonts w:ascii="Arial" w:cs="Arial" w:eastAsia="Arial" w:hAnsi="Arial"/>
          <w:sz w:val="16"/>
          <w:szCs w:val="16"/>
          <w:color w:val="auto"/>
        </w:rPr>
        <w:t>for discussion of our equity based compensation instruments.</w:t>
      </w:r>
    </w:p>
    <w:p>
      <w:pPr>
        <w:spacing w:after="0" w:line="130"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The Company has established a hierarchy to measure our financial instruments at fair value, which requires us to maximize the use of observable inputs and minimize the use of unobservable inputs when measuring fair value. Observable inputs represent market data obtained from independent sources, whereas unobservable inputs reflect the Company’s own market assumptions, which are used if observable inputs are not reasonably available without undue cost and effort. The hierarchy defines three levels of inputs that may be used to measure fair value:</w:t>
      </w:r>
    </w:p>
    <w:p>
      <w:pPr>
        <w:spacing w:after="0" w:line="131" w:lineRule="exact"/>
        <w:rPr>
          <w:sz w:val="20"/>
          <w:szCs w:val="20"/>
          <w:color w:val="auto"/>
        </w:rPr>
      </w:pPr>
    </w:p>
    <w:p>
      <w:pPr>
        <w:ind w:left="1620" w:right="180" w:hanging="971"/>
        <w:spacing w:after="0" w:line="277" w:lineRule="auto"/>
        <w:tabs>
          <w:tab w:leader="none" w:pos="160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Unadjusted quoted prices in active markets for identical, unrestricted assets and liabilities that the reporting entity has the ability to access at the measurement date.</w:t>
      </w:r>
    </w:p>
    <w:p>
      <w:pPr>
        <w:spacing w:after="0" w:line="130" w:lineRule="exact"/>
        <w:rPr>
          <w:sz w:val="20"/>
          <w:szCs w:val="20"/>
          <w:color w:val="auto"/>
        </w:rPr>
      </w:pPr>
    </w:p>
    <w:p>
      <w:pPr>
        <w:ind w:left="1620" w:right="360" w:hanging="971"/>
        <w:spacing w:after="0" w:line="277" w:lineRule="auto"/>
        <w:tabs>
          <w:tab w:leader="none" w:pos="160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other than quoted prices included within Level 1 that are observable for the asset and liability or can be corroborated with observable market data for substantially the entire contractual term of the asset or liability.</w:t>
      </w:r>
    </w:p>
    <w:p>
      <w:pPr>
        <w:spacing w:after="0" w:line="143" w:lineRule="exact"/>
        <w:rPr>
          <w:sz w:val="20"/>
          <w:szCs w:val="20"/>
          <w:color w:val="auto"/>
        </w:rPr>
      </w:pPr>
    </w:p>
    <w:p>
      <w:pPr>
        <w:ind w:left="1620" w:right="120" w:hanging="971"/>
        <w:spacing w:after="0" w:line="342" w:lineRule="auto"/>
        <w:tabs>
          <w:tab w:leader="none" w:pos="160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Unobservable inputs that reflect the entity’s own assumptions about the assumptions market participants would use in the pricing of the asset or liability and are consequently not based on market activity but rather through particular valuation techniques.</w:t>
      </w:r>
    </w:p>
    <w:p>
      <w:pPr>
        <w:spacing w:after="0" w:line="137"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From time to time, the Company invests in money market funds and other Level 1 cash and cash equivalent investments. For the nine and three months ended September 30, 2023, the Company earned $5.8 million and $2.5 million, respectively, in interest income. For the nine and three months ended September 30, 2022, interest income was $0.6 million and $0.6 million, respectively. Interest income is included within interest expense (income), net on our condensed consolidated statements of comprehensive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Arhaus,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Prepaid and Other Current Assets</w:t>
      </w:r>
    </w:p>
    <w:p>
      <w:pPr>
        <w:spacing w:after="0" w:line="189"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Prepaid and other current assets include cash paid by the Company for leasehold improvements at new (or existing, in some cases) Showroom locations. These amounts represent capital costs associated with opening new Showroom locations, a substantial portion of which is subject to recovery from the lessor upon completion. Prepaid and other current assets consist of the following (amounts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960" w:type="dxa"/>
            <w:vAlign w:val="bottom"/>
            <w:gridSpan w:val="2"/>
          </w:tcPr>
          <w:p>
            <w:pPr>
              <w:ind w:left="340"/>
              <w:spacing w:after="0"/>
              <w:rPr>
                <w:sz w:val="20"/>
                <w:szCs w:val="20"/>
                <w:color w:val="auto"/>
              </w:rPr>
            </w:pPr>
            <w:r>
              <w:rPr>
                <w:rFonts w:ascii="Arial" w:cs="Arial" w:eastAsia="Arial" w:hAnsi="Arial"/>
                <w:sz w:val="18"/>
                <w:szCs w:val="18"/>
                <w:b w:val="1"/>
                <w:bCs w:val="1"/>
                <w:color w:val="auto"/>
                <w:w w:val="95"/>
              </w:rPr>
              <w:t>September 30, 2023</w:t>
            </w:r>
          </w:p>
        </w:tc>
        <w:tc>
          <w:tcPr>
            <w:tcW w:w="46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8"/>
                <w:szCs w:val="18"/>
                <w:b w:val="1"/>
                <w:bCs w:val="1"/>
                <w:color w:val="auto"/>
              </w:rPr>
              <w:t>December 31, 2022</w:t>
            </w:r>
          </w:p>
        </w:tc>
      </w:tr>
      <w:tr>
        <w:trPr>
          <w:trHeight w:val="223"/>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Pre-opening store expenses</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39,869</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17,901</w:t>
            </w:r>
          </w:p>
        </w:tc>
      </w:tr>
      <w:tr>
        <w:trPr>
          <w:trHeight w:val="230"/>
        </w:trPr>
        <w:tc>
          <w:tcPr>
            <w:tcW w:w="4760" w:type="dxa"/>
            <w:vAlign w:val="bottom"/>
          </w:tcPr>
          <w:p>
            <w:pPr>
              <w:ind w:left="20"/>
              <w:spacing w:after="0"/>
              <w:rPr>
                <w:sz w:val="20"/>
                <w:szCs w:val="20"/>
                <w:color w:val="auto"/>
              </w:rPr>
            </w:pPr>
            <w:r>
              <w:rPr>
                <w:rFonts w:ascii="Arial" w:cs="Arial" w:eastAsia="Arial" w:hAnsi="Arial"/>
                <w:sz w:val="18"/>
                <w:szCs w:val="18"/>
                <w:color w:val="auto"/>
              </w:rPr>
              <w:t>Prepaid expenses</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8,802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11,228</w:t>
            </w:r>
          </w:p>
        </w:tc>
      </w:tr>
      <w:tr>
        <w:trPr>
          <w:trHeight w:val="229"/>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 of return asset</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2,938</w:t>
            </w:r>
          </w:p>
        </w:tc>
      </w:tr>
      <w:tr>
        <w:trPr>
          <w:trHeight w:val="229"/>
        </w:trPr>
        <w:tc>
          <w:tcPr>
            <w:tcW w:w="4760" w:type="dxa"/>
            <w:vAlign w:val="bottom"/>
          </w:tcPr>
          <w:p>
            <w:pPr>
              <w:ind w:left="20"/>
              <w:spacing w:after="0"/>
              <w:rPr>
                <w:sz w:val="20"/>
                <w:szCs w:val="20"/>
                <w:color w:val="auto"/>
              </w:rPr>
            </w:pPr>
            <w:r>
              <w:rPr>
                <w:rFonts w:ascii="Arial" w:cs="Arial" w:eastAsia="Arial" w:hAnsi="Arial"/>
                <w:sz w:val="18"/>
                <w:szCs w:val="18"/>
                <w:color w:val="auto"/>
              </w:rPr>
              <w:t>Prepaid advertising</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3,760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816</w:t>
            </w:r>
          </w:p>
        </w:tc>
      </w:tr>
      <w:tr>
        <w:trPr>
          <w:trHeight w:val="230"/>
        </w:trPr>
        <w:tc>
          <w:tcPr>
            <w:tcW w:w="47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Prepaid cloud computing arrangements, net</w:t>
            </w:r>
            <w:r>
              <w:rPr>
                <w:rFonts w:ascii="Arial" w:cs="Arial" w:eastAsia="Arial" w:hAnsi="Arial"/>
                <w:sz w:val="23"/>
                <w:szCs w:val="23"/>
                <w:color w:val="auto"/>
                <w:vertAlign w:val="superscript"/>
              </w:rPr>
              <w:t>(1)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current assets</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5,288</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4,488</w:t>
            </w:r>
          </w:p>
        </w:tc>
      </w:tr>
      <w:tr>
        <w:trPr>
          <w:trHeight w:val="248"/>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prepaid and other current assets</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63,140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37,371</w:t>
            </w: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4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bl>
    <w:p>
      <w:pPr>
        <w:spacing w:after="0" w:line="89" w:lineRule="exact"/>
        <w:rPr>
          <w:sz w:val="20"/>
          <w:szCs w:val="20"/>
          <w:color w:val="auto"/>
        </w:rPr>
      </w:pPr>
    </w:p>
    <w:p>
      <w:pPr>
        <w:ind w:left="160" w:hanging="152"/>
        <w:spacing w:after="0"/>
        <w:tabs>
          <w:tab w:leader="none" w:pos="160" w:val="left"/>
        </w:tabs>
        <w:numPr>
          <w:ilvl w:val="0"/>
          <w:numId w:val="3"/>
        </w:numPr>
        <w:rPr>
          <w:rFonts w:ascii="Arial" w:cs="Arial" w:eastAsia="Arial" w:hAnsi="Arial"/>
          <w:sz w:val="9"/>
          <w:szCs w:val="9"/>
          <w:color w:val="auto"/>
        </w:rPr>
      </w:pPr>
      <w:r>
        <w:rPr>
          <w:rFonts w:ascii="Arial" w:cs="Arial" w:eastAsia="Arial" w:hAnsi="Arial"/>
          <w:sz w:val="14"/>
          <w:szCs w:val="14"/>
          <w:color w:val="auto"/>
        </w:rPr>
        <w:t>Presented net of amortization expense of $1.2 million for the nine months ended September 30, 2023.</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Recently Issued Accounting Standards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 Adopted in Fiscal 2023</w:t>
      </w:r>
    </w:p>
    <w:p>
      <w:pPr>
        <w:spacing w:after="0" w:line="18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did not adopt any Accounting Standards Updates (“ASU”) in the nine months ended September 30, 2023 that had a material impact on our accounting policies or our condensed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Not Yet Adopted</w:t>
      </w:r>
    </w:p>
    <w:p>
      <w:pPr>
        <w:spacing w:after="0" w:line="18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following table summarizes accounting pronouncements which we have not yet adopted but will be adopted in the upcoming fiscal year. ASU 2023-01 is effective for annual periods beginning after December 15, 2023. We believe the adoption will not have a material impact on our accounting policies or our consolidated financial statements and related disclosures.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40" w:type="dxa"/>
            <w:vAlign w:val="bottom"/>
            <w:gridSpan w:val="2"/>
          </w:tcPr>
          <w:p>
            <w:pPr>
              <w:ind w:left="20"/>
              <w:spacing w:after="0"/>
              <w:rPr>
                <w:sz w:val="20"/>
                <w:szCs w:val="20"/>
                <w:color w:val="auto"/>
              </w:rPr>
            </w:pPr>
            <w:r>
              <w:rPr>
                <w:rFonts w:ascii="Arial" w:cs="Arial" w:eastAsia="Arial" w:hAnsi="Arial"/>
                <w:sz w:val="18"/>
                <w:szCs w:val="18"/>
                <w:b w:val="1"/>
                <w:bCs w:val="1"/>
                <w:color w:val="auto"/>
              </w:rPr>
              <w:t>ASU</w:t>
            </w:r>
          </w:p>
        </w:tc>
        <w:tc>
          <w:tcPr>
            <w:tcW w:w="6140" w:type="dxa"/>
            <w:vAlign w:val="bottom"/>
            <w:gridSpan w:val="2"/>
          </w:tcPr>
          <w:p>
            <w:pPr>
              <w:ind w:left="20"/>
              <w:spacing w:after="0"/>
              <w:rPr>
                <w:sz w:val="20"/>
                <w:szCs w:val="20"/>
                <w:color w:val="auto"/>
              </w:rPr>
            </w:pPr>
            <w:r>
              <w:rPr>
                <w:rFonts w:ascii="Arial" w:cs="Arial" w:eastAsia="Arial" w:hAnsi="Arial"/>
                <w:sz w:val="18"/>
                <w:szCs w:val="18"/>
                <w:b w:val="1"/>
                <w:bCs w:val="1"/>
                <w:color w:val="auto"/>
              </w:rPr>
              <w:t>Description</w:t>
            </w:r>
          </w:p>
        </w:tc>
        <w:tc>
          <w:tcPr>
            <w:tcW w:w="2380" w:type="dxa"/>
            <w:vAlign w:val="bottom"/>
          </w:tcPr>
          <w:p>
            <w:pPr>
              <w:ind w:left="20"/>
              <w:spacing w:after="0"/>
              <w:rPr>
                <w:sz w:val="20"/>
                <w:szCs w:val="20"/>
                <w:color w:val="auto"/>
              </w:rPr>
            </w:pPr>
            <w:r>
              <w:rPr>
                <w:rFonts w:ascii="Arial" w:cs="Arial" w:eastAsia="Arial" w:hAnsi="Arial"/>
                <w:sz w:val="18"/>
                <w:szCs w:val="18"/>
                <w:b w:val="1"/>
                <w:bCs w:val="1"/>
                <w:color w:val="auto"/>
              </w:rPr>
              <w:t>Adoption Date</w:t>
            </w:r>
          </w:p>
        </w:tc>
      </w:tr>
      <w:tr>
        <w:trPr>
          <w:trHeight w:val="223"/>
        </w:trPr>
        <w:tc>
          <w:tcPr>
            <w:tcW w:w="2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ASU 2023-01</w:t>
            </w:r>
          </w:p>
        </w:tc>
        <w:tc>
          <w:tcPr>
            <w:tcW w:w="140" w:type="dxa"/>
            <w:vAlign w:val="bottom"/>
            <w:tcBorders>
              <w:top w:val="single" w:sz="8" w:color="CCEEFF"/>
            </w:tcBorders>
            <w:shd w:val="clear" w:color="auto" w:fill="CCEEFF"/>
          </w:tcPr>
          <w:p>
            <w:pPr>
              <w:spacing w:after="0"/>
              <w:rPr>
                <w:sz w:val="19"/>
                <w:szCs w:val="19"/>
                <w:color w:val="auto"/>
              </w:rPr>
            </w:pPr>
          </w:p>
        </w:tc>
        <w:tc>
          <w:tcPr>
            <w:tcW w:w="6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Leases (Topic 842): Common Control Arrangements</w:t>
            </w:r>
          </w:p>
        </w:tc>
        <w:tc>
          <w:tcPr>
            <w:tcW w:w="100" w:type="dxa"/>
            <w:vAlign w:val="bottom"/>
            <w:tcBorders>
              <w:top w:val="single" w:sz="8" w:color="CCEEFF"/>
            </w:tcBorders>
            <w:shd w:val="clear" w:color="auto" w:fill="CCEEFF"/>
          </w:tcPr>
          <w:p>
            <w:pPr>
              <w:spacing w:after="0"/>
              <w:rPr>
                <w:sz w:val="19"/>
                <w:szCs w:val="19"/>
                <w:color w:val="auto"/>
              </w:rPr>
            </w:pPr>
          </w:p>
        </w:tc>
        <w:tc>
          <w:tcPr>
            <w:tcW w:w="2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January 1, 2024</w:t>
            </w:r>
          </w:p>
        </w:tc>
      </w:tr>
      <w:tr>
        <w:trPr>
          <w:trHeight w:val="486"/>
        </w:trPr>
        <w:tc>
          <w:tcPr>
            <w:tcW w:w="2640" w:type="dxa"/>
            <w:vAlign w:val="bottom"/>
            <w:gridSpan w:val="2"/>
          </w:tcPr>
          <w:p>
            <w:pPr>
              <w:spacing w:after="0"/>
              <w:rPr>
                <w:sz w:val="20"/>
                <w:szCs w:val="20"/>
                <w:color w:val="auto"/>
              </w:rPr>
            </w:pPr>
            <w:r>
              <w:rPr>
                <w:rFonts w:ascii="Arial" w:cs="Arial" w:eastAsia="Arial" w:hAnsi="Arial"/>
                <w:sz w:val="18"/>
                <w:szCs w:val="18"/>
                <w:b w:val="1"/>
                <w:bCs w:val="1"/>
                <w:color w:val="auto"/>
              </w:rPr>
              <w:t>3. Merchandise Warranties</w:t>
            </w:r>
          </w:p>
        </w:tc>
        <w:tc>
          <w:tcPr>
            <w:tcW w:w="6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80" w:type="dxa"/>
            <w:vAlign w:val="bottom"/>
          </w:tcPr>
          <w:p>
            <w:pPr>
              <w:spacing w:after="0"/>
              <w:rPr>
                <w:sz w:val="24"/>
                <w:szCs w:val="24"/>
                <w:color w:val="auto"/>
              </w:rPr>
            </w:pPr>
          </w:p>
        </w:tc>
      </w:tr>
    </w:tbl>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warrants certain merchandise to be free of defects in both construction materials and workmanship from the date the performance obligation was fulfilled to the client for three to ten years depending on the merchandise category. The Company accounts for merchandise warranties by accruing an estimated liability when we recognize revenue on the sale of warrantied merchandise. We estimate future warranty claims based on claim experience which includes materials and labor costs to perform the repairs or replace products. We use judgment in making our estimates. We record differences between our estimated and actual costs when the differences are known.</w:t>
      </w: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Arhaus, Inc. and Subsidiaries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changes in our limited merchandise warranty liability is as follows (amounts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0" w:type="dxa"/>
            <w:vAlign w:val="bottom"/>
            <w:gridSpan w:val="5"/>
          </w:tcPr>
          <w:p>
            <w:pPr>
              <w:ind w:left="60"/>
              <w:spacing w:after="0"/>
              <w:rPr>
                <w:sz w:val="20"/>
                <w:szCs w:val="20"/>
                <w:color w:val="auto"/>
              </w:rPr>
            </w:pPr>
            <w:r>
              <w:rPr>
                <w:rFonts w:ascii="Arial" w:cs="Arial" w:eastAsia="Arial" w:hAnsi="Arial"/>
                <w:sz w:val="18"/>
                <w:szCs w:val="18"/>
                <w:b w:val="1"/>
                <w:bCs w:val="1"/>
                <w:color w:val="auto"/>
                <w:w w:val="98"/>
              </w:rPr>
              <w:t>Nine months ended September 30,</w:t>
            </w:r>
          </w:p>
        </w:tc>
        <w:tc>
          <w:tcPr>
            <w:tcW w:w="140" w:type="dxa"/>
            <w:vAlign w:val="bottom"/>
          </w:tcPr>
          <w:p>
            <w:pPr>
              <w:spacing w:after="0"/>
              <w:rPr>
                <w:sz w:val="20"/>
                <w:szCs w:val="20"/>
                <w:color w:val="auto"/>
              </w:rPr>
            </w:pPr>
          </w:p>
        </w:tc>
        <w:tc>
          <w:tcPr>
            <w:tcW w:w="292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w w:val="89"/>
              </w:rPr>
              <w:t>Three months ended September 30,</w:t>
            </w:r>
          </w:p>
        </w:tc>
      </w:tr>
      <w:tr>
        <w:trPr>
          <w:trHeight w:val="223"/>
        </w:trPr>
        <w:tc>
          <w:tcPr>
            <w:tcW w:w="40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r>
      <w:tr>
        <w:trPr>
          <w:trHeight w:val="223"/>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beginning of period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center"/>
              <w:ind w:left="530"/>
              <w:spacing w:after="0"/>
              <w:rPr>
                <w:sz w:val="20"/>
                <w:szCs w:val="20"/>
                <w:color w:val="auto"/>
              </w:rPr>
            </w:pPr>
            <w:r>
              <w:rPr>
                <w:rFonts w:ascii="Arial" w:cs="Arial" w:eastAsia="Arial" w:hAnsi="Arial"/>
                <w:sz w:val="18"/>
                <w:szCs w:val="18"/>
                <w:color w:val="auto"/>
                <w:w w:val="88"/>
              </w:rPr>
              <w:t>4,724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center"/>
              <w:ind w:left="730"/>
              <w:spacing w:after="0"/>
              <w:rPr>
                <w:sz w:val="20"/>
                <w:szCs w:val="20"/>
                <w:color w:val="auto"/>
              </w:rPr>
            </w:pPr>
            <w:r>
              <w:rPr>
                <w:rFonts w:ascii="Arial" w:cs="Arial" w:eastAsia="Arial" w:hAnsi="Arial"/>
                <w:sz w:val="18"/>
                <w:szCs w:val="18"/>
                <w:color w:val="auto"/>
                <w:w w:val="88"/>
              </w:rPr>
              <w:t>6,578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center"/>
              <w:ind w:left="530"/>
              <w:spacing w:after="0"/>
              <w:rPr>
                <w:sz w:val="20"/>
                <w:szCs w:val="20"/>
                <w:color w:val="auto"/>
              </w:rPr>
            </w:pPr>
            <w:r>
              <w:rPr>
                <w:rFonts w:ascii="Arial" w:cs="Arial" w:eastAsia="Arial" w:hAnsi="Arial"/>
                <w:sz w:val="18"/>
                <w:szCs w:val="18"/>
                <w:color w:val="auto"/>
                <w:w w:val="88"/>
              </w:rPr>
              <w:t>5,412</w:t>
            </w:r>
          </w:p>
        </w:tc>
      </w:tr>
      <w:tr>
        <w:trPr>
          <w:trHeight w:val="229"/>
        </w:trPr>
        <w:tc>
          <w:tcPr>
            <w:tcW w:w="4000" w:type="dxa"/>
            <w:vAlign w:val="bottom"/>
          </w:tcPr>
          <w:p>
            <w:pPr>
              <w:ind w:left="20"/>
              <w:spacing w:after="0"/>
              <w:rPr>
                <w:sz w:val="20"/>
                <w:szCs w:val="20"/>
                <w:color w:val="auto"/>
              </w:rPr>
            </w:pPr>
            <w:r>
              <w:rPr>
                <w:rFonts w:ascii="Arial" w:cs="Arial" w:eastAsia="Arial" w:hAnsi="Arial"/>
                <w:sz w:val="18"/>
                <w:szCs w:val="18"/>
                <w:color w:val="auto"/>
              </w:rPr>
              <w:t>Accruals during the period</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10,292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center"/>
              <w:ind w:left="530"/>
              <w:spacing w:after="0"/>
              <w:rPr>
                <w:sz w:val="20"/>
                <w:szCs w:val="20"/>
                <w:color w:val="auto"/>
              </w:rPr>
            </w:pPr>
            <w:r>
              <w:rPr>
                <w:rFonts w:ascii="Arial" w:cs="Arial" w:eastAsia="Arial" w:hAnsi="Arial"/>
                <w:sz w:val="18"/>
                <w:szCs w:val="18"/>
                <w:color w:val="auto"/>
                <w:w w:val="88"/>
              </w:rPr>
              <w:t>8,285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center"/>
              <w:ind w:left="730"/>
              <w:spacing w:after="0"/>
              <w:rPr>
                <w:sz w:val="20"/>
                <w:szCs w:val="20"/>
                <w:color w:val="auto"/>
              </w:rPr>
            </w:pPr>
            <w:r>
              <w:rPr>
                <w:rFonts w:ascii="Arial" w:cs="Arial" w:eastAsia="Arial" w:hAnsi="Arial"/>
                <w:sz w:val="18"/>
                <w:szCs w:val="18"/>
                <w:color w:val="auto"/>
                <w:w w:val="88"/>
              </w:rPr>
              <w:t>3,543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center"/>
              <w:ind w:left="530"/>
              <w:spacing w:after="0"/>
              <w:rPr>
                <w:sz w:val="20"/>
                <w:szCs w:val="20"/>
                <w:color w:val="auto"/>
              </w:rPr>
            </w:pPr>
            <w:r>
              <w:rPr>
                <w:rFonts w:ascii="Arial" w:cs="Arial" w:eastAsia="Arial" w:hAnsi="Arial"/>
                <w:sz w:val="18"/>
                <w:szCs w:val="18"/>
                <w:color w:val="auto"/>
                <w:w w:val="88"/>
              </w:rPr>
              <w:t>3,181</w:t>
            </w:r>
          </w:p>
        </w:tc>
      </w:tr>
      <w:tr>
        <w:trPr>
          <w:trHeight w:val="229"/>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Settlements during the period</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center"/>
              <w:ind w:left="490"/>
              <w:spacing w:after="0"/>
              <w:rPr>
                <w:sz w:val="20"/>
                <w:szCs w:val="20"/>
                <w:color w:val="auto"/>
              </w:rPr>
            </w:pPr>
            <w:r>
              <w:rPr>
                <w:rFonts w:ascii="Arial" w:cs="Arial" w:eastAsia="Arial" w:hAnsi="Arial"/>
                <w:sz w:val="18"/>
                <w:szCs w:val="18"/>
                <w:color w:val="auto"/>
                <w:w w:val="91"/>
              </w:rPr>
              <w:t>(7,152)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center"/>
              <w:ind w:left="690"/>
              <w:spacing w:after="0"/>
              <w:rPr>
                <w:sz w:val="20"/>
                <w:szCs w:val="20"/>
                <w:color w:val="auto"/>
              </w:rPr>
            </w:pPr>
            <w:r>
              <w:rPr>
                <w:rFonts w:ascii="Arial" w:cs="Arial" w:eastAsia="Arial" w:hAnsi="Arial"/>
                <w:sz w:val="18"/>
                <w:szCs w:val="18"/>
                <w:color w:val="auto"/>
                <w:w w:val="91"/>
              </w:rPr>
              <w:t>(3,308)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center"/>
              <w:ind w:left="490"/>
              <w:spacing w:after="0"/>
              <w:rPr>
                <w:sz w:val="20"/>
                <w:szCs w:val="20"/>
                <w:color w:val="auto"/>
              </w:rPr>
            </w:pPr>
            <w:r>
              <w:rPr>
                <w:rFonts w:ascii="Arial" w:cs="Arial" w:eastAsia="Arial" w:hAnsi="Arial"/>
                <w:sz w:val="18"/>
                <w:szCs w:val="18"/>
                <w:color w:val="auto"/>
                <w:w w:val="91"/>
              </w:rPr>
              <w:t>(2,736)</w:t>
            </w:r>
          </w:p>
        </w:tc>
      </w:tr>
      <w:tr>
        <w:trPr>
          <w:trHeight w:val="223"/>
        </w:trPr>
        <w:tc>
          <w:tcPr>
            <w:tcW w:w="4000" w:type="dxa"/>
            <w:vAlign w:val="bottom"/>
          </w:tcPr>
          <w:p>
            <w:pPr>
              <w:ind w:left="20"/>
              <w:spacing w:after="0" w:line="223" w:lineRule="exact"/>
              <w:rPr>
                <w:sz w:val="20"/>
                <w:szCs w:val="20"/>
                <w:color w:val="auto"/>
              </w:rPr>
            </w:pPr>
            <w:r>
              <w:rPr>
                <w:rFonts w:ascii="Arial" w:cs="Arial" w:eastAsia="Arial" w:hAnsi="Arial"/>
                <w:sz w:val="18"/>
                <w:szCs w:val="18"/>
                <w:color w:val="auto"/>
              </w:rPr>
              <w:t>Balance as of end of the period</w:t>
            </w:r>
            <w:r>
              <w:rPr>
                <w:rFonts w:ascii="Arial" w:cs="Arial" w:eastAsia="Arial" w:hAnsi="Arial"/>
                <w:sz w:val="23"/>
                <w:szCs w:val="23"/>
                <w:color w:val="auto"/>
                <w:vertAlign w:val="superscript"/>
              </w:rPr>
              <w:t>(1)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center"/>
              <w:ind w:left="530"/>
              <w:spacing w:after="0"/>
              <w:rPr>
                <w:sz w:val="20"/>
                <w:szCs w:val="20"/>
                <w:color w:val="auto"/>
              </w:rPr>
            </w:pPr>
            <w:r>
              <w:rPr>
                <w:rFonts w:ascii="Arial" w:cs="Arial" w:eastAsia="Arial" w:hAnsi="Arial"/>
                <w:sz w:val="18"/>
                <w:szCs w:val="18"/>
                <w:color w:val="auto"/>
                <w:w w:val="88"/>
              </w:rPr>
              <w:t>5,857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center"/>
              <w:ind w:left="730"/>
              <w:spacing w:after="0"/>
              <w:rPr>
                <w:sz w:val="20"/>
                <w:szCs w:val="20"/>
                <w:color w:val="auto"/>
              </w:rPr>
            </w:pPr>
            <w:r>
              <w:rPr>
                <w:rFonts w:ascii="Arial" w:cs="Arial" w:eastAsia="Arial" w:hAnsi="Arial"/>
                <w:sz w:val="18"/>
                <w:szCs w:val="18"/>
                <w:color w:val="auto"/>
                <w:w w:val="88"/>
              </w:rPr>
              <w:t>6,813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center"/>
              <w:ind w:left="530"/>
              <w:spacing w:after="0"/>
              <w:rPr>
                <w:sz w:val="20"/>
                <w:szCs w:val="20"/>
                <w:color w:val="auto"/>
              </w:rPr>
            </w:pPr>
            <w:r>
              <w:rPr>
                <w:rFonts w:ascii="Arial" w:cs="Arial" w:eastAsia="Arial" w:hAnsi="Arial"/>
                <w:sz w:val="18"/>
                <w:szCs w:val="18"/>
                <w:color w:val="auto"/>
                <w:w w:val="88"/>
              </w:rPr>
              <w:t>5,857</w:t>
            </w:r>
          </w:p>
        </w:tc>
      </w:tr>
      <w:tr>
        <w:trPr>
          <w:trHeight w:val="20"/>
        </w:trPr>
        <w:tc>
          <w:tcPr>
            <w:tcW w:w="4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61"/>
        </w:trPr>
        <w:tc>
          <w:tcPr>
            <w:tcW w:w="400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tcPr>
          <w:p>
            <w:pPr>
              <w:spacing w:after="0"/>
              <w:rPr>
                <w:sz w:val="5"/>
                <w:szCs w:val="5"/>
                <w:color w:val="auto"/>
              </w:rPr>
            </w:pPr>
          </w:p>
        </w:tc>
      </w:tr>
    </w:tbl>
    <w:p>
      <w:pPr>
        <w:spacing w:after="0" w:line="76" w:lineRule="exact"/>
        <w:rPr>
          <w:sz w:val="20"/>
          <w:szCs w:val="20"/>
          <w:color w:val="auto"/>
        </w:rPr>
      </w:pPr>
    </w:p>
    <w:p>
      <w:pPr>
        <w:ind w:right="60" w:firstLine="8"/>
        <w:spacing w:after="0" w:line="302" w:lineRule="auto"/>
        <w:tabs>
          <w:tab w:leader="none" w:pos="145" w:val="left"/>
        </w:tabs>
        <w:numPr>
          <w:ilvl w:val="0"/>
          <w:numId w:val="4"/>
        </w:numPr>
        <w:rPr>
          <w:rFonts w:ascii="Arial" w:cs="Arial" w:eastAsia="Arial" w:hAnsi="Arial"/>
          <w:sz w:val="16"/>
          <w:szCs w:val="16"/>
          <w:color w:val="auto"/>
          <w:vertAlign w:val="superscript"/>
        </w:rPr>
      </w:pPr>
      <w:r>
        <w:rPr>
          <w:rFonts w:ascii="Arial" w:cs="Arial" w:eastAsia="Arial" w:hAnsi="Arial"/>
          <w:sz w:val="12"/>
          <w:szCs w:val="12"/>
          <w:color w:val="auto"/>
        </w:rPr>
        <w:t>$3.9 million and $3.7 million were recorded in accrued other expenses at September 30, 2023 and December 31, 2022, respectively. The remainder is recorded in other long-term liabilities on our condensed consolidated balance sheets.</w:t>
      </w:r>
    </w:p>
    <w:p>
      <w:pPr>
        <w:spacing w:after="0" w:line="12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We recorded accruals during the periods presented in the table above, primarily to reflect charges that relate to limited merchandise warranties issued during the respective periods.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Long-Term Debt</w:t>
      </w:r>
    </w:p>
    <w:p>
      <w:pPr>
        <w:spacing w:after="0" w:line="20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On November 8, 2021, the Company entered into a revolving credit facility (the “2021 Credit Facility”). The 2021 Credit Facility provides for, among other things, (1) a revolving credit facility in an aggregate amount not to exceed at any time outstanding the amount of such lender’s commitment, (2) a letter of credit commitment in an amount equal to the lesser of (a) $10.0 million, and (b) the amount of the revolving credit facility as of such date, and (3) a swingline loan in an amount equal to the lesser of (a) $5.0 million, and (b) the amount of the revolving credit facility as of such date. The aggregate amount of all commitments of all lenders under the 2021 Credit Facility was initially $50.0 million. The 2021 Credit Facility contains restrictive covenants and has certain financial covenants, including a minimum rent-adjusted total leverage ratio and a minimum fixed charge ratio. The 2021 Credit Facility bears variable interest rates at the prevailing Bloomberg Short-Term Bank Yield index rate plus the applicable margin (1.50% at September 30, 2023 and 2022), whereas the applicable margin is adjusted quarterly based on the Company’s consolidated rent-adjusted total leverage ratio.</w:t>
      </w:r>
    </w:p>
    <w:p>
      <w:pPr>
        <w:spacing w:after="0" w:line="12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On December 9, 2022, the Company amended the 2021 Credit Facility to increase the revolving credit commitment thereunder by $25.0 million. After giving effect to such increase, the aggregate amount of all commitments under the 2021 Credit Facility is $75.0 million. The 2021 Credit Facility expires on November 8, 2026.</w:t>
      </w:r>
    </w:p>
    <w:p>
      <w:pPr>
        <w:spacing w:after="0" w:line="14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At September 30, 2023 and December 31, 2022, we had no borrowings on the 2021 Credit Facility. Deferred financing costs related to the 2021 Credit Facility of $0.4 million are recorded in other noncurrent assets on the consolidated balance sheets and will be amortized over the term of the 2021 Credit Facility on a straight-line basis. Accumulated amortization related to deferred financing costs for the 2021 Credit Facility was $0.1 million as of September 30, 2023 and December 31, 2022.</w:t>
      </w:r>
    </w:p>
    <w:p>
      <w:pPr>
        <w:spacing w:after="0" w:line="16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Company was in compliance with all applicable debt covenants at September 30, 2023 and December 31, 2022, and expects to remain in compliance over the next 12 months.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Leases</w:t>
      </w:r>
    </w:p>
    <w:p>
      <w:pPr>
        <w:spacing w:after="0" w:line="189"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 xml:space="preserve">The Company leases real estate and equipment under operating and finance leases, some of which are from related parties as discussed in Note 10 — </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 The most significant obligations under these lease agreements require the payments of periodic rentals, real estate taxes,</w:t>
      </w:r>
      <w:r>
        <w:rPr>
          <w:rFonts w:ascii="Arial" w:cs="Arial" w:eastAsia="Arial" w:hAnsi="Arial"/>
          <w:sz w:val="18"/>
          <w:szCs w:val="18"/>
          <w:i w:val="1"/>
          <w:iCs w:val="1"/>
          <w:color w:val="auto"/>
        </w:rPr>
        <w:t xml:space="preserve"> </w:t>
      </w:r>
      <w:r>
        <w:rPr>
          <w:rFonts w:ascii="Arial" w:cs="Arial" w:eastAsia="Arial" w:hAnsi="Arial"/>
          <w:sz w:val="18"/>
          <w:szCs w:val="18"/>
          <w:color w:val="auto"/>
        </w:rPr>
        <w:t>insurance and maintenance costs. Depending on particular Showroom leases, the Company can also owe a percentage rent payment if particular Showrooms meet certain sales figures.</w:t>
      </w:r>
    </w:p>
    <w:p>
      <w:pPr>
        <w:spacing w:after="0" w:line="200" w:lineRule="exact"/>
        <w:rPr>
          <w:sz w:val="20"/>
          <w:szCs w:val="20"/>
          <w:color w:val="auto"/>
        </w:rPr>
      </w:pPr>
    </w:p>
    <w:p>
      <w:pPr>
        <w:spacing w:after="0" w:line="3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Arhaus,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amounts recognized in our condensed consolidated balance sheets related to leases as of September 30, 2023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 respectively (amounts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40" w:type="dxa"/>
            <w:vAlign w:val="bottom"/>
          </w:tcPr>
          <w:p>
            <w:pPr>
              <w:spacing w:after="0"/>
              <w:rPr>
                <w:sz w:val="20"/>
                <w:szCs w:val="20"/>
                <w:color w:val="auto"/>
              </w:rPr>
            </w:pPr>
          </w:p>
        </w:tc>
        <w:tc>
          <w:tcPr>
            <w:tcW w:w="4940" w:type="dxa"/>
            <w:vAlign w:val="bottom"/>
            <w:gridSpan w:val="2"/>
          </w:tcPr>
          <w:p>
            <w:pPr>
              <w:ind w:left="20"/>
              <w:spacing w:after="0"/>
              <w:rPr>
                <w:sz w:val="20"/>
                <w:szCs w:val="20"/>
                <w:color w:val="auto"/>
              </w:rPr>
            </w:pPr>
            <w:r>
              <w:rPr>
                <w:rFonts w:ascii="Arial" w:cs="Arial" w:eastAsia="Arial" w:hAnsi="Arial"/>
                <w:sz w:val="18"/>
                <w:szCs w:val="18"/>
                <w:b w:val="1"/>
                <w:bCs w:val="1"/>
                <w:color w:val="auto"/>
              </w:rPr>
              <w:t>Condensed Consolidated Balance Sheet Classification</w:t>
            </w:r>
          </w:p>
        </w:tc>
        <w:tc>
          <w:tcPr>
            <w:tcW w:w="1680" w:type="dxa"/>
            <w:vAlign w:val="bottom"/>
            <w:gridSpan w:val="3"/>
          </w:tcPr>
          <w:p>
            <w:pPr>
              <w:ind w:left="40"/>
              <w:spacing w:after="0"/>
              <w:rPr>
                <w:sz w:val="20"/>
                <w:szCs w:val="20"/>
                <w:color w:val="auto"/>
              </w:rPr>
            </w:pPr>
            <w:r>
              <w:rPr>
                <w:rFonts w:ascii="Arial" w:cs="Arial" w:eastAsia="Arial" w:hAnsi="Arial"/>
                <w:sz w:val="18"/>
                <w:szCs w:val="18"/>
                <w:b w:val="1"/>
                <w:bCs w:val="1"/>
                <w:color w:val="auto"/>
                <w:w w:val="96"/>
              </w:rPr>
              <w:t>September 30, 2023</w:t>
            </w:r>
          </w:p>
        </w:tc>
        <w:tc>
          <w:tcPr>
            <w:tcW w:w="1580" w:type="dxa"/>
            <w:vAlign w:val="bottom"/>
            <w:gridSpan w:val="3"/>
          </w:tcPr>
          <w:p>
            <w:pPr>
              <w:ind w:left="40"/>
              <w:spacing w:after="0"/>
              <w:rPr>
                <w:sz w:val="20"/>
                <w:szCs w:val="20"/>
                <w:color w:val="auto"/>
              </w:rPr>
            </w:pPr>
            <w:r>
              <w:rPr>
                <w:rFonts w:ascii="Arial" w:cs="Arial" w:eastAsia="Arial" w:hAnsi="Arial"/>
                <w:sz w:val="18"/>
                <w:szCs w:val="18"/>
                <w:b w:val="1"/>
                <w:bCs w:val="1"/>
                <w:color w:val="auto"/>
                <w:w w:val="93"/>
              </w:rPr>
              <w:t>December 31, 2022</w:t>
            </w:r>
          </w:p>
        </w:tc>
        <w:tc>
          <w:tcPr>
            <w:tcW w:w="0" w:type="dxa"/>
            <w:vAlign w:val="bottom"/>
          </w:tcPr>
          <w:p>
            <w:pPr>
              <w:spacing w:after="0"/>
              <w:rPr>
                <w:sz w:val="1"/>
                <w:szCs w:val="1"/>
                <w:color w:val="auto"/>
              </w:rPr>
            </w:pPr>
          </w:p>
        </w:tc>
      </w:tr>
      <w:tr>
        <w:trPr>
          <w:trHeight w:val="209"/>
        </w:trPr>
        <w:tc>
          <w:tcPr>
            <w:tcW w:w="3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4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040" w:type="dxa"/>
            <w:vAlign w:val="bottom"/>
          </w:tcPr>
          <w:p>
            <w:pPr>
              <w:ind w:left="20"/>
              <w:spacing w:after="0"/>
              <w:rPr>
                <w:sz w:val="20"/>
                <w:szCs w:val="20"/>
                <w:color w:val="auto"/>
              </w:rPr>
            </w:pPr>
            <w:r>
              <w:rPr>
                <w:rFonts w:ascii="Arial" w:cs="Arial" w:eastAsia="Arial" w:hAnsi="Arial"/>
                <w:sz w:val="18"/>
                <w:szCs w:val="18"/>
                <w:color w:val="auto"/>
              </w:rPr>
              <w:t>Operating lease assets</w:t>
            </w:r>
          </w:p>
        </w:tc>
        <w:tc>
          <w:tcPr>
            <w:tcW w:w="4940" w:type="dxa"/>
            <w:vAlign w:val="bottom"/>
            <w:gridSpan w:val="2"/>
          </w:tcPr>
          <w:p>
            <w:pPr>
              <w:ind w:left="20"/>
              <w:spacing w:after="0"/>
              <w:rPr>
                <w:sz w:val="20"/>
                <w:szCs w:val="20"/>
                <w:color w:val="auto"/>
              </w:rPr>
            </w:pPr>
            <w:r>
              <w:rPr>
                <w:rFonts w:ascii="Arial" w:cs="Arial" w:eastAsia="Arial" w:hAnsi="Arial"/>
                <w:sz w:val="18"/>
                <w:szCs w:val="18"/>
                <w:color w:val="auto"/>
              </w:rPr>
              <w:t>Operating right-of-use assets</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314,378</w:t>
            </w:r>
          </w:p>
        </w:tc>
        <w:tc>
          <w:tcPr>
            <w:tcW w:w="100" w:type="dxa"/>
            <w:vAlign w:val="bottom"/>
          </w:tcPr>
          <w:p>
            <w:pPr>
              <w:spacing w:after="0"/>
              <w:rPr>
                <w:sz w:val="19"/>
                <w:szCs w:val="19"/>
                <w:color w:val="auto"/>
              </w:rPr>
            </w:pPr>
          </w:p>
        </w:tc>
        <w:tc>
          <w:tcPr>
            <w:tcW w:w="480" w:type="dxa"/>
            <w:vAlign w:val="bottom"/>
          </w:tcPr>
          <w:p>
            <w:pPr>
              <w:ind w:lef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252,055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assets</w:t>
            </w:r>
          </w:p>
        </w:tc>
        <w:tc>
          <w:tcPr>
            <w:tcW w:w="4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Financing right-of-use assets</w:t>
            </w: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39,480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40" w:type="dxa"/>
            <w:vAlign w:val="bottom"/>
          </w:tcPr>
          <w:p>
            <w:pPr>
              <w:ind w:left="20"/>
              <w:spacing w:after="0"/>
              <w:rPr>
                <w:sz w:val="20"/>
                <w:szCs w:val="20"/>
                <w:color w:val="auto"/>
              </w:rPr>
            </w:pPr>
            <w:r>
              <w:rPr>
                <w:rFonts w:ascii="Arial" w:cs="Arial" w:eastAsia="Arial" w:hAnsi="Arial"/>
                <w:sz w:val="18"/>
                <w:szCs w:val="18"/>
                <w:color w:val="auto"/>
              </w:rPr>
              <w:t>Total leased assets</w:t>
            </w:r>
          </w:p>
        </w:tc>
        <w:tc>
          <w:tcPr>
            <w:tcW w:w="4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353,858</w:t>
            </w:r>
          </w:p>
        </w:tc>
        <w:tc>
          <w:tcPr>
            <w:tcW w:w="100" w:type="dxa"/>
            <w:vAlign w:val="bottom"/>
          </w:tcPr>
          <w:p>
            <w:pPr>
              <w:spacing w:after="0"/>
              <w:rPr>
                <w:sz w:val="19"/>
                <w:szCs w:val="19"/>
                <w:color w:val="auto"/>
              </w:rPr>
            </w:pPr>
          </w:p>
        </w:tc>
        <w:tc>
          <w:tcPr>
            <w:tcW w:w="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290,577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40" w:type="dxa"/>
            <w:vAlign w:val="bottom"/>
            <w:tcBorders>
              <w:bottom w:val="single" w:sz="8" w:color="CCEEFF"/>
            </w:tcBorders>
          </w:tcPr>
          <w:p>
            <w:pPr>
              <w:spacing w:after="0" w:line="20" w:lineRule="exact"/>
              <w:rPr>
                <w:sz w:val="1"/>
                <w:szCs w:val="1"/>
                <w:color w:val="auto"/>
              </w:rPr>
            </w:pPr>
          </w:p>
        </w:tc>
        <w:tc>
          <w:tcPr>
            <w:tcW w:w="4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040" w:type="dxa"/>
            <w:vAlign w:val="bottom"/>
            <w:shd w:val="clear" w:color="auto" w:fill="CCEEFF"/>
          </w:tcPr>
          <w:p>
            <w:pPr>
              <w:spacing w:after="0"/>
              <w:rPr>
                <w:sz w:val="11"/>
                <w:szCs w:val="11"/>
                <w:color w:val="auto"/>
              </w:rPr>
            </w:pPr>
          </w:p>
        </w:tc>
        <w:tc>
          <w:tcPr>
            <w:tcW w:w="4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304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4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operating leases</w:t>
            </w:r>
          </w:p>
        </w:tc>
        <w:tc>
          <w:tcPr>
            <w:tcW w:w="4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 portion of operating lease liabilities</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42,472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Non-current operating leases</w:t>
            </w:r>
          </w:p>
        </w:tc>
        <w:tc>
          <w:tcPr>
            <w:tcW w:w="49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Operating lease liabilities, long-term</w:t>
            </w: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360,708</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289,871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lease liabilities</w:t>
            </w:r>
          </w:p>
        </w:tc>
        <w:tc>
          <w:tcPr>
            <w:tcW w:w="4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403,180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329,615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040" w:type="dxa"/>
            <w:vAlign w:val="bottom"/>
          </w:tcPr>
          <w:p>
            <w:pPr>
              <w:spacing w:after="0"/>
              <w:rPr>
                <w:sz w:val="23"/>
                <w:szCs w:val="23"/>
                <w:color w:val="auto"/>
              </w:rPr>
            </w:pPr>
          </w:p>
        </w:tc>
        <w:tc>
          <w:tcPr>
            <w:tcW w:w="4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finance leases</w:t>
            </w:r>
          </w:p>
        </w:tc>
        <w:tc>
          <w:tcPr>
            <w:tcW w:w="4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 portion of financing lease liabilities</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Non-current finance leases</w:t>
            </w:r>
          </w:p>
        </w:tc>
        <w:tc>
          <w:tcPr>
            <w:tcW w:w="49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Financing lease liabilities, long-term</w:t>
            </w: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54,010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finance lease liabilities</w:t>
            </w:r>
          </w:p>
        </w:tc>
        <w:tc>
          <w:tcPr>
            <w:tcW w:w="4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54,935</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40" w:type="dxa"/>
            <w:vAlign w:val="bottom"/>
          </w:tcPr>
          <w:p>
            <w:pPr>
              <w:ind w:left="20"/>
              <w:spacing w:after="0"/>
              <w:rPr>
                <w:sz w:val="20"/>
                <w:szCs w:val="20"/>
                <w:color w:val="auto"/>
              </w:rPr>
            </w:pPr>
            <w:r>
              <w:rPr>
                <w:rFonts w:ascii="Arial" w:cs="Arial" w:eastAsia="Arial" w:hAnsi="Arial"/>
                <w:sz w:val="18"/>
                <w:szCs w:val="18"/>
                <w:color w:val="auto"/>
              </w:rPr>
              <w:t>Total lease liabilities</w:t>
            </w:r>
          </w:p>
        </w:tc>
        <w:tc>
          <w:tcPr>
            <w:tcW w:w="4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458,115</w:t>
            </w:r>
          </w:p>
        </w:tc>
        <w:tc>
          <w:tcPr>
            <w:tcW w:w="100" w:type="dxa"/>
            <w:vAlign w:val="bottom"/>
          </w:tcPr>
          <w:p>
            <w:pPr>
              <w:spacing w:after="0"/>
              <w:rPr>
                <w:sz w:val="19"/>
                <w:szCs w:val="19"/>
                <w:color w:val="auto"/>
              </w:rPr>
            </w:pPr>
          </w:p>
        </w:tc>
        <w:tc>
          <w:tcPr>
            <w:tcW w:w="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381,981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4840" w:type="dxa"/>
            <w:vAlign w:val="bottom"/>
            <w:vMerge w:val="restart"/>
          </w:tcPr>
          <w:p>
            <w:pPr>
              <w:ind w:left="250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3040" w:type="dxa"/>
            <w:vAlign w:val="bottom"/>
          </w:tcPr>
          <w:p>
            <w:pPr>
              <w:spacing w:after="0"/>
              <w:rPr>
                <w:sz w:val="24"/>
                <w:szCs w:val="24"/>
                <w:color w:val="auto"/>
              </w:rPr>
            </w:pPr>
          </w:p>
        </w:tc>
        <w:tc>
          <w:tcPr>
            <w:tcW w:w="48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040" w:type="dxa"/>
            <w:vAlign w:val="bottom"/>
            <w:tcBorders>
              <w:bottom w:val="single" w:sz="8" w:color="9A9A9A"/>
            </w:tcBorders>
          </w:tcPr>
          <w:p>
            <w:pPr>
              <w:spacing w:after="0"/>
              <w:rPr>
                <w:sz w:val="10"/>
                <w:szCs w:val="10"/>
                <w:color w:val="auto"/>
              </w:rPr>
            </w:pPr>
          </w:p>
        </w:tc>
        <w:tc>
          <w:tcPr>
            <w:tcW w:w="4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Arhaus,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lease cost recognized within our condensed consolidated statements of comprehensive income for the nine and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2023 and 2022, respectively are as follows (amounts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0" w:type="dxa"/>
            <w:vAlign w:val="bottom"/>
            <w:gridSpan w:val="5"/>
          </w:tcPr>
          <w:p>
            <w:pPr>
              <w:ind w:left="180"/>
              <w:spacing w:after="0"/>
              <w:rPr>
                <w:sz w:val="20"/>
                <w:szCs w:val="20"/>
                <w:color w:val="auto"/>
              </w:rPr>
            </w:pPr>
            <w:r>
              <w:rPr>
                <w:rFonts w:ascii="Arial" w:cs="Arial" w:eastAsia="Arial" w:hAnsi="Arial"/>
                <w:sz w:val="18"/>
                <w:szCs w:val="18"/>
                <w:b w:val="1"/>
                <w:bCs w:val="1"/>
                <w:color w:val="auto"/>
              </w:rPr>
              <w:t>Nine months ended</w:t>
            </w:r>
          </w:p>
        </w:tc>
        <w:tc>
          <w:tcPr>
            <w:tcW w:w="2640" w:type="dxa"/>
            <w:vAlign w:val="bottom"/>
            <w:gridSpan w:val="6"/>
          </w:tcPr>
          <w:p>
            <w:pPr>
              <w:jc w:val="right"/>
              <w:ind w:right="10"/>
              <w:spacing w:after="0"/>
              <w:rPr>
                <w:sz w:val="20"/>
                <w:szCs w:val="20"/>
                <w:color w:val="auto"/>
              </w:rPr>
            </w:pPr>
            <w:r>
              <w:rPr>
                <w:rFonts w:ascii="Arial" w:cs="Arial" w:eastAsia="Arial" w:hAnsi="Arial"/>
                <w:sz w:val="18"/>
                <w:szCs w:val="18"/>
                <w:b w:val="1"/>
                <w:bCs w:val="1"/>
                <w:color w:val="auto"/>
                <w:w w:val="91"/>
              </w:rPr>
              <w:t>Three months ended September</w:t>
            </w:r>
          </w:p>
        </w:tc>
        <w:tc>
          <w:tcPr>
            <w:tcW w:w="0" w:type="dxa"/>
            <w:vAlign w:val="bottom"/>
          </w:tcPr>
          <w:p>
            <w:pPr>
              <w:spacing w:after="0"/>
              <w:rPr>
                <w:sz w:val="1"/>
                <w:szCs w:val="1"/>
                <w:color w:val="auto"/>
              </w:rPr>
            </w:pPr>
          </w:p>
        </w:tc>
      </w:tr>
      <w:tr>
        <w:trPr>
          <w:trHeight w:val="234"/>
        </w:trPr>
        <w:tc>
          <w:tcPr>
            <w:tcW w:w="3320" w:type="dxa"/>
            <w:vAlign w:val="bottom"/>
          </w:tcPr>
          <w:p>
            <w:pPr>
              <w:spacing w:after="0"/>
              <w:rPr>
                <w:sz w:val="20"/>
                <w:szCs w:val="20"/>
                <w:color w:val="auto"/>
              </w:rPr>
            </w:pPr>
          </w:p>
        </w:tc>
        <w:tc>
          <w:tcPr>
            <w:tcW w:w="26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w w:val="91"/>
              </w:rPr>
              <w:t>Condensed Consolidated Income</w:t>
            </w:r>
          </w:p>
        </w:tc>
        <w:tc>
          <w:tcPr>
            <w:tcW w:w="280" w:type="dxa"/>
            <w:vAlign w:val="bottom"/>
          </w:tcPr>
          <w:p>
            <w:pPr>
              <w:spacing w:after="0"/>
              <w:rPr>
                <w:sz w:val="20"/>
                <w:szCs w:val="20"/>
                <w:color w:val="auto"/>
              </w:rPr>
            </w:pPr>
          </w:p>
        </w:tc>
        <w:tc>
          <w:tcPr>
            <w:tcW w:w="2200" w:type="dxa"/>
            <w:vAlign w:val="bottom"/>
            <w:gridSpan w:val="5"/>
          </w:tcPr>
          <w:p>
            <w:pPr>
              <w:ind w:left="360"/>
              <w:spacing w:after="0"/>
              <w:rPr>
                <w:sz w:val="20"/>
                <w:szCs w:val="20"/>
                <w:color w:val="auto"/>
              </w:rPr>
            </w:pPr>
            <w:r>
              <w:rPr>
                <w:rFonts w:ascii="Arial" w:cs="Arial" w:eastAsia="Arial" w:hAnsi="Arial"/>
                <w:sz w:val="18"/>
                <w:szCs w:val="18"/>
                <w:b w:val="1"/>
                <w:bCs w:val="1"/>
                <w:color w:val="auto"/>
              </w:rPr>
              <w:t>September 30,</w:t>
            </w: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gridSpan w:val="3"/>
          </w:tcPr>
          <w:p>
            <w:pPr>
              <w:jc w:val="right"/>
              <w:ind w:right="130"/>
              <w:spacing w:after="0"/>
              <w:rPr>
                <w:sz w:val="20"/>
                <w:szCs w:val="20"/>
                <w:color w:val="auto"/>
              </w:rPr>
            </w:pPr>
            <w:r>
              <w:rPr>
                <w:rFonts w:ascii="Arial" w:cs="Arial" w:eastAsia="Arial" w:hAnsi="Arial"/>
                <w:sz w:val="18"/>
                <w:szCs w:val="18"/>
                <w:b w:val="1"/>
                <w:bCs w:val="1"/>
                <w:color w:val="auto"/>
                <w:w w:val="79"/>
              </w:rPr>
              <w:t>30,</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3320" w:type="dxa"/>
            <w:vAlign w:val="bottom"/>
          </w:tcPr>
          <w:p>
            <w:pPr>
              <w:spacing w:after="0"/>
              <w:rPr>
                <w:sz w:val="14"/>
                <w:szCs w:val="14"/>
                <w:color w:val="auto"/>
              </w:rPr>
            </w:pPr>
          </w:p>
        </w:tc>
        <w:tc>
          <w:tcPr>
            <w:tcW w:w="2660" w:type="dxa"/>
            <w:vAlign w:val="bottom"/>
            <w:gridSpan w:val="2"/>
            <w:vMerge w:val="continue"/>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320" w:type="dxa"/>
            <w:vAlign w:val="bottom"/>
          </w:tcPr>
          <w:p>
            <w:pPr>
              <w:spacing w:after="0"/>
              <w:rPr>
                <w:sz w:val="20"/>
                <w:szCs w:val="20"/>
                <w:color w:val="auto"/>
              </w:rPr>
            </w:pPr>
          </w:p>
        </w:tc>
        <w:tc>
          <w:tcPr>
            <w:tcW w:w="2660" w:type="dxa"/>
            <w:vAlign w:val="bottom"/>
            <w:gridSpan w:val="2"/>
          </w:tcPr>
          <w:p>
            <w:pPr>
              <w:ind w:left="20"/>
              <w:spacing w:after="0"/>
              <w:rPr>
                <w:sz w:val="20"/>
                <w:szCs w:val="20"/>
                <w:color w:val="auto"/>
              </w:rPr>
            </w:pPr>
            <w:r>
              <w:rPr>
                <w:rFonts w:ascii="Arial" w:cs="Arial" w:eastAsia="Arial" w:hAnsi="Arial"/>
                <w:sz w:val="18"/>
                <w:szCs w:val="18"/>
                <w:b w:val="1"/>
                <w:bCs w:val="1"/>
                <w:color w:val="auto"/>
              </w:rPr>
              <w:t>Statement Classification</w:t>
            </w:r>
          </w:p>
        </w:tc>
        <w:tc>
          <w:tcPr>
            <w:tcW w:w="280" w:type="dxa"/>
            <w:vAlign w:val="bottom"/>
          </w:tcPr>
          <w:p>
            <w:pPr>
              <w:spacing w:after="0"/>
              <w:rPr>
                <w:sz w:val="20"/>
                <w:szCs w:val="20"/>
                <w:color w:val="auto"/>
              </w:rPr>
            </w:pPr>
          </w:p>
        </w:tc>
        <w:tc>
          <w:tcPr>
            <w:tcW w:w="1000" w:type="dxa"/>
            <w:vAlign w:val="bottom"/>
          </w:tcPr>
          <w:p>
            <w:pPr>
              <w:ind w:left="18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09"/>
        </w:trPr>
        <w:tc>
          <w:tcPr>
            <w:tcW w:w="3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Lease costs:</w:t>
            </w:r>
          </w:p>
        </w:tc>
        <w:tc>
          <w:tcPr>
            <w:tcW w:w="25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20" w:type="dxa"/>
            <w:vAlign w:val="bottom"/>
          </w:tcPr>
          <w:p>
            <w:pPr>
              <w:ind w:left="20"/>
              <w:spacing w:after="0"/>
              <w:rPr>
                <w:sz w:val="20"/>
                <w:szCs w:val="20"/>
                <w:color w:val="auto"/>
              </w:rPr>
            </w:pPr>
            <w:r>
              <w:rPr>
                <w:rFonts w:ascii="Arial" w:cs="Arial" w:eastAsia="Arial" w:hAnsi="Arial"/>
                <w:sz w:val="18"/>
                <w:szCs w:val="18"/>
                <w:color w:val="auto"/>
              </w:rPr>
              <w:t>Operating lease costs</w:t>
            </w:r>
          </w:p>
        </w:tc>
        <w:tc>
          <w:tcPr>
            <w:tcW w:w="2660" w:type="dxa"/>
            <w:vAlign w:val="bottom"/>
            <w:gridSpan w:val="2"/>
          </w:tcPr>
          <w:p>
            <w:pPr>
              <w:ind w:left="20"/>
              <w:spacing w:after="0"/>
              <w:rPr>
                <w:sz w:val="20"/>
                <w:szCs w:val="20"/>
                <w:color w:val="auto"/>
              </w:rPr>
            </w:pPr>
            <w:r>
              <w:rPr>
                <w:rFonts w:ascii="Arial" w:cs="Arial" w:eastAsia="Arial" w:hAnsi="Arial"/>
                <w:sz w:val="18"/>
                <w:szCs w:val="18"/>
                <w:color w:val="auto"/>
              </w:rPr>
              <w:t>Cost of goods sold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35,691</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25,798</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15,315</w:t>
            </w:r>
          </w:p>
        </w:tc>
        <w:tc>
          <w:tcPr>
            <w:tcW w:w="44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8,716</w:t>
            </w:r>
          </w:p>
        </w:tc>
        <w:tc>
          <w:tcPr>
            <w:tcW w:w="0" w:type="dxa"/>
            <w:vAlign w:val="bottom"/>
          </w:tcPr>
          <w:p>
            <w:pPr>
              <w:spacing w:after="0"/>
              <w:rPr>
                <w:sz w:val="1"/>
                <w:szCs w:val="1"/>
                <w:color w:val="auto"/>
              </w:rPr>
            </w:pPr>
          </w:p>
        </w:tc>
      </w:tr>
      <w:tr>
        <w:trPr>
          <w:trHeight w:val="188"/>
        </w:trPr>
        <w:tc>
          <w:tcPr>
            <w:tcW w:w="3320" w:type="dxa"/>
            <w:vAlign w:val="bottom"/>
            <w:shd w:val="clear" w:color="auto" w:fill="CCEEFF"/>
          </w:tcPr>
          <w:p>
            <w:pPr>
              <w:spacing w:after="0"/>
              <w:rPr>
                <w:sz w:val="16"/>
                <w:szCs w:val="16"/>
                <w:color w:val="auto"/>
              </w:rPr>
            </w:pPr>
          </w:p>
        </w:tc>
        <w:tc>
          <w:tcPr>
            <w:tcW w:w="266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w w:val="95"/>
              </w:rPr>
              <w:t>Selling, general and administrative</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costs</w:t>
            </w:r>
          </w:p>
        </w:tc>
        <w:tc>
          <w:tcPr>
            <w:tcW w:w="2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expenses</w:t>
            </w: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4,743</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2,518</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1,955</w:t>
            </w:r>
          </w:p>
        </w:tc>
        <w:tc>
          <w:tcPr>
            <w:tcW w:w="0" w:type="dxa"/>
            <w:vAlign w:val="bottom"/>
          </w:tcPr>
          <w:p>
            <w:pPr>
              <w:spacing w:after="0"/>
              <w:rPr>
                <w:sz w:val="1"/>
                <w:szCs w:val="1"/>
                <w:color w:val="auto"/>
              </w:rPr>
            </w:pPr>
          </w:p>
        </w:tc>
      </w:tr>
      <w:tr>
        <w:trPr>
          <w:trHeight w:val="229"/>
        </w:trPr>
        <w:tc>
          <w:tcPr>
            <w:tcW w:w="3320" w:type="dxa"/>
            <w:vAlign w:val="bottom"/>
          </w:tcPr>
          <w:p>
            <w:pPr>
              <w:ind w:left="20"/>
              <w:spacing w:after="0"/>
              <w:rPr>
                <w:sz w:val="20"/>
                <w:szCs w:val="20"/>
                <w:color w:val="auto"/>
              </w:rPr>
            </w:pPr>
            <w:r>
              <w:rPr>
                <w:rFonts w:ascii="Arial" w:cs="Arial" w:eastAsia="Arial" w:hAnsi="Arial"/>
                <w:sz w:val="18"/>
                <w:szCs w:val="18"/>
                <w:color w:val="auto"/>
              </w:rPr>
              <w:t>Finance lease costs</w:t>
            </w:r>
          </w:p>
        </w:tc>
        <w:tc>
          <w:tcPr>
            <w:tcW w:w="2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3320" w:type="dxa"/>
            <w:vAlign w:val="bottom"/>
            <w:shd w:val="clear" w:color="auto" w:fill="CCEEFF"/>
          </w:tcPr>
          <w:p>
            <w:pPr>
              <w:spacing w:after="0"/>
              <w:rPr>
                <w:sz w:val="16"/>
                <w:szCs w:val="16"/>
                <w:color w:val="auto"/>
              </w:rPr>
            </w:pPr>
          </w:p>
        </w:tc>
        <w:tc>
          <w:tcPr>
            <w:tcW w:w="266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w w:val="95"/>
              </w:rPr>
              <w:t>Selling, general and administrative</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right-of-use assets</w:t>
            </w:r>
          </w:p>
        </w:tc>
        <w:tc>
          <w:tcPr>
            <w:tcW w:w="2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expenses</w:t>
            </w: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29"/>
        </w:trPr>
        <w:tc>
          <w:tcPr>
            <w:tcW w:w="3320" w:type="dxa"/>
            <w:vAlign w:val="bottom"/>
          </w:tcPr>
          <w:p>
            <w:pPr>
              <w:ind w:left="20"/>
              <w:spacing w:after="0"/>
              <w:rPr>
                <w:sz w:val="20"/>
                <w:szCs w:val="20"/>
                <w:color w:val="auto"/>
              </w:rPr>
            </w:pPr>
            <w:r>
              <w:rPr>
                <w:rFonts w:ascii="Arial" w:cs="Arial" w:eastAsia="Arial" w:hAnsi="Arial"/>
                <w:sz w:val="18"/>
                <w:szCs w:val="18"/>
                <w:color w:val="auto"/>
              </w:rPr>
              <w:t>Interest expense on lease liabilities</w:t>
            </w:r>
          </w:p>
        </w:tc>
        <w:tc>
          <w:tcPr>
            <w:tcW w:w="2660" w:type="dxa"/>
            <w:vAlign w:val="bottom"/>
            <w:gridSpan w:val="2"/>
          </w:tcPr>
          <w:p>
            <w:pPr>
              <w:ind w:left="20"/>
              <w:spacing w:after="0"/>
              <w:rPr>
                <w:sz w:val="20"/>
                <w:szCs w:val="20"/>
                <w:color w:val="auto"/>
              </w:rPr>
            </w:pPr>
            <w:r>
              <w:rPr>
                <w:rFonts w:ascii="Arial" w:cs="Arial" w:eastAsia="Arial" w:hAnsi="Arial"/>
                <w:sz w:val="18"/>
                <w:szCs w:val="18"/>
                <w:color w:val="auto"/>
              </w:rPr>
              <w:t>Interest expense (income), net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3,852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3,758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1,316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1,270</w:t>
            </w: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Variable lease costs</w:t>
            </w:r>
            <w:r>
              <w:rPr>
                <w:rFonts w:ascii="Arial" w:cs="Arial" w:eastAsia="Arial" w:hAnsi="Arial"/>
                <w:sz w:val="23"/>
                <w:szCs w:val="23"/>
                <w:color w:val="auto"/>
                <w:vertAlign w:val="superscript"/>
              </w:rPr>
              <w:t>(1)</w:t>
            </w:r>
          </w:p>
        </w:tc>
        <w:tc>
          <w:tcPr>
            <w:tcW w:w="2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26,764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9,961</w:t>
            </w:r>
          </w:p>
        </w:tc>
        <w:tc>
          <w:tcPr>
            <w:tcW w:w="0" w:type="dxa"/>
            <w:vAlign w:val="bottom"/>
          </w:tcPr>
          <w:p>
            <w:pPr>
              <w:spacing w:after="0"/>
              <w:rPr>
                <w:sz w:val="1"/>
                <w:szCs w:val="1"/>
                <w:color w:val="auto"/>
              </w:rPr>
            </w:pPr>
          </w:p>
        </w:tc>
      </w:tr>
      <w:tr>
        <w:trPr>
          <w:trHeight w:val="188"/>
        </w:trPr>
        <w:tc>
          <w:tcPr>
            <w:tcW w:w="3320" w:type="dxa"/>
            <w:vAlign w:val="bottom"/>
          </w:tcPr>
          <w:p>
            <w:pPr>
              <w:spacing w:after="0"/>
              <w:rPr>
                <w:sz w:val="16"/>
                <w:szCs w:val="16"/>
                <w:color w:val="auto"/>
              </w:rPr>
            </w:pPr>
          </w:p>
        </w:tc>
        <w:tc>
          <w:tcPr>
            <w:tcW w:w="2660" w:type="dxa"/>
            <w:vAlign w:val="bottom"/>
            <w:gridSpan w:val="2"/>
          </w:tcPr>
          <w:p>
            <w:pPr>
              <w:ind w:left="20"/>
              <w:spacing w:after="0" w:line="189" w:lineRule="exact"/>
              <w:rPr>
                <w:sz w:val="20"/>
                <w:szCs w:val="20"/>
                <w:color w:val="auto"/>
              </w:rPr>
            </w:pPr>
            <w:r>
              <w:rPr>
                <w:rFonts w:ascii="Arial" w:cs="Arial" w:eastAsia="Arial" w:hAnsi="Arial"/>
                <w:sz w:val="18"/>
                <w:szCs w:val="18"/>
                <w:color w:val="auto"/>
                <w:w w:val="95"/>
              </w:rPr>
              <w:t>Selling, general and administrative</w:t>
            </w: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Short term lease costs</w:t>
            </w:r>
          </w:p>
        </w:tc>
        <w:tc>
          <w:tcPr>
            <w:tcW w:w="26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expenses</w:t>
            </w: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48"/>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costs</w:t>
            </w:r>
          </w:p>
        </w:tc>
        <w:tc>
          <w:tcPr>
            <w:tcW w:w="25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29,263</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22,612</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320" w:type="dxa"/>
            <w:vAlign w:val="bottom"/>
            <w:tcBorders>
              <w:bottom w:val="single" w:sz="8" w:color="auto"/>
            </w:tcBorders>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right="360" w:firstLine="8"/>
        <w:spacing w:after="0" w:line="302" w:lineRule="auto"/>
        <w:tabs>
          <w:tab w:leader="none" w:pos="145" w:val="left"/>
        </w:tabs>
        <w:numPr>
          <w:ilvl w:val="0"/>
          <w:numId w:val="5"/>
        </w:numPr>
        <w:rPr>
          <w:rFonts w:ascii="Arial" w:cs="Arial" w:eastAsia="Arial" w:hAnsi="Arial"/>
          <w:sz w:val="16"/>
          <w:szCs w:val="16"/>
          <w:color w:val="auto"/>
          <w:vertAlign w:val="superscript"/>
        </w:rPr>
      </w:pPr>
      <w:r>
        <w:rPr>
          <w:rFonts w:ascii="Arial" w:cs="Arial" w:eastAsia="Arial" w:hAnsi="Arial"/>
          <w:sz w:val="12"/>
          <w:szCs w:val="12"/>
          <w:color w:val="auto"/>
        </w:rPr>
        <w:t>Includes $0.4 million of month-to-month lease costs for the nine months ended September 30, 2023. The Company did not have month-to-month lease costs for the nine and three months ended September 30, 2022 or the three months ended September 30, 2023.</w:t>
      </w:r>
    </w:p>
    <w:p>
      <w:pPr>
        <w:spacing w:after="0" w:line="126"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We often have options to renew lease terms for Showrooms and other assets. The exercise of lease renewal options is generally at our sole discretion. In addition, certain lease agreements may be terminated prior to their original expiration date at our discretion. We evaluate each renewal and termination options at the lease commencement date to determine if we are reasonably certain to exercise the option on the basis of economic factors. The table below summarizes the weighted average remaining lease terms as of September 30, 2023 and 2022, respectively.</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60" w:type="dxa"/>
            <w:vAlign w:val="bottom"/>
            <w:gridSpan w:val="2"/>
          </w:tcPr>
          <w:p>
            <w:pPr>
              <w:ind w:left="20"/>
              <w:spacing w:after="0"/>
              <w:rPr>
                <w:sz w:val="20"/>
                <w:szCs w:val="20"/>
                <w:color w:val="auto"/>
              </w:rPr>
            </w:pPr>
            <w:r>
              <w:rPr>
                <w:rFonts w:ascii="Arial" w:cs="Arial" w:eastAsia="Arial" w:hAnsi="Arial"/>
                <w:sz w:val="18"/>
                <w:szCs w:val="18"/>
                <w:b w:val="1"/>
                <w:bCs w:val="1"/>
                <w:color w:val="auto"/>
              </w:rPr>
              <w:t>Weighted Average Remaining Lease Term (In Years)</w:t>
            </w:r>
          </w:p>
        </w:tc>
        <w:tc>
          <w:tcPr>
            <w:tcW w:w="2200" w:type="dxa"/>
            <w:vAlign w:val="bottom"/>
            <w:gridSpan w:val="2"/>
          </w:tcPr>
          <w:p>
            <w:pPr>
              <w:ind w:left="300"/>
              <w:spacing w:after="0"/>
              <w:rPr>
                <w:sz w:val="20"/>
                <w:szCs w:val="20"/>
                <w:color w:val="auto"/>
              </w:rPr>
            </w:pPr>
            <w:r>
              <w:rPr>
                <w:rFonts w:ascii="Arial" w:cs="Arial" w:eastAsia="Arial" w:hAnsi="Arial"/>
                <w:sz w:val="18"/>
                <w:szCs w:val="18"/>
                <w:b w:val="1"/>
                <w:bCs w:val="1"/>
                <w:color w:val="auto"/>
              </w:rPr>
              <w:t>September 30, 2023</w:t>
            </w:r>
          </w:p>
        </w:tc>
        <w:tc>
          <w:tcPr>
            <w:tcW w:w="2120" w:type="dxa"/>
            <w:vAlign w:val="bottom"/>
          </w:tcPr>
          <w:p>
            <w:pPr>
              <w:jc w:val="right"/>
              <w:ind w:right="210"/>
              <w:spacing w:after="0"/>
              <w:rPr>
                <w:sz w:val="20"/>
                <w:szCs w:val="20"/>
                <w:color w:val="auto"/>
              </w:rPr>
            </w:pPr>
            <w:r>
              <w:rPr>
                <w:rFonts w:ascii="Arial" w:cs="Arial" w:eastAsia="Arial" w:hAnsi="Arial"/>
                <w:sz w:val="18"/>
                <w:szCs w:val="18"/>
                <w:b w:val="1"/>
                <w:bCs w:val="1"/>
                <w:color w:val="auto"/>
              </w:rPr>
              <w:t>September 30, 2022</w:t>
            </w:r>
          </w:p>
        </w:tc>
      </w:tr>
      <w:tr>
        <w:trPr>
          <w:trHeight w:val="223"/>
        </w:trPr>
        <w:tc>
          <w:tcPr>
            <w:tcW w:w="6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80" w:type="dxa"/>
            <w:vAlign w:val="bottom"/>
            <w:tcBorders>
              <w:top w:val="single" w:sz="8" w:color="CCEEFF"/>
            </w:tcBorders>
            <w:shd w:val="clear" w:color="auto" w:fill="CCEEFF"/>
          </w:tcPr>
          <w:p>
            <w:pPr>
              <w:spacing w:after="0"/>
              <w:rPr>
                <w:sz w:val="19"/>
                <w:szCs w:val="19"/>
                <w:color w:val="auto"/>
              </w:rPr>
            </w:pPr>
          </w:p>
        </w:tc>
        <w:tc>
          <w:tcPr>
            <w:tcW w:w="2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80" w:type="dxa"/>
            <w:vAlign w:val="bottom"/>
            <w:tcBorders>
              <w:top w:val="single" w:sz="8" w:color="CCEEFF"/>
            </w:tcBorders>
            <w:shd w:val="clear" w:color="auto" w:fill="CCEEFF"/>
          </w:tcPr>
          <w:p>
            <w:pPr>
              <w:spacing w:after="0"/>
              <w:rPr>
                <w:sz w:val="19"/>
                <w:szCs w:val="19"/>
                <w:color w:val="auto"/>
              </w:rPr>
            </w:pPr>
          </w:p>
        </w:tc>
        <w:tc>
          <w:tcPr>
            <w:tcW w:w="2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w:t>
            </w:r>
          </w:p>
        </w:tc>
      </w:tr>
      <w:tr>
        <w:trPr>
          <w:trHeight w:val="230"/>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Finance leases</w:t>
            </w:r>
          </w:p>
        </w:tc>
        <w:tc>
          <w:tcPr>
            <w:tcW w:w="2120" w:type="dxa"/>
            <w:vAlign w:val="bottom"/>
          </w:tcPr>
          <w:p>
            <w:pPr>
              <w:jc w:val="right"/>
              <w:spacing w:after="0"/>
              <w:rPr>
                <w:sz w:val="20"/>
                <w:szCs w:val="20"/>
                <w:color w:val="auto"/>
              </w:rPr>
            </w:pPr>
            <w:r>
              <w:rPr>
                <w:rFonts w:ascii="Arial" w:cs="Arial" w:eastAsia="Arial" w:hAnsi="Arial"/>
                <w:sz w:val="18"/>
                <w:szCs w:val="18"/>
                <w:color w:val="auto"/>
              </w:rPr>
              <w:t>21.02</w:t>
            </w:r>
          </w:p>
        </w:tc>
        <w:tc>
          <w:tcPr>
            <w:tcW w:w="80" w:type="dxa"/>
            <w:vAlign w:val="bottom"/>
          </w:tcPr>
          <w:p>
            <w:pPr>
              <w:spacing w:after="0"/>
              <w:rPr>
                <w:sz w:val="20"/>
                <w:szCs w:val="20"/>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22.66</w:t>
            </w:r>
          </w:p>
        </w:tc>
      </w:tr>
    </w:tbl>
    <w:p>
      <w:pPr>
        <w:spacing w:after="0" w:line="25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discount rate implicit within our finance leases was determined at the time of lease commencement. However, the discount rate implicit within our operating leases is generally not determinable at the time of lease commencement and therefore the Company determines the discount rate based on its incremental borrowing rate. For all operating leases in which the discount rate is not explicit, the Company utilized a market-based approach to estimate the incremental borrowing rate (“IBR”), which required significant judgment. The Company estimated the base IBR based on an analysis of (i) yields on the Company’s 2021 Credit Facility, as well as comparable companies and (ii) unsecured yields and discount rates. The Company applied adjustments to the base IBRs to account for full collateralization and lease term. The table below summarizes the weighted average discount rate used to measure our lease liabilities as of September 30, 2023 and 2022, respectively.</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40" w:type="dxa"/>
            <w:vAlign w:val="bottom"/>
          </w:tcPr>
          <w:p>
            <w:pPr>
              <w:ind w:left="20"/>
              <w:spacing w:after="0"/>
              <w:rPr>
                <w:sz w:val="20"/>
                <w:szCs w:val="20"/>
                <w:color w:val="auto"/>
              </w:rPr>
            </w:pPr>
            <w:r>
              <w:rPr>
                <w:rFonts w:ascii="Arial" w:cs="Arial" w:eastAsia="Arial" w:hAnsi="Arial"/>
                <w:sz w:val="18"/>
                <w:szCs w:val="18"/>
                <w:b w:val="1"/>
                <w:bCs w:val="1"/>
                <w:color w:val="auto"/>
              </w:rPr>
              <w:t>Weighted Average Discount Rate</w:t>
            </w: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00" w:type="dxa"/>
            <w:vAlign w:val="bottom"/>
            <w:gridSpan w:val="2"/>
          </w:tcPr>
          <w:p>
            <w:pPr>
              <w:ind w:left="340"/>
              <w:spacing w:after="0"/>
              <w:rPr>
                <w:sz w:val="20"/>
                <w:szCs w:val="20"/>
                <w:color w:val="auto"/>
              </w:rPr>
            </w:pPr>
            <w:r>
              <w:rPr>
                <w:rFonts w:ascii="Arial" w:cs="Arial" w:eastAsia="Arial" w:hAnsi="Arial"/>
                <w:sz w:val="18"/>
                <w:szCs w:val="18"/>
                <w:b w:val="1"/>
                <w:bCs w:val="1"/>
                <w:color w:val="auto"/>
              </w:rPr>
              <w:t>September 30, 2023</w:t>
            </w:r>
          </w:p>
        </w:tc>
        <w:tc>
          <w:tcPr>
            <w:tcW w:w="2780" w:type="dxa"/>
            <w:vAlign w:val="bottom"/>
            <w:gridSpan w:val="2"/>
          </w:tcPr>
          <w:p>
            <w:pPr>
              <w:ind w:left="360"/>
              <w:spacing w:after="0"/>
              <w:rPr>
                <w:sz w:val="20"/>
                <w:szCs w:val="20"/>
                <w:color w:val="auto"/>
              </w:rPr>
            </w:pPr>
            <w:r>
              <w:rPr>
                <w:rFonts w:ascii="Arial" w:cs="Arial" w:eastAsia="Arial" w:hAnsi="Arial"/>
                <w:sz w:val="18"/>
                <w:szCs w:val="18"/>
                <w:b w:val="1"/>
                <w:bCs w:val="1"/>
                <w:color w:val="auto"/>
              </w:rPr>
              <w:t>September 30, 2022</w:t>
            </w:r>
          </w:p>
        </w:tc>
      </w:tr>
      <w:tr>
        <w:trPr>
          <w:trHeight w:val="223"/>
        </w:trPr>
        <w:tc>
          <w:tcPr>
            <w:tcW w:w="4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20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5.95 %</w:t>
            </w:r>
          </w:p>
        </w:tc>
        <w:tc>
          <w:tcPr>
            <w:tcW w:w="100" w:type="dxa"/>
            <w:vAlign w:val="bottom"/>
            <w:tcBorders>
              <w:top w:val="single" w:sz="8" w:color="CCEEFF"/>
            </w:tcBorders>
            <w:shd w:val="clear" w:color="auto" w:fill="CCEEFF"/>
          </w:tcPr>
          <w:p>
            <w:pPr>
              <w:spacing w:after="0"/>
              <w:rPr>
                <w:sz w:val="19"/>
                <w:szCs w:val="19"/>
                <w:color w:val="auto"/>
              </w:rPr>
            </w:pPr>
          </w:p>
        </w:tc>
        <w:tc>
          <w:tcPr>
            <w:tcW w:w="2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4.39 %</w:t>
            </w:r>
          </w:p>
        </w:tc>
        <w:tc>
          <w:tcPr>
            <w:tcW w:w="560" w:type="dxa"/>
            <w:vAlign w:val="bottom"/>
          </w:tcPr>
          <w:p>
            <w:pPr>
              <w:spacing w:after="0"/>
              <w:rPr>
                <w:sz w:val="19"/>
                <w:szCs w:val="19"/>
                <w:color w:val="auto"/>
              </w:rPr>
            </w:pP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Finance leases</w:t>
            </w:r>
          </w:p>
        </w:tc>
        <w:tc>
          <w:tcPr>
            <w:tcW w:w="4320" w:type="dxa"/>
            <w:vAlign w:val="bottom"/>
            <w:gridSpan w:val="3"/>
          </w:tcPr>
          <w:p>
            <w:pPr>
              <w:jc w:val="right"/>
              <w:spacing w:after="0"/>
              <w:rPr>
                <w:sz w:val="20"/>
                <w:szCs w:val="20"/>
                <w:color w:val="auto"/>
              </w:rPr>
            </w:pPr>
            <w:r>
              <w:rPr>
                <w:rFonts w:ascii="Arial" w:cs="Arial" w:eastAsia="Arial" w:hAnsi="Arial"/>
                <w:sz w:val="18"/>
                <w:szCs w:val="18"/>
                <w:color w:val="auto"/>
              </w:rPr>
              <w:t>9.63 %</w:t>
            </w:r>
          </w:p>
        </w:tc>
        <w:tc>
          <w:tcPr>
            <w:tcW w:w="100" w:type="dxa"/>
            <w:vAlign w:val="bottom"/>
          </w:tcPr>
          <w:p>
            <w:pPr>
              <w:spacing w:after="0"/>
              <w:rPr>
                <w:sz w:val="20"/>
                <w:szCs w:val="20"/>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9.72 %</w:t>
            </w:r>
          </w:p>
        </w:tc>
        <w:tc>
          <w:tcPr>
            <w:tcW w:w="560" w:type="dxa"/>
            <w:vAlign w:val="bottom"/>
          </w:tcPr>
          <w:p>
            <w:pPr>
              <w:spacing w:after="0"/>
              <w:rPr>
                <w:sz w:val="20"/>
                <w:szCs w:val="20"/>
                <w:color w:val="auto"/>
              </w:rPr>
            </w:pPr>
          </w:p>
        </w:tc>
      </w:tr>
      <w:tr>
        <w:trPr>
          <w:trHeight w:val="890"/>
        </w:trPr>
        <w:tc>
          <w:tcPr>
            <w:tcW w:w="4040" w:type="dxa"/>
            <w:vAlign w:val="bottom"/>
          </w:tcPr>
          <w:p>
            <w:pPr>
              <w:spacing w:after="0"/>
              <w:rPr>
                <w:sz w:val="24"/>
                <w:szCs w:val="24"/>
                <w:color w:val="auto"/>
              </w:rPr>
            </w:pPr>
          </w:p>
        </w:tc>
        <w:tc>
          <w:tcPr>
            <w:tcW w:w="2020" w:type="dxa"/>
            <w:vAlign w:val="bottom"/>
          </w:tcPr>
          <w:p>
            <w:pPr>
              <w:jc w:val="right"/>
              <w:ind w:right="25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404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Arhaus,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Future lease liabilities at September 30, 2023 are as follows (amounts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Operating Lease</w:t>
            </w:r>
          </w:p>
        </w:tc>
        <w:tc>
          <w:tcPr>
            <w:tcW w:w="7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38"/>
        </w:trPr>
        <w:tc>
          <w:tcPr>
            <w:tcW w:w="3700" w:type="dxa"/>
            <w:vAlign w:val="bottom"/>
          </w:tcPr>
          <w:p>
            <w:pPr>
              <w:ind w:left="20"/>
              <w:spacing w:after="0"/>
              <w:rPr>
                <w:sz w:val="20"/>
                <w:szCs w:val="20"/>
                <w:color w:val="auto"/>
              </w:rPr>
            </w:pPr>
            <w:r>
              <w:rPr>
                <w:rFonts w:ascii="Arial" w:cs="Arial" w:eastAsia="Arial" w:hAnsi="Arial"/>
                <w:sz w:val="18"/>
                <w:szCs w:val="18"/>
                <w:b w:val="1"/>
                <w:bCs w:val="1"/>
                <w:color w:val="auto"/>
              </w:rPr>
              <w:t>Year Ending December 31,</w:t>
            </w:r>
          </w:p>
        </w:tc>
        <w:tc>
          <w:tcPr>
            <w:tcW w:w="200" w:type="dxa"/>
            <w:vAlign w:val="bottom"/>
          </w:tcPr>
          <w:p>
            <w:pPr>
              <w:spacing w:after="0"/>
              <w:rPr>
                <w:sz w:val="20"/>
                <w:szCs w:val="20"/>
                <w:color w:val="auto"/>
              </w:rPr>
            </w:pPr>
          </w:p>
        </w:tc>
        <w:tc>
          <w:tcPr>
            <w:tcW w:w="1720" w:type="dxa"/>
            <w:vAlign w:val="bottom"/>
            <w:gridSpan w:val="2"/>
          </w:tcPr>
          <w:p>
            <w:pPr>
              <w:jc w:val="center"/>
              <w:ind w:right="300"/>
              <w:spacing w:after="0" w:line="237" w:lineRule="exact"/>
              <w:rPr>
                <w:sz w:val="20"/>
                <w:szCs w:val="20"/>
                <w:color w:val="auto"/>
              </w:rPr>
            </w:pPr>
            <w:r>
              <w:rPr>
                <w:rFonts w:ascii="Arial" w:cs="Arial" w:eastAsia="Arial" w:hAnsi="Arial"/>
                <w:sz w:val="18"/>
                <w:szCs w:val="18"/>
                <w:b w:val="1"/>
                <w:bCs w:val="1"/>
                <w:color w:val="auto"/>
                <w:w w:val="87"/>
              </w:rPr>
              <w:t xml:space="preserve">Liabilities </w:t>
            </w:r>
            <w:r>
              <w:rPr>
                <w:rFonts w:ascii="Arial" w:cs="Arial" w:eastAsia="Arial" w:hAnsi="Arial"/>
                <w:sz w:val="23"/>
                <w:szCs w:val="23"/>
                <w:b w:val="1"/>
                <w:bCs w:val="1"/>
                <w:color w:val="auto"/>
                <w:w w:val="87"/>
                <w:vertAlign w:val="superscript"/>
              </w:rPr>
              <w:t>(1)</w:t>
            </w:r>
          </w:p>
        </w:tc>
        <w:tc>
          <w:tcPr>
            <w:tcW w:w="2180" w:type="dxa"/>
            <w:vAlign w:val="bottom"/>
            <w:gridSpan w:val="3"/>
          </w:tcPr>
          <w:p>
            <w:pPr>
              <w:ind w:left="80"/>
              <w:spacing w:after="0"/>
              <w:rPr>
                <w:sz w:val="20"/>
                <w:szCs w:val="20"/>
                <w:color w:val="auto"/>
              </w:rPr>
            </w:pPr>
            <w:r>
              <w:rPr>
                <w:rFonts w:ascii="Arial" w:cs="Arial" w:eastAsia="Arial" w:hAnsi="Arial"/>
                <w:sz w:val="18"/>
                <w:szCs w:val="18"/>
                <w:b w:val="1"/>
                <w:bCs w:val="1"/>
                <w:color w:val="auto"/>
                <w:w w:val="98"/>
              </w:rPr>
              <w:t>Finance Lease Liabilities</w:t>
            </w:r>
          </w:p>
        </w:tc>
        <w:tc>
          <w:tcPr>
            <w:tcW w:w="184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Total Lease Liabilities</w:t>
            </w:r>
          </w:p>
        </w:tc>
      </w:tr>
      <w:tr>
        <w:trPr>
          <w:trHeight w:val="223"/>
        </w:trPr>
        <w:tc>
          <w:tcPr>
            <w:tcW w:w="3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Remainder of 2023</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15,087</w:t>
            </w:r>
          </w:p>
        </w:tc>
        <w:tc>
          <w:tcPr>
            <w:tcW w:w="10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1,533</w:t>
            </w:r>
          </w:p>
        </w:tc>
        <w:tc>
          <w:tcPr>
            <w:tcW w:w="1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16,620</w:t>
            </w:r>
          </w:p>
        </w:tc>
      </w:tr>
      <w:tr>
        <w:trPr>
          <w:trHeight w:val="229"/>
        </w:trPr>
        <w:tc>
          <w:tcPr>
            <w:tcW w:w="3700" w:type="dxa"/>
            <w:vAlign w:val="bottom"/>
          </w:tcPr>
          <w:p>
            <w:pPr>
              <w:ind w:left="20"/>
              <w:spacing w:after="0"/>
              <w:rPr>
                <w:sz w:val="20"/>
                <w:szCs w:val="20"/>
                <w:color w:val="auto"/>
              </w:rPr>
            </w:pPr>
            <w:r>
              <w:rPr>
                <w:rFonts w:ascii="Arial" w:cs="Arial" w:eastAsia="Arial" w:hAnsi="Arial"/>
                <w:sz w:val="18"/>
                <w:szCs w:val="18"/>
                <w:color w:val="auto"/>
              </w:rPr>
              <w:t>2024</w:t>
            </w: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65,235</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5,789</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71,024</w:t>
            </w:r>
          </w:p>
        </w:tc>
      </w:tr>
      <w:tr>
        <w:trPr>
          <w:trHeight w:val="230"/>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61,351</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5,789</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67,140</w:t>
            </w:r>
          </w:p>
        </w:tc>
      </w:tr>
      <w:tr>
        <w:trPr>
          <w:trHeight w:val="229"/>
        </w:trPr>
        <w:tc>
          <w:tcPr>
            <w:tcW w:w="3700" w:type="dxa"/>
            <w:vAlign w:val="bottom"/>
          </w:tcPr>
          <w:p>
            <w:pPr>
              <w:ind w:left="20"/>
              <w:spacing w:after="0"/>
              <w:rPr>
                <w:sz w:val="20"/>
                <w:szCs w:val="20"/>
                <w:color w:val="auto"/>
              </w:rPr>
            </w:pPr>
            <w:r>
              <w:rPr>
                <w:rFonts w:ascii="Arial" w:cs="Arial" w:eastAsia="Arial" w:hAnsi="Arial"/>
                <w:sz w:val="18"/>
                <w:szCs w:val="18"/>
                <w:color w:val="auto"/>
              </w:rPr>
              <w:t>2026</w:t>
            </w: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57,135</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6,249</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63,384</w:t>
            </w:r>
          </w:p>
        </w:tc>
      </w:tr>
      <w:tr>
        <w:trPr>
          <w:trHeight w:val="229"/>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53,341</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6,060</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59,401</w:t>
            </w:r>
          </w:p>
        </w:tc>
      </w:tr>
      <w:tr>
        <w:trPr>
          <w:trHeight w:val="230"/>
        </w:trPr>
        <w:tc>
          <w:tcPr>
            <w:tcW w:w="3700" w:type="dxa"/>
            <w:vAlign w:val="bottom"/>
          </w:tcPr>
          <w:p>
            <w:pPr>
              <w:ind w:left="20"/>
              <w:spacing w:after="0"/>
              <w:rPr>
                <w:sz w:val="20"/>
                <w:szCs w:val="20"/>
                <w:color w:val="auto"/>
              </w:rPr>
            </w:pPr>
            <w:r>
              <w:rPr>
                <w:rFonts w:ascii="Arial" w:cs="Arial" w:eastAsia="Arial" w:hAnsi="Arial"/>
                <w:sz w:val="18"/>
                <w:szCs w:val="18"/>
                <w:color w:val="auto"/>
              </w:rPr>
              <w:t>2028</w:t>
            </w: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48,173</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5,610</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53,783</w:t>
            </w:r>
          </w:p>
        </w:tc>
      </w:tr>
      <w:tr>
        <w:trPr>
          <w:trHeight w:val="229"/>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237,142</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109,943</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347,085</w:t>
            </w:r>
          </w:p>
        </w:tc>
      </w:tr>
      <w:tr>
        <w:trPr>
          <w:trHeight w:val="223"/>
        </w:trPr>
        <w:tc>
          <w:tcPr>
            <w:tcW w:w="3700" w:type="dxa"/>
            <w:vAlign w:val="bottom"/>
          </w:tcPr>
          <w:p>
            <w:pPr>
              <w:ind w:left="20"/>
              <w:spacing w:after="0"/>
              <w:rPr>
                <w:sz w:val="20"/>
                <w:szCs w:val="20"/>
                <w:color w:val="auto"/>
              </w:rPr>
            </w:pPr>
            <w:r>
              <w:rPr>
                <w:rFonts w:ascii="Arial" w:cs="Arial" w:eastAsia="Arial" w:hAnsi="Arial"/>
                <w:sz w:val="18"/>
                <w:szCs w:val="18"/>
                <w:color w:val="auto"/>
              </w:rPr>
              <w:t>Total lease payments</w:t>
            </w: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537,464</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140,973</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678,437</w:t>
            </w:r>
          </w:p>
        </w:tc>
      </w:tr>
      <w:tr>
        <w:trPr>
          <w:trHeight w:val="229"/>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Amounts representing interest</w:t>
            </w:r>
          </w:p>
        </w:tc>
        <w:tc>
          <w:tcPr>
            <w:tcW w:w="2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(134,284)</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(86,038)</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(220,322)</w:t>
            </w:r>
          </w:p>
        </w:tc>
      </w:tr>
      <w:tr>
        <w:trPr>
          <w:trHeight w:val="223"/>
        </w:trPr>
        <w:tc>
          <w:tcPr>
            <w:tcW w:w="3700" w:type="dxa"/>
            <w:vAlign w:val="bottom"/>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403,180</w:t>
            </w:r>
          </w:p>
        </w:tc>
        <w:tc>
          <w:tcPr>
            <w:tcW w:w="100" w:type="dxa"/>
            <w:vAlign w:val="bottom"/>
          </w:tcPr>
          <w:p>
            <w:pPr>
              <w:spacing w:after="0"/>
              <w:rPr>
                <w:sz w:val="19"/>
                <w:szCs w:val="19"/>
                <w:color w:val="auto"/>
              </w:rPr>
            </w:pPr>
          </w:p>
        </w:tc>
        <w:tc>
          <w:tcPr>
            <w:tcW w:w="7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54,935</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458,115</w:t>
            </w:r>
          </w:p>
        </w:tc>
      </w:tr>
      <w:tr>
        <w:trPr>
          <w:trHeight w:val="20"/>
        </w:trPr>
        <w:tc>
          <w:tcPr>
            <w:tcW w:w="3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1"/>
        </w:trPr>
        <w:tc>
          <w:tcPr>
            <w:tcW w:w="3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89" w:lineRule="exact"/>
        <w:rPr>
          <w:sz w:val="20"/>
          <w:szCs w:val="20"/>
          <w:color w:val="auto"/>
        </w:rPr>
      </w:pPr>
    </w:p>
    <w:p>
      <w:pPr>
        <w:ind w:left="160" w:hanging="152"/>
        <w:spacing w:after="0"/>
        <w:tabs>
          <w:tab w:leader="none" w:pos="160" w:val="left"/>
        </w:tabs>
        <w:numPr>
          <w:ilvl w:val="0"/>
          <w:numId w:val="6"/>
        </w:numPr>
        <w:rPr>
          <w:rFonts w:ascii="Arial" w:cs="Arial" w:eastAsia="Arial" w:hAnsi="Arial"/>
          <w:sz w:val="9"/>
          <w:szCs w:val="9"/>
          <w:color w:val="auto"/>
        </w:rPr>
      </w:pPr>
      <w:r>
        <w:rPr>
          <w:rFonts w:ascii="Arial" w:cs="Arial" w:eastAsia="Arial" w:hAnsi="Arial"/>
          <w:sz w:val="14"/>
          <w:szCs w:val="14"/>
          <w:color w:val="auto"/>
        </w:rPr>
        <w:t xml:space="preserve">Includes leases with related parties. See Note 10 — </w:t>
      </w:r>
      <w:r>
        <w:rPr>
          <w:rFonts w:ascii="Arial" w:cs="Arial" w:eastAsia="Arial" w:hAnsi="Arial"/>
          <w:sz w:val="14"/>
          <w:szCs w:val="14"/>
          <w:i w:val="1"/>
          <w:iCs w:val="1"/>
          <w:color w:val="auto"/>
        </w:rPr>
        <w:t>Related Party Transactions</w:t>
      </w:r>
      <w:r>
        <w:rPr>
          <w:rFonts w:ascii="Arial" w:cs="Arial" w:eastAsia="Arial" w:hAnsi="Arial"/>
          <w:sz w:val="14"/>
          <w:szCs w:val="14"/>
          <w:color w:val="auto"/>
        </w:rPr>
        <w:t xml:space="preserve"> for amounts leased from related parties.</w:t>
      </w:r>
    </w:p>
    <w:p>
      <w:pPr>
        <w:spacing w:after="0" w:line="194"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At September 30, 2023, the Company has entered into leases for Showrooms and equipment which have not yet commenced with expected lease terms ranging from 3 to 17 years. The aggregate minimum rental payments over the term of the leases of approximately $148.3 million are not included in the above table.</w:t>
      </w:r>
    </w:p>
    <w:p>
      <w:pPr>
        <w:spacing w:after="0" w:line="15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Supplemental cash flow information related to leases for the nine months ended September 30, 2023 and 2022, respectively is as follows (amounts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p>
        </w:tc>
        <w:tc>
          <w:tcPr>
            <w:tcW w:w="356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rPr>
              <w:t>Nine months ended September 30,</w:t>
            </w:r>
          </w:p>
        </w:tc>
        <w:tc>
          <w:tcPr>
            <w:tcW w:w="700" w:type="dxa"/>
            <w:vAlign w:val="bottom"/>
            <w:tcBorders>
              <w:bottom w:val="single" w:sz="8" w:color="auto"/>
            </w:tcBorders>
          </w:tcPr>
          <w:p>
            <w:pPr>
              <w:spacing w:after="0"/>
              <w:rPr>
                <w:sz w:val="20"/>
                <w:szCs w:val="20"/>
                <w:color w:val="auto"/>
              </w:rPr>
            </w:pPr>
          </w:p>
        </w:tc>
      </w:tr>
      <w:tr>
        <w:trPr>
          <w:trHeight w:val="223"/>
        </w:trPr>
        <w:tc>
          <w:tcPr>
            <w:tcW w:w="698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2023</w:t>
            </w:r>
          </w:p>
        </w:tc>
        <w:tc>
          <w:tcPr>
            <w:tcW w:w="7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2022</w:t>
            </w:r>
          </w:p>
        </w:tc>
        <w:tc>
          <w:tcPr>
            <w:tcW w:w="700" w:type="dxa"/>
            <w:vAlign w:val="bottom"/>
            <w:tcBorders>
              <w:bottom w:val="single" w:sz="8" w:color="auto"/>
            </w:tcBorders>
          </w:tcPr>
          <w:p>
            <w:pPr>
              <w:spacing w:after="0"/>
              <w:rPr>
                <w:sz w:val="19"/>
                <w:szCs w:val="19"/>
                <w:color w:val="auto"/>
              </w:rPr>
            </w:pPr>
          </w:p>
        </w:tc>
      </w:tr>
      <w:tr>
        <w:trPr>
          <w:trHeight w:val="210"/>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paid for amounts included in the measurement of lease liabilities:</w:t>
            </w:r>
          </w:p>
        </w:tc>
        <w:tc>
          <w:tcPr>
            <w:tcW w:w="1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29"/>
        </w:trPr>
        <w:tc>
          <w:tcPr>
            <w:tcW w:w="6980" w:type="dxa"/>
            <w:vAlign w:val="bottom"/>
          </w:tcPr>
          <w:p>
            <w:pPr>
              <w:ind w:left="20"/>
              <w:spacing w:after="0"/>
              <w:rPr>
                <w:sz w:val="20"/>
                <w:szCs w:val="20"/>
                <w:color w:val="auto"/>
              </w:rPr>
            </w:pPr>
            <w:r>
              <w:rPr>
                <w:rFonts w:ascii="Arial" w:cs="Arial" w:eastAsia="Arial" w:hAnsi="Arial"/>
                <w:sz w:val="18"/>
                <w:szCs w:val="18"/>
                <w:color w:val="auto"/>
              </w:rPr>
              <w:t>Operating cash flows for operating leases</w:t>
            </w:r>
          </w:p>
        </w:tc>
        <w:tc>
          <w:tcPr>
            <w:tcW w:w="1400" w:type="dxa"/>
            <w:vAlign w:val="bottom"/>
          </w:tcPr>
          <w:p>
            <w:pPr>
              <w:jc w:val="right"/>
              <w:ind w:right="11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41,759</w:t>
            </w:r>
          </w:p>
        </w:tc>
        <w:tc>
          <w:tcPr>
            <w:tcW w:w="80" w:type="dxa"/>
            <w:vAlign w:val="bottom"/>
          </w:tcPr>
          <w:p>
            <w:pPr>
              <w:spacing w:after="0"/>
              <w:rPr>
                <w:sz w:val="19"/>
                <w:szCs w:val="19"/>
                <w:color w:val="auto"/>
              </w:rPr>
            </w:pPr>
          </w:p>
        </w:tc>
        <w:tc>
          <w:tcPr>
            <w:tcW w:w="1360" w:type="dxa"/>
            <w:vAlign w:val="bottom"/>
          </w:tcPr>
          <w:p>
            <w:pPr>
              <w:jc w:val="right"/>
              <w:ind w:right="115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35,587</w:t>
            </w:r>
          </w:p>
        </w:tc>
      </w:tr>
      <w:tr>
        <w:trPr>
          <w:trHeight w:val="230"/>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cash flows for finance leases</w:t>
            </w:r>
          </w:p>
        </w:tc>
        <w:tc>
          <w:tcPr>
            <w:tcW w:w="1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3,642</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3,758</w:t>
            </w:r>
          </w:p>
        </w:tc>
      </w:tr>
      <w:tr>
        <w:trPr>
          <w:trHeight w:val="230"/>
        </w:trPr>
        <w:tc>
          <w:tcPr>
            <w:tcW w:w="6980" w:type="dxa"/>
            <w:vAlign w:val="bottom"/>
          </w:tcPr>
          <w:p>
            <w:pPr>
              <w:ind w:left="20"/>
              <w:spacing w:after="0"/>
              <w:rPr>
                <w:sz w:val="20"/>
                <w:szCs w:val="20"/>
                <w:color w:val="auto"/>
              </w:rPr>
            </w:pPr>
            <w:r>
              <w:rPr>
                <w:rFonts w:ascii="Arial" w:cs="Arial" w:eastAsia="Arial" w:hAnsi="Arial"/>
                <w:sz w:val="18"/>
                <w:szCs w:val="18"/>
                <w:color w:val="auto"/>
              </w:rPr>
              <w:t>Financing cash flows for finance leases</w:t>
            </w:r>
          </w:p>
        </w:tc>
        <w:tc>
          <w:tcPr>
            <w:tcW w:w="1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503</w:t>
            </w:r>
          </w:p>
        </w:tc>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30"/>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Right-of-use assets obtained in exchange for lease obligations:</w:t>
            </w:r>
          </w:p>
        </w:tc>
        <w:tc>
          <w:tcPr>
            <w:tcW w:w="14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29"/>
        </w:trPr>
        <w:tc>
          <w:tcPr>
            <w:tcW w:w="6980" w:type="dxa"/>
            <w:vAlign w:val="bottom"/>
          </w:tcPr>
          <w:p>
            <w:pPr>
              <w:ind w:left="20"/>
              <w:spacing w:after="0"/>
              <w:rPr>
                <w:sz w:val="20"/>
                <w:szCs w:val="20"/>
                <w:color w:val="auto"/>
              </w:rPr>
            </w:pPr>
            <w:r>
              <w:rPr>
                <w:rFonts w:ascii="Arial" w:cs="Arial" w:eastAsia="Arial" w:hAnsi="Arial"/>
                <w:sz w:val="18"/>
                <w:szCs w:val="18"/>
                <w:color w:val="auto"/>
              </w:rPr>
              <w:t>Operating leases</w:t>
            </w:r>
          </w:p>
        </w:tc>
        <w:tc>
          <w:tcPr>
            <w:tcW w:w="1400" w:type="dxa"/>
            <w:vAlign w:val="bottom"/>
          </w:tcPr>
          <w:p>
            <w:pPr>
              <w:jc w:val="right"/>
              <w:ind w:right="11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86,459</w:t>
            </w:r>
          </w:p>
        </w:tc>
        <w:tc>
          <w:tcPr>
            <w:tcW w:w="80" w:type="dxa"/>
            <w:vAlign w:val="bottom"/>
          </w:tcPr>
          <w:p>
            <w:pPr>
              <w:spacing w:after="0"/>
              <w:rPr>
                <w:sz w:val="19"/>
                <w:szCs w:val="19"/>
                <w:color w:val="auto"/>
              </w:rPr>
            </w:pPr>
          </w:p>
        </w:tc>
        <w:tc>
          <w:tcPr>
            <w:tcW w:w="1360" w:type="dxa"/>
            <w:vAlign w:val="bottom"/>
          </w:tcPr>
          <w:p>
            <w:pPr>
              <w:jc w:val="right"/>
              <w:ind w:right="115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43,474</w:t>
            </w:r>
          </w:p>
        </w:tc>
      </w:tr>
      <w:tr>
        <w:trPr>
          <w:trHeight w:val="230"/>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leases</w:t>
            </w:r>
          </w:p>
        </w:tc>
        <w:tc>
          <w:tcPr>
            <w:tcW w:w="1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2,813</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w:t>
            </w: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Equity Based Compensation</w:t>
      </w:r>
    </w:p>
    <w:p>
      <w:pPr>
        <w:spacing w:after="0" w:line="189"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color w:val="auto"/>
        </w:rPr>
        <w:t>The following tables summarize the activity of the Company’s Restricted Stock for the nine months ended September 30, 2023 and the equity based compensation expense for the nine and three months ended September 30, 2023 and 2022, respectively (dollars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p>
        </w:tc>
        <w:tc>
          <w:tcPr>
            <w:tcW w:w="4100" w:type="dxa"/>
            <w:vAlign w:val="bottom"/>
            <w:tcBorders>
              <w:bottom w:val="single" w:sz="8" w:color="auto"/>
            </w:tcBorders>
            <w:gridSpan w:val="3"/>
          </w:tcPr>
          <w:p>
            <w:pPr>
              <w:ind w:left="1360"/>
              <w:spacing w:after="0"/>
              <w:rPr>
                <w:sz w:val="20"/>
                <w:szCs w:val="20"/>
                <w:color w:val="auto"/>
              </w:rPr>
            </w:pPr>
            <w:r>
              <w:rPr>
                <w:rFonts w:ascii="Arial" w:cs="Arial" w:eastAsia="Arial" w:hAnsi="Arial"/>
                <w:sz w:val="18"/>
                <w:szCs w:val="18"/>
                <w:b w:val="1"/>
                <w:bCs w:val="1"/>
                <w:color w:val="auto"/>
              </w:rPr>
              <w:t>Restricted Stock - Class A</w:t>
            </w:r>
          </w:p>
        </w:tc>
        <w:tc>
          <w:tcPr>
            <w:tcW w:w="640" w:type="dxa"/>
            <w:vAlign w:val="bottom"/>
            <w:tcBorders>
              <w:bottom w:val="single" w:sz="8" w:color="auto"/>
            </w:tcBorders>
          </w:tcPr>
          <w:p>
            <w:pPr>
              <w:spacing w:after="0"/>
              <w:rPr>
                <w:sz w:val="20"/>
                <w:szCs w:val="20"/>
                <w:color w:val="auto"/>
              </w:rPr>
            </w:pPr>
          </w:p>
        </w:tc>
        <w:tc>
          <w:tcPr>
            <w:tcW w:w="2300" w:type="dxa"/>
            <w:vAlign w:val="bottom"/>
          </w:tcPr>
          <w:p>
            <w:pPr>
              <w:spacing w:after="0"/>
              <w:rPr>
                <w:sz w:val="20"/>
                <w:szCs w:val="20"/>
                <w:color w:val="auto"/>
              </w:rPr>
            </w:pPr>
          </w:p>
        </w:tc>
      </w:tr>
      <w:tr>
        <w:trPr>
          <w:trHeight w:val="169"/>
        </w:trPr>
        <w:tc>
          <w:tcPr>
            <w:tcW w:w="42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2"/>
          </w:tcPr>
          <w:p>
            <w:pPr>
              <w:ind w:left="20"/>
              <w:spacing w:after="0" w:line="169" w:lineRule="exact"/>
              <w:rPr>
                <w:sz w:val="20"/>
                <w:szCs w:val="20"/>
                <w:color w:val="auto"/>
              </w:rPr>
            </w:pPr>
            <w:r>
              <w:rPr>
                <w:rFonts w:ascii="Arial" w:cs="Arial" w:eastAsia="Arial" w:hAnsi="Arial"/>
                <w:sz w:val="18"/>
                <w:szCs w:val="18"/>
                <w:b w:val="1"/>
                <w:bCs w:val="1"/>
                <w:color w:val="auto"/>
                <w:w w:val="92"/>
              </w:rPr>
              <w:t>Weighted Average Grant Date</w:t>
            </w:r>
          </w:p>
        </w:tc>
        <w:tc>
          <w:tcPr>
            <w:tcW w:w="2300" w:type="dxa"/>
            <w:vAlign w:val="bottom"/>
          </w:tcPr>
          <w:p>
            <w:pPr>
              <w:spacing w:after="0"/>
              <w:rPr>
                <w:sz w:val="14"/>
                <w:szCs w:val="14"/>
                <w:color w:val="auto"/>
              </w:rPr>
            </w:pPr>
          </w:p>
        </w:tc>
      </w:tr>
      <w:tr>
        <w:trPr>
          <w:trHeight w:val="243"/>
        </w:trPr>
        <w:tc>
          <w:tcPr>
            <w:tcW w:w="4200" w:type="dxa"/>
            <w:vAlign w:val="bottom"/>
          </w:tcPr>
          <w:p>
            <w:pPr>
              <w:spacing w:after="0"/>
              <w:rPr>
                <w:sz w:val="21"/>
                <w:szCs w:val="21"/>
                <w:color w:val="auto"/>
              </w:rPr>
            </w:pPr>
          </w:p>
        </w:tc>
        <w:tc>
          <w:tcPr>
            <w:tcW w:w="2360" w:type="dxa"/>
            <w:vAlign w:val="bottom"/>
            <w:gridSpan w:val="2"/>
          </w:tcPr>
          <w:p>
            <w:pPr>
              <w:ind w:left="820"/>
              <w:spacing w:after="0"/>
              <w:rPr>
                <w:sz w:val="20"/>
                <w:szCs w:val="20"/>
                <w:color w:val="auto"/>
              </w:rPr>
            </w:pPr>
            <w:r>
              <w:rPr>
                <w:rFonts w:ascii="Arial" w:cs="Arial" w:eastAsia="Arial" w:hAnsi="Arial"/>
                <w:sz w:val="18"/>
                <w:szCs w:val="18"/>
                <w:b w:val="1"/>
                <w:bCs w:val="1"/>
                <w:color w:val="auto"/>
              </w:rPr>
              <w:t>Amount</w:t>
            </w:r>
          </w:p>
        </w:tc>
        <w:tc>
          <w:tcPr>
            <w:tcW w:w="1740" w:type="dxa"/>
            <w:vAlign w:val="bottom"/>
          </w:tcPr>
          <w:p>
            <w:pPr>
              <w:ind w:left="780"/>
              <w:spacing w:after="0"/>
              <w:rPr>
                <w:sz w:val="20"/>
                <w:szCs w:val="20"/>
                <w:color w:val="auto"/>
              </w:rPr>
            </w:pPr>
            <w:r>
              <w:rPr>
                <w:rFonts w:ascii="Arial" w:cs="Arial" w:eastAsia="Arial" w:hAnsi="Arial"/>
                <w:sz w:val="18"/>
                <w:szCs w:val="18"/>
                <w:b w:val="1"/>
                <w:bCs w:val="1"/>
                <w:color w:val="auto"/>
              </w:rPr>
              <w:t>Fair Value</w:t>
            </w:r>
          </w:p>
        </w:tc>
        <w:tc>
          <w:tcPr>
            <w:tcW w:w="640" w:type="dxa"/>
            <w:vAlign w:val="bottom"/>
          </w:tcPr>
          <w:p>
            <w:pPr>
              <w:spacing w:after="0"/>
              <w:rPr>
                <w:sz w:val="21"/>
                <w:szCs w:val="21"/>
                <w:color w:val="auto"/>
              </w:rPr>
            </w:pPr>
          </w:p>
        </w:tc>
        <w:tc>
          <w:tcPr>
            <w:tcW w:w="2300" w:type="dxa"/>
            <w:vAlign w:val="bottom"/>
          </w:tcPr>
          <w:p>
            <w:pPr>
              <w:spacing w:after="0"/>
              <w:rPr>
                <w:sz w:val="21"/>
                <w:szCs w:val="21"/>
                <w:color w:val="auto"/>
              </w:rPr>
            </w:pPr>
          </w:p>
        </w:tc>
      </w:tr>
      <w:tr>
        <w:trPr>
          <w:trHeight w:val="223"/>
        </w:trPr>
        <w:tc>
          <w:tcPr>
            <w:tcW w:w="4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December 31, 2022</w:t>
            </w:r>
          </w:p>
        </w:tc>
        <w:tc>
          <w:tcPr>
            <w:tcW w:w="2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1,510,269</w:t>
            </w:r>
          </w:p>
        </w:tc>
        <w:tc>
          <w:tcPr>
            <w:tcW w:w="10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2300" w:type="dxa"/>
            <w:vAlign w:val="bottom"/>
          </w:tcPr>
          <w:p>
            <w:pPr>
              <w:spacing w:after="0"/>
              <w:rPr>
                <w:sz w:val="19"/>
                <w:szCs w:val="19"/>
                <w:color w:val="auto"/>
              </w:rPr>
            </w:pP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Granted</w:t>
            </w:r>
          </w:p>
        </w:tc>
        <w:tc>
          <w:tcPr>
            <w:tcW w:w="2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300" w:type="dxa"/>
            <w:vAlign w:val="bottom"/>
          </w:tcPr>
          <w:p>
            <w:pPr>
              <w:spacing w:after="0"/>
              <w:rPr>
                <w:sz w:val="19"/>
                <w:szCs w:val="19"/>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2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300" w:type="dxa"/>
            <w:vAlign w:val="bottom"/>
          </w:tcPr>
          <w:p>
            <w:pPr>
              <w:spacing w:after="0"/>
              <w:rPr>
                <w:sz w:val="19"/>
                <w:szCs w:val="19"/>
                <w:color w:val="auto"/>
              </w:rPr>
            </w:pPr>
          </w:p>
        </w:tc>
      </w:tr>
      <w:tr>
        <w:trPr>
          <w:trHeight w:val="229"/>
        </w:trPr>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Vested</w:t>
            </w: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(1,009,965)</w:t>
            </w:r>
          </w:p>
        </w:tc>
        <w:tc>
          <w:tcPr>
            <w:tcW w:w="100" w:type="dxa"/>
            <w:vAlign w:val="bottom"/>
            <w:tcBorders>
              <w:bottom w:val="single" w:sz="8" w:color="CCEEFF"/>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w:t>
            </w:r>
          </w:p>
        </w:tc>
        <w:tc>
          <w:tcPr>
            <w:tcW w:w="2300" w:type="dxa"/>
            <w:vAlign w:val="bottom"/>
          </w:tcPr>
          <w:p>
            <w:pPr>
              <w:spacing w:after="0"/>
              <w:rPr>
                <w:sz w:val="19"/>
                <w:szCs w:val="19"/>
                <w:color w:val="auto"/>
              </w:rPr>
            </w:pPr>
          </w:p>
        </w:tc>
      </w:tr>
      <w:tr>
        <w:trPr>
          <w:trHeight w:val="248"/>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September 30, 2023</w:t>
            </w:r>
          </w:p>
        </w:tc>
        <w:tc>
          <w:tcPr>
            <w:tcW w:w="2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500,304</w:t>
            </w:r>
          </w:p>
        </w:tc>
        <w:tc>
          <w:tcPr>
            <w:tcW w:w="1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15.47</w:t>
            </w:r>
          </w:p>
        </w:tc>
        <w:tc>
          <w:tcPr>
            <w:tcW w:w="2300" w:type="dxa"/>
            <w:vAlign w:val="bottom"/>
          </w:tcPr>
          <w:p>
            <w:pPr>
              <w:spacing w:after="0"/>
              <w:rPr>
                <w:sz w:val="21"/>
                <w:szCs w:val="2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865"/>
        </w:trPr>
        <w:tc>
          <w:tcPr>
            <w:tcW w:w="4200" w:type="dxa"/>
            <w:vAlign w:val="bottom"/>
          </w:tcPr>
          <w:p>
            <w:pPr>
              <w:spacing w:after="0"/>
              <w:rPr>
                <w:sz w:val="24"/>
                <w:szCs w:val="24"/>
                <w:color w:val="auto"/>
              </w:rPr>
            </w:pPr>
          </w:p>
        </w:tc>
        <w:tc>
          <w:tcPr>
            <w:tcW w:w="2260" w:type="dxa"/>
            <w:vAlign w:val="bottom"/>
          </w:tcPr>
          <w:p>
            <w:pPr>
              <w:jc w:val="right"/>
              <w:ind w:right="65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115"/>
        </w:trPr>
        <w:tc>
          <w:tcPr>
            <w:tcW w:w="4200" w:type="dxa"/>
            <w:vAlign w:val="bottom"/>
            <w:tcBorders>
              <w:bottom w:val="single" w:sz="8" w:color="9A9A9A"/>
            </w:tcBorders>
          </w:tcPr>
          <w:p>
            <w:pPr>
              <w:spacing w:after="0"/>
              <w:rPr>
                <w:sz w:val="10"/>
                <w:szCs w:val="10"/>
                <w:color w:val="auto"/>
              </w:rPr>
            </w:pPr>
          </w:p>
        </w:tc>
        <w:tc>
          <w:tcPr>
            <w:tcW w:w="2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Arhaus,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80" w:type="dxa"/>
            <w:vAlign w:val="bottom"/>
            <w:gridSpan w:val="5"/>
          </w:tcPr>
          <w:p>
            <w:pPr>
              <w:ind w:left="220"/>
              <w:spacing w:after="0"/>
              <w:rPr>
                <w:sz w:val="20"/>
                <w:szCs w:val="20"/>
                <w:color w:val="auto"/>
              </w:rPr>
            </w:pPr>
            <w:r>
              <w:rPr>
                <w:rFonts w:ascii="Arial" w:cs="Arial" w:eastAsia="Arial" w:hAnsi="Arial"/>
                <w:sz w:val="18"/>
                <w:szCs w:val="18"/>
                <w:b w:val="1"/>
                <w:bCs w:val="1"/>
                <w:color w:val="auto"/>
              </w:rPr>
              <w:t>Nine months ended September 30,</w:t>
            </w:r>
          </w:p>
        </w:tc>
        <w:tc>
          <w:tcPr>
            <w:tcW w:w="280" w:type="dxa"/>
            <w:vAlign w:val="bottom"/>
          </w:tcPr>
          <w:p>
            <w:pPr>
              <w:spacing w:after="0"/>
              <w:rPr>
                <w:sz w:val="20"/>
                <w:szCs w:val="20"/>
                <w:color w:val="auto"/>
              </w:rPr>
            </w:pPr>
          </w:p>
        </w:tc>
        <w:tc>
          <w:tcPr>
            <w:tcW w:w="334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w w:val="94"/>
              </w:rPr>
              <w:t>Three months ended September 30,</w:t>
            </w:r>
          </w:p>
        </w:tc>
      </w:tr>
      <w:tr>
        <w:trPr>
          <w:trHeight w:val="223"/>
        </w:trPr>
        <w:tc>
          <w:tcPr>
            <w:tcW w:w="376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2022</w:t>
            </w:r>
          </w:p>
        </w:tc>
      </w:tr>
      <w:tr>
        <w:trPr>
          <w:trHeight w:val="156"/>
        </w:trPr>
        <w:tc>
          <w:tcPr>
            <w:tcW w:w="376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5"/>
              </w:rPr>
              <w:t>Equity based compensation expense - Restricted</w:t>
            </w:r>
          </w:p>
        </w:tc>
        <w:tc>
          <w:tcPr>
            <w:tcW w:w="32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r>
      <w:tr>
        <w:trPr>
          <w:trHeight w:val="243"/>
        </w:trPr>
        <w:tc>
          <w:tcPr>
            <w:tcW w:w="3760" w:type="dxa"/>
            <w:vAlign w:val="bottom"/>
            <w:shd w:val="clear" w:color="auto" w:fill="CCEEFF"/>
          </w:tcPr>
          <w:p>
            <w:pPr>
              <w:ind w:left="20"/>
              <w:spacing w:after="0" w:line="243" w:lineRule="exact"/>
              <w:rPr>
                <w:sz w:val="20"/>
                <w:szCs w:val="20"/>
                <w:color w:val="auto"/>
              </w:rPr>
            </w:pPr>
            <w:r>
              <w:rPr>
                <w:rFonts w:ascii="Arial" w:cs="Arial" w:eastAsia="Arial" w:hAnsi="Arial"/>
                <w:sz w:val="18"/>
                <w:szCs w:val="18"/>
                <w:color w:val="auto"/>
              </w:rPr>
              <w:t>Stock</w:t>
            </w:r>
            <w:r>
              <w:rPr>
                <w:rFonts w:ascii="Arial" w:cs="Arial" w:eastAsia="Arial" w:hAnsi="Arial"/>
                <w:sz w:val="23"/>
                <w:szCs w:val="23"/>
                <w:color w:val="auto"/>
                <w:vertAlign w:val="superscript"/>
              </w:rPr>
              <w:t>(1)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2,028</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w:t>
            </w:r>
          </w:p>
        </w:tc>
      </w:tr>
      <w:tr>
        <w:trPr>
          <w:trHeight w:val="54"/>
        </w:trPr>
        <w:tc>
          <w:tcPr>
            <w:tcW w:w="3760" w:type="dxa"/>
            <w:vAlign w:val="bottom"/>
            <w:tcBorders>
              <w:bottom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60" w:type="dxa"/>
            <w:vAlign w:val="bottom"/>
          </w:tcPr>
          <w:p>
            <w:pPr>
              <w:spacing w:after="0"/>
              <w:rPr>
                <w:sz w:val="4"/>
                <w:szCs w:val="4"/>
                <w:color w:val="auto"/>
              </w:rPr>
            </w:pPr>
          </w:p>
        </w:tc>
      </w:tr>
    </w:tbl>
    <w:p>
      <w:pPr>
        <w:spacing w:after="0" w:line="76" w:lineRule="exact"/>
        <w:rPr>
          <w:sz w:val="20"/>
          <w:szCs w:val="20"/>
          <w:color w:val="auto"/>
        </w:rPr>
      </w:pPr>
    </w:p>
    <w:p>
      <w:pPr>
        <w:ind w:right="20" w:firstLine="8"/>
        <w:spacing w:after="0" w:line="325" w:lineRule="auto"/>
        <w:tabs>
          <w:tab w:leader="none" w:pos="132" w:val="left"/>
        </w:tabs>
        <w:numPr>
          <w:ilvl w:val="0"/>
          <w:numId w:val="7"/>
        </w:numPr>
        <w:rPr>
          <w:rFonts w:ascii="Arial" w:cs="Arial" w:eastAsia="Arial" w:hAnsi="Arial"/>
          <w:sz w:val="15"/>
          <w:szCs w:val="15"/>
          <w:color w:val="auto"/>
          <w:vertAlign w:val="superscript"/>
        </w:rPr>
      </w:pPr>
      <w:r>
        <w:rPr>
          <w:rFonts w:ascii="Arial" w:cs="Arial" w:eastAsia="Arial" w:hAnsi="Arial"/>
          <w:sz w:val="11"/>
          <w:szCs w:val="11"/>
          <w:color w:val="auto"/>
        </w:rPr>
        <w:t>Total unrecognized equity based compensation to be recognized in future periods is $6.8 million at September 30, 2023, and will be recognized over a weighted average period of 2.65 years. Equity based compensation expense is recorded within selling, general and administrative expenses on our condensed consolidated statements of comprehensive income.</w:t>
      </w:r>
    </w:p>
    <w:p>
      <w:pPr>
        <w:spacing w:after="0" w:line="126"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The Arhaus, Inc. 2021 Equity Incentive Plan (the “2021 Plan”) was adopted on November 8, 2021. The 2021 Plan authorizes the Company the ability to grant stock options (either incentive or non-qualified), stock appreciation rights (“SARs”), restricted stock, restricted stock units (“RSUs”), performance shares, performance share units (“PSUs”) and other stock-based awards with respect to our Class A common stock to our employees, officers, consultants, advisors and directors. The maximum number of Class A common stock that may be granted under the 2021 Plan is 11,205,100 shares.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As of September 30, 2023, the Company has granted RSUs and PSUs to certain named executive officers and other key employees (“Award Recipient”).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also issued RSU awards to certain members of the Board of Directors.</w:t>
      </w:r>
    </w:p>
    <w:p>
      <w:pPr>
        <w:spacing w:after="0" w:line="17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Each RSU represents a contingent right to receive one share of the Company’s Class A common stock upon vesting. The RSUs granted to Award Recipients vest in one-third increments on each of the first, second and third anniversary of the date of grant, provided that the Award Recipient continues to serve the Company through the applicable vesting date (“Continuous Service”). If the Award Recipient’s Continuous Service terminates for any reason other than death, disability or in connection with a change in control (as such terms are defined in the 2021 Plan), unless the Compensation Committee of the Board of Directors determines otherwise, all RSUs that are unvested at the time of such termination shall be forfeited and canceled immediately without consideration. The RSUs issued to certain members of the Board of Directors will vest on the one-year anniversary of the grant date. The Company accounts for forfeitures as they occur.</w:t>
      </w:r>
    </w:p>
    <w:p>
      <w:pPr>
        <w:spacing w:after="0" w:line="16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Each PSU represents a contingent right to receive one share of the Company’s Class A common stock upon vesting. The number of PSUs earned will be based on the Company’s financial performance as measured against pre-established target goals for cumulative demand revenue and cumulative adjusted EBITDA (the “Performance Goals”) over the applicable performance period. PSUs will vest as of the end of the performance period subject to the Award Recipient’s Continuous Service, but will not settle and payout until the number of PSUs earned is determined by the Compensation Committee. The Award Recipient may earn between 0% and 200% of the PSU target award based on the Company’s achievement of the Performance Goals. The Company accounts for forfeitures as they occur.</w:t>
      </w:r>
    </w:p>
    <w:p>
      <w:pPr>
        <w:spacing w:after="0" w:line="152"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 following table summarizes the activity of the Company’s PSU and RSU awards for the nine months ended September 30, 2023, and their equity based compensation expense for the nine and three months ended September 30, 2023 and 2022, respectively (dollars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660" w:type="dxa"/>
            <w:vAlign w:val="bottom"/>
            <w:gridSpan w:val="5"/>
          </w:tcPr>
          <w:p>
            <w:pPr>
              <w:ind w:left="160"/>
              <w:spacing w:after="0"/>
              <w:rPr>
                <w:sz w:val="20"/>
                <w:szCs w:val="20"/>
                <w:color w:val="auto"/>
              </w:rPr>
            </w:pPr>
            <w:r>
              <w:rPr>
                <w:rFonts w:ascii="Arial" w:cs="Arial" w:eastAsia="Arial" w:hAnsi="Arial"/>
                <w:sz w:val="18"/>
                <w:szCs w:val="18"/>
                <w:b w:val="1"/>
                <w:bCs w:val="1"/>
                <w:color w:val="auto"/>
              </w:rPr>
              <w:t>PSU Awards</w:t>
            </w:r>
          </w:p>
        </w:tc>
        <w:tc>
          <w:tcPr>
            <w:tcW w:w="4180" w:type="dxa"/>
            <w:vAlign w:val="bottom"/>
            <w:gridSpan w:val="5"/>
          </w:tcPr>
          <w:p>
            <w:pPr>
              <w:ind w:left="1380"/>
              <w:spacing w:after="0"/>
              <w:rPr>
                <w:sz w:val="20"/>
                <w:szCs w:val="20"/>
                <w:color w:val="auto"/>
              </w:rPr>
            </w:pPr>
            <w:r>
              <w:rPr>
                <w:rFonts w:ascii="Arial" w:cs="Arial" w:eastAsia="Arial" w:hAnsi="Arial"/>
                <w:sz w:val="18"/>
                <w:szCs w:val="18"/>
                <w:b w:val="1"/>
                <w:bCs w:val="1"/>
                <w:color w:val="auto"/>
              </w:rPr>
              <w:t>RSU Awards</w:t>
            </w:r>
          </w:p>
        </w:tc>
      </w:tr>
      <w:tr>
        <w:trPr>
          <w:trHeight w:val="178"/>
        </w:trPr>
        <w:tc>
          <w:tcPr>
            <w:tcW w:w="3120" w:type="dxa"/>
            <w:vAlign w:val="bottom"/>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660" w:type="dxa"/>
            <w:vAlign w:val="bottom"/>
            <w:tcBorders>
              <w:top w:val="single" w:sz="8" w:color="auto"/>
            </w:tcBorders>
          </w:tcPr>
          <w:p>
            <w:pPr>
              <w:jc w:val="right"/>
              <w:ind w:right="130"/>
              <w:spacing w:after="0" w:line="177" w:lineRule="exact"/>
              <w:rPr>
                <w:sz w:val="20"/>
                <w:szCs w:val="20"/>
                <w:color w:val="auto"/>
              </w:rPr>
            </w:pPr>
            <w:r>
              <w:rPr>
                <w:rFonts w:ascii="Arial" w:cs="Arial" w:eastAsia="Arial" w:hAnsi="Arial"/>
                <w:sz w:val="18"/>
                <w:szCs w:val="18"/>
                <w:b w:val="1"/>
                <w:bCs w:val="1"/>
                <w:color w:val="auto"/>
                <w:w w:val="90"/>
              </w:rPr>
              <w:t>Weighted Average</w:t>
            </w:r>
          </w:p>
        </w:tc>
        <w:tc>
          <w:tcPr>
            <w:tcW w:w="80" w:type="dxa"/>
            <w:vAlign w:val="bottom"/>
          </w:tcPr>
          <w:p>
            <w:pPr>
              <w:spacing w:after="0"/>
              <w:rPr>
                <w:sz w:val="15"/>
                <w:szCs w:val="15"/>
                <w:color w:val="auto"/>
              </w:rPr>
            </w:pPr>
          </w:p>
        </w:tc>
        <w:tc>
          <w:tcPr>
            <w:tcW w:w="18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660" w:type="dxa"/>
            <w:vAlign w:val="bottom"/>
            <w:tcBorders>
              <w:top w:val="single" w:sz="8" w:color="auto"/>
            </w:tcBorders>
          </w:tcPr>
          <w:p>
            <w:pPr>
              <w:jc w:val="right"/>
              <w:ind w:right="110"/>
              <w:spacing w:after="0" w:line="177" w:lineRule="exact"/>
              <w:rPr>
                <w:sz w:val="20"/>
                <w:szCs w:val="20"/>
                <w:color w:val="auto"/>
              </w:rPr>
            </w:pPr>
            <w:r>
              <w:rPr>
                <w:rFonts w:ascii="Arial" w:cs="Arial" w:eastAsia="Arial" w:hAnsi="Arial"/>
                <w:sz w:val="18"/>
                <w:szCs w:val="18"/>
                <w:b w:val="1"/>
                <w:bCs w:val="1"/>
                <w:color w:val="auto"/>
                <w:w w:val="91"/>
              </w:rPr>
              <w:t>Weighted Average</w:t>
            </w:r>
          </w:p>
        </w:tc>
        <w:tc>
          <w:tcPr>
            <w:tcW w:w="440" w:type="dxa"/>
            <w:vAlign w:val="bottom"/>
          </w:tcPr>
          <w:p>
            <w:pPr>
              <w:spacing w:after="0"/>
              <w:rPr>
                <w:sz w:val="15"/>
                <w:szCs w:val="15"/>
                <w:color w:val="auto"/>
              </w:rPr>
            </w:pPr>
          </w:p>
        </w:tc>
      </w:tr>
      <w:tr>
        <w:trPr>
          <w:trHeight w:val="234"/>
        </w:trPr>
        <w:tc>
          <w:tcPr>
            <w:tcW w:w="3120" w:type="dxa"/>
            <w:vAlign w:val="bottom"/>
          </w:tcPr>
          <w:p>
            <w:pPr>
              <w:spacing w:after="0"/>
              <w:rPr>
                <w:sz w:val="20"/>
                <w:szCs w:val="20"/>
                <w:color w:val="auto"/>
              </w:rPr>
            </w:pPr>
          </w:p>
        </w:tc>
        <w:tc>
          <w:tcPr>
            <w:tcW w:w="1280" w:type="dxa"/>
            <w:vAlign w:val="bottom"/>
          </w:tcPr>
          <w:p>
            <w:pPr>
              <w:ind w:left="660"/>
              <w:spacing w:after="0"/>
              <w:rPr>
                <w:sz w:val="20"/>
                <w:szCs w:val="20"/>
                <w:color w:val="auto"/>
              </w:rPr>
            </w:pPr>
            <w:r>
              <w:rPr>
                <w:rFonts w:ascii="Arial" w:cs="Arial" w:eastAsia="Arial" w:hAnsi="Arial"/>
                <w:sz w:val="18"/>
                <w:szCs w:val="18"/>
                <w:b w:val="1"/>
                <w:bCs w:val="1"/>
                <w:color w:val="auto"/>
                <w:w w:val="88"/>
              </w:rPr>
              <w:t>Amount</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gridSpan w:val="3"/>
          </w:tcPr>
          <w:p>
            <w:pPr>
              <w:ind w:left="40"/>
              <w:spacing w:after="0"/>
              <w:rPr>
                <w:sz w:val="20"/>
                <w:szCs w:val="20"/>
                <w:color w:val="auto"/>
              </w:rPr>
            </w:pPr>
            <w:r>
              <w:rPr>
                <w:rFonts w:ascii="Arial" w:cs="Arial" w:eastAsia="Arial" w:hAnsi="Arial"/>
                <w:sz w:val="18"/>
                <w:szCs w:val="18"/>
                <w:b w:val="1"/>
                <w:bCs w:val="1"/>
                <w:color w:val="auto"/>
              </w:rPr>
              <w:t>Grant Date Fair Value</w:t>
            </w:r>
          </w:p>
        </w:tc>
        <w:tc>
          <w:tcPr>
            <w:tcW w:w="1920" w:type="dxa"/>
            <w:vAlign w:val="bottom"/>
            <w:gridSpan w:val="2"/>
          </w:tcPr>
          <w:p>
            <w:pPr>
              <w:ind w:left="600"/>
              <w:spacing w:after="0"/>
              <w:rPr>
                <w:sz w:val="20"/>
                <w:szCs w:val="20"/>
                <w:color w:val="auto"/>
              </w:rPr>
            </w:pPr>
            <w:r>
              <w:rPr>
                <w:rFonts w:ascii="Arial" w:cs="Arial" w:eastAsia="Arial" w:hAnsi="Arial"/>
                <w:sz w:val="18"/>
                <w:szCs w:val="18"/>
                <w:b w:val="1"/>
                <w:bCs w:val="1"/>
                <w:color w:val="auto"/>
              </w:rPr>
              <w:t>Amount</w:t>
            </w:r>
          </w:p>
        </w:tc>
        <w:tc>
          <w:tcPr>
            <w:tcW w:w="2260" w:type="dxa"/>
            <w:vAlign w:val="bottom"/>
            <w:gridSpan w:val="3"/>
          </w:tcPr>
          <w:p>
            <w:pPr>
              <w:ind w:left="60"/>
              <w:spacing w:after="0"/>
              <w:rPr>
                <w:sz w:val="20"/>
                <w:szCs w:val="20"/>
                <w:color w:val="auto"/>
              </w:rPr>
            </w:pPr>
            <w:r>
              <w:rPr>
                <w:rFonts w:ascii="Arial" w:cs="Arial" w:eastAsia="Arial" w:hAnsi="Arial"/>
                <w:sz w:val="18"/>
                <w:szCs w:val="18"/>
                <w:b w:val="1"/>
                <w:bCs w:val="1"/>
                <w:color w:val="auto"/>
              </w:rPr>
              <w:t>Grant Date Fair Value</w:t>
            </w:r>
          </w:p>
        </w:tc>
      </w:tr>
      <w:tr>
        <w:trPr>
          <w:trHeight w:val="223"/>
        </w:trPr>
        <w:tc>
          <w:tcPr>
            <w:tcW w:w="3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December 31, 2022</w:t>
            </w:r>
          </w:p>
        </w:tc>
        <w:tc>
          <w:tcPr>
            <w:tcW w:w="128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513,125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8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731,661</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440" w:type="dxa"/>
            <w:vAlign w:val="bottom"/>
          </w:tcPr>
          <w:p>
            <w:pPr>
              <w:spacing w:after="0"/>
              <w:rPr>
                <w:sz w:val="19"/>
                <w:szCs w:val="19"/>
                <w:color w:val="auto"/>
              </w:rPr>
            </w:pPr>
          </w:p>
        </w:tc>
      </w:tr>
      <w:tr>
        <w:trPr>
          <w:trHeight w:val="229"/>
        </w:trPr>
        <w:tc>
          <w:tcPr>
            <w:tcW w:w="440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660" w:type="dxa"/>
            <w:vAlign w:val="bottom"/>
          </w:tcPr>
          <w:p>
            <w:pPr>
              <w:jc w:val="right"/>
              <w:spacing w:after="0"/>
              <w:rPr>
                <w:sz w:val="20"/>
                <w:szCs w:val="20"/>
                <w:color w:val="auto"/>
              </w:rPr>
            </w:pPr>
            <w:r>
              <w:rPr>
                <w:rFonts w:ascii="Arial" w:cs="Arial" w:eastAsia="Arial" w:hAnsi="Arial"/>
                <w:sz w:val="18"/>
                <w:szCs w:val="18"/>
                <w:color w:val="auto"/>
                <w:w w:val="86"/>
              </w:rPr>
              <w:t>281,163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9.47</w:t>
            </w:r>
          </w:p>
        </w:tc>
        <w:tc>
          <w:tcPr>
            <w:tcW w:w="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468,483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9.05</w:t>
            </w:r>
          </w:p>
        </w:tc>
        <w:tc>
          <w:tcPr>
            <w:tcW w:w="440" w:type="dxa"/>
            <w:vAlign w:val="bottom"/>
          </w:tcPr>
          <w:p>
            <w:pPr>
              <w:spacing w:after="0"/>
              <w:rPr>
                <w:sz w:val="19"/>
                <w:szCs w:val="19"/>
                <w:color w:val="auto"/>
              </w:rPr>
            </w:pPr>
          </w:p>
        </w:tc>
      </w:tr>
      <w:tr>
        <w:trPr>
          <w:trHeight w:val="230"/>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(89,336)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(82,368)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440" w:type="dxa"/>
            <w:vAlign w:val="bottom"/>
          </w:tcPr>
          <w:p>
            <w:pPr>
              <w:spacing w:after="0"/>
              <w:rPr>
                <w:sz w:val="19"/>
                <w:szCs w:val="19"/>
                <w:color w:val="auto"/>
              </w:rPr>
            </w:pPr>
          </w:p>
        </w:tc>
      </w:tr>
      <w:tr>
        <w:trPr>
          <w:trHeight w:val="230"/>
        </w:trPr>
        <w:tc>
          <w:tcPr>
            <w:tcW w:w="3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Vested</w:t>
            </w:r>
          </w:p>
        </w:tc>
        <w:tc>
          <w:tcPr>
            <w:tcW w:w="12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(302,137)</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w:t>
            </w:r>
          </w:p>
        </w:tc>
        <w:tc>
          <w:tcPr>
            <w:tcW w:w="440" w:type="dxa"/>
            <w:vAlign w:val="bottom"/>
          </w:tcPr>
          <w:p>
            <w:pPr>
              <w:spacing w:after="0"/>
              <w:rPr>
                <w:sz w:val="19"/>
                <w:szCs w:val="19"/>
                <w:color w:val="auto"/>
              </w:rPr>
            </w:pPr>
          </w:p>
        </w:tc>
      </w:tr>
      <w:tr>
        <w:trPr>
          <w:trHeight w:val="243"/>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Unvested at September 30, 2023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704,952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8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815,639</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440" w:type="dxa"/>
            <w:vAlign w:val="bottom"/>
          </w:tcPr>
          <w:p>
            <w:pPr>
              <w:spacing w:after="0"/>
              <w:rPr>
                <w:sz w:val="21"/>
                <w:szCs w:val="2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878"/>
        </w:trPr>
        <w:tc>
          <w:tcPr>
            <w:tcW w:w="3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jc w:val="right"/>
              <w:ind w:right="117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15"/>
        </w:trPr>
        <w:tc>
          <w:tcPr>
            <w:tcW w:w="312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Arhaus,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20" w:type="dxa"/>
            <w:vAlign w:val="bottom"/>
            <w:gridSpan w:val="5"/>
          </w:tcPr>
          <w:p>
            <w:pPr>
              <w:ind w:left="60"/>
              <w:spacing w:after="0"/>
              <w:rPr>
                <w:sz w:val="20"/>
                <w:szCs w:val="20"/>
                <w:color w:val="auto"/>
              </w:rPr>
            </w:pPr>
            <w:r>
              <w:rPr>
                <w:rFonts w:ascii="Arial" w:cs="Arial" w:eastAsia="Arial" w:hAnsi="Arial"/>
                <w:sz w:val="18"/>
                <w:szCs w:val="18"/>
                <w:b w:val="1"/>
                <w:bCs w:val="1"/>
                <w:color w:val="auto"/>
                <w:w w:val="99"/>
              </w:rPr>
              <w:t>Nine months ended September 30,</w:t>
            </w:r>
          </w:p>
        </w:tc>
        <w:tc>
          <w:tcPr>
            <w:tcW w:w="140" w:type="dxa"/>
            <w:vAlign w:val="bottom"/>
          </w:tcPr>
          <w:p>
            <w:pPr>
              <w:spacing w:after="0"/>
              <w:rPr>
                <w:sz w:val="20"/>
                <w:szCs w:val="20"/>
                <w:color w:val="auto"/>
              </w:rPr>
            </w:pPr>
          </w:p>
        </w:tc>
        <w:tc>
          <w:tcPr>
            <w:tcW w:w="296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w w:val="89"/>
              </w:rPr>
              <w:t>Three months ended September 30,</w:t>
            </w:r>
          </w:p>
        </w:tc>
      </w:tr>
      <w:tr>
        <w:trPr>
          <w:trHeight w:val="223"/>
        </w:trPr>
        <w:tc>
          <w:tcPr>
            <w:tcW w:w="44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r>
      <w:tr>
        <w:trPr>
          <w:trHeight w:val="223"/>
        </w:trPr>
        <w:tc>
          <w:tcPr>
            <w:tcW w:w="440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Equity based compensation expense - PSUs</w:t>
            </w:r>
            <w:r>
              <w:rPr>
                <w:rFonts w:ascii="Arial" w:cs="Arial" w:eastAsia="Arial" w:hAnsi="Arial"/>
                <w:sz w:val="23"/>
                <w:szCs w:val="23"/>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r>
      <w:tr>
        <w:trPr>
          <w:trHeight w:val="304"/>
        </w:trPr>
        <w:tc>
          <w:tcPr>
            <w:tcW w:w="4400" w:type="dxa"/>
            <w:vAlign w:val="bottom"/>
          </w:tcPr>
          <w:p>
            <w:pPr>
              <w:ind w:left="20"/>
              <w:spacing w:after="0"/>
              <w:rPr>
                <w:sz w:val="20"/>
                <w:szCs w:val="20"/>
                <w:color w:val="auto"/>
              </w:rPr>
            </w:pPr>
            <w:r>
              <w:rPr>
                <w:rFonts w:ascii="Arial" w:cs="Arial" w:eastAsia="Arial" w:hAnsi="Arial"/>
                <w:sz w:val="18"/>
                <w:szCs w:val="18"/>
                <w:color w:val="auto"/>
              </w:rPr>
              <w:t>Equity based compensation expense - RSUs</w:t>
            </w:r>
            <w:r>
              <w:rPr>
                <w:rFonts w:ascii="Arial" w:cs="Arial" w:eastAsia="Arial" w:hAnsi="Arial"/>
                <w:sz w:val="23"/>
                <w:szCs w:val="23"/>
                <w:color w:val="auto"/>
                <w:vertAlign w:val="superscript"/>
              </w:rPr>
              <w:t>(2)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2,062</w:t>
            </w:r>
          </w:p>
        </w:tc>
        <w:tc>
          <w:tcPr>
            <w:tcW w:w="8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763</w:t>
            </w:r>
          </w:p>
        </w:tc>
        <w:tc>
          <w:tcPr>
            <w:tcW w:w="100" w:type="dxa"/>
            <w:vAlign w:val="bottom"/>
          </w:tcPr>
          <w:p>
            <w:pPr>
              <w:spacing w:after="0"/>
              <w:rPr>
                <w:sz w:val="24"/>
                <w:szCs w:val="24"/>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278574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38" w:lineRule="exact"/>
        <w:rPr>
          <w:sz w:val="20"/>
          <w:szCs w:val="20"/>
          <w:color w:val="auto"/>
        </w:rPr>
      </w:pPr>
    </w:p>
    <w:p>
      <w:pPr>
        <w:ind w:left="140" w:hanging="132"/>
        <w:spacing w:after="0"/>
        <w:tabs>
          <w:tab w:leader="none" w:pos="140" w:val="left"/>
        </w:tabs>
        <w:numPr>
          <w:ilvl w:val="0"/>
          <w:numId w:val="8"/>
        </w:numPr>
        <w:rPr>
          <w:rFonts w:ascii="Arial" w:cs="Arial" w:eastAsia="Arial" w:hAnsi="Arial"/>
          <w:sz w:val="16"/>
          <w:szCs w:val="16"/>
          <w:b w:val="1"/>
          <w:bCs w:val="1"/>
          <w:color w:val="auto"/>
          <w:vertAlign w:val="superscript"/>
        </w:rPr>
      </w:pPr>
      <w:r>
        <w:rPr>
          <w:rFonts w:ascii="Arial" w:cs="Arial" w:eastAsia="Arial" w:hAnsi="Arial"/>
          <w:sz w:val="12"/>
          <w:szCs w:val="12"/>
          <w:color w:val="auto"/>
        </w:rPr>
        <w:t>Total unrecognized equity based compensation for the PSUs to be recognized in future periods is $4.2 million at September 30, 2023, and will be recognized over a weighted average period of</w:t>
      </w:r>
    </w:p>
    <w:p>
      <w:pPr>
        <w:spacing w:after="0"/>
        <w:rPr>
          <w:rFonts w:ascii="Arial" w:cs="Arial" w:eastAsia="Arial" w:hAnsi="Arial"/>
          <w:sz w:val="16"/>
          <w:szCs w:val="16"/>
          <w:b w:val="1"/>
          <w:bCs w:val="1"/>
          <w:color w:val="auto"/>
          <w:vertAlign w:val="superscript"/>
        </w:rPr>
      </w:pPr>
      <w:r>
        <w:rPr>
          <w:rFonts w:ascii="Arial" w:cs="Arial" w:eastAsia="Arial" w:hAnsi="Arial"/>
          <w:sz w:val="13"/>
          <w:szCs w:val="13"/>
          <w:color w:val="auto"/>
        </w:rPr>
        <w:t>1.74 years. Equity based compensation expense is recorded within selling, general and administrative expenses on our condensed consolidated statements of comprehensive income.</w:t>
      </w:r>
    </w:p>
    <w:p>
      <w:pPr>
        <w:spacing w:after="0" w:line="20" w:lineRule="exact"/>
        <w:rPr>
          <w:rFonts w:ascii="Arial" w:cs="Arial" w:eastAsia="Arial" w:hAnsi="Arial"/>
          <w:sz w:val="16"/>
          <w:szCs w:val="16"/>
          <w:b w:val="1"/>
          <w:bCs w:val="1"/>
          <w:color w:val="auto"/>
          <w:vertAlign w:val="superscript"/>
        </w:rPr>
      </w:pPr>
    </w:p>
    <w:p>
      <w:pPr>
        <w:ind w:left="140" w:hanging="132"/>
        <w:spacing w:after="0"/>
        <w:tabs>
          <w:tab w:leader="none" w:pos="140" w:val="left"/>
        </w:tabs>
        <w:numPr>
          <w:ilvl w:val="0"/>
          <w:numId w:val="8"/>
        </w:numPr>
        <w:rPr>
          <w:rFonts w:ascii="Arial" w:cs="Arial" w:eastAsia="Arial" w:hAnsi="Arial"/>
          <w:sz w:val="9"/>
          <w:szCs w:val="9"/>
          <w:color w:val="auto"/>
        </w:rPr>
      </w:pPr>
      <w:r>
        <w:rPr>
          <w:rFonts w:ascii="Arial" w:cs="Arial" w:eastAsia="Arial" w:hAnsi="Arial"/>
          <w:sz w:val="13"/>
          <w:szCs w:val="13"/>
          <w:color w:val="auto"/>
        </w:rPr>
        <w:t>Total unrecognized equity based compensation for the RSUs to be recognized in future periods is $5.1 million at September 30, 2023, and will be recognized over a weighted average period of</w:t>
      </w:r>
    </w:p>
    <w:p>
      <w:pPr>
        <w:spacing w:after="0" w:line="26" w:lineRule="exact"/>
        <w:rPr>
          <w:rFonts w:ascii="Arial" w:cs="Arial" w:eastAsia="Arial" w:hAnsi="Arial"/>
          <w:sz w:val="9"/>
          <w:szCs w:val="9"/>
          <w:color w:val="auto"/>
        </w:rPr>
      </w:pPr>
    </w:p>
    <w:p>
      <w:pPr>
        <w:spacing w:after="0"/>
        <w:rPr>
          <w:rFonts w:ascii="Arial" w:cs="Arial" w:eastAsia="Arial" w:hAnsi="Arial"/>
          <w:sz w:val="9"/>
          <w:szCs w:val="9"/>
          <w:color w:val="auto"/>
        </w:rPr>
      </w:pPr>
      <w:r>
        <w:rPr>
          <w:rFonts w:ascii="Arial" w:cs="Arial" w:eastAsia="Arial" w:hAnsi="Arial"/>
          <w:sz w:val="13"/>
          <w:szCs w:val="13"/>
          <w:color w:val="auto"/>
        </w:rPr>
        <w:t>2.07 years. Equity based compensation expense is recorded within selling, general and administrative expenses on our condensed consolidated statements of comprehensive income.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Segment Reporting</w:t>
      </w:r>
    </w:p>
    <w:p>
      <w:pPr>
        <w:spacing w:after="0" w:line="18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Our chief operating decision maker is our Chief Executive Officer (“CEO”), who reviews financial information presented on a consolidated basis for purposes of making decisions, assessing financial performance and allocating resources. We operate our business as one operating segment and therefore we have one reportable segment that offers an assortment of merchandise across a number of categories, including furniture, outdoor, lighting, textiles, and décor. The assortment of merchandise can be purchased through our retail and eCommerce sales channels.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The majority of our net revenue is generated through sales to clients in the United States. Sales to clients outside of the United States are not significant.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Further, no single client represents more than ten percent or more of our net revenue.</w:t>
      </w:r>
    </w:p>
    <w:p>
      <w:pPr>
        <w:spacing w:after="0" w:line="17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following table shows net revenue by merchandise sales channel for the nine and three months ended September 30, 2023 and 2022, respectively (amounts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3840" w:type="dxa"/>
            <w:vAlign w:val="bottom"/>
            <w:gridSpan w:val="6"/>
          </w:tcPr>
          <w:p>
            <w:pPr>
              <w:ind w:left="560"/>
              <w:spacing w:after="0"/>
              <w:rPr>
                <w:sz w:val="20"/>
                <w:szCs w:val="20"/>
                <w:color w:val="auto"/>
              </w:rPr>
            </w:pPr>
            <w:r>
              <w:rPr>
                <w:rFonts w:ascii="Arial" w:cs="Arial" w:eastAsia="Arial" w:hAnsi="Arial"/>
                <w:sz w:val="18"/>
                <w:szCs w:val="18"/>
                <w:b w:val="1"/>
                <w:bCs w:val="1"/>
                <w:color w:val="auto"/>
              </w:rPr>
              <w:t>Nine months ended September 30,</w:t>
            </w:r>
          </w:p>
        </w:tc>
        <w:tc>
          <w:tcPr>
            <w:tcW w:w="300" w:type="dxa"/>
            <w:vAlign w:val="bottom"/>
          </w:tcPr>
          <w:p>
            <w:pPr>
              <w:spacing w:after="0"/>
              <w:rPr>
                <w:sz w:val="20"/>
                <w:szCs w:val="20"/>
                <w:color w:val="auto"/>
              </w:rPr>
            </w:pPr>
          </w:p>
        </w:tc>
        <w:tc>
          <w:tcPr>
            <w:tcW w:w="3620" w:type="dxa"/>
            <w:vAlign w:val="bottom"/>
            <w:gridSpan w:val="5"/>
          </w:tcPr>
          <w:p>
            <w:pPr>
              <w:ind w:left="180"/>
              <w:spacing w:after="0"/>
              <w:rPr>
                <w:sz w:val="20"/>
                <w:szCs w:val="20"/>
                <w:color w:val="auto"/>
              </w:rPr>
            </w:pPr>
            <w:r>
              <w:rPr>
                <w:rFonts w:ascii="Arial" w:cs="Arial" w:eastAsia="Arial" w:hAnsi="Arial"/>
                <w:sz w:val="18"/>
                <w:szCs w:val="18"/>
                <w:b w:val="1"/>
                <w:bCs w:val="1"/>
                <w:color w:val="auto"/>
              </w:rPr>
              <w:t>Three months ended September 30,</w:t>
            </w:r>
          </w:p>
        </w:tc>
      </w:tr>
      <w:tr>
        <w:trPr>
          <w:trHeight w:val="223"/>
        </w:trPr>
        <w:tc>
          <w:tcPr>
            <w:tcW w:w="3480" w:type="dxa"/>
            <w:vAlign w:val="bottom"/>
            <w:tcBorders>
              <w:bottom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70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70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9"/>
                <w:szCs w:val="19"/>
                <w:color w:val="auto"/>
              </w:rPr>
            </w:pPr>
          </w:p>
        </w:tc>
      </w:tr>
      <w:tr>
        <w:trPr>
          <w:trHeight w:val="223"/>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Retail</w:t>
            </w:r>
          </w:p>
        </w:tc>
        <w:tc>
          <w:tcPr>
            <w:tcW w:w="114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768,624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727,953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261,786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268,988</w:t>
            </w:r>
          </w:p>
        </w:tc>
        <w:tc>
          <w:tcPr>
            <w:tcW w:w="220" w:type="dxa"/>
            <w:vAlign w:val="bottom"/>
          </w:tcPr>
          <w:p>
            <w:pPr>
              <w:spacing w:after="0"/>
              <w:rPr>
                <w:sz w:val="19"/>
                <w:szCs w:val="19"/>
                <w:color w:val="auto"/>
              </w:rPr>
            </w:pPr>
          </w:p>
        </w:tc>
      </w:tr>
      <w:tr>
        <w:trPr>
          <w:trHeight w:val="230"/>
        </w:trPr>
        <w:tc>
          <w:tcPr>
            <w:tcW w:w="3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eCommerce</w:t>
            </w:r>
          </w:p>
        </w:tc>
        <w:tc>
          <w:tcPr>
            <w:tcW w:w="1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175,072</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144,642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64,443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51,042</w:t>
            </w:r>
          </w:p>
        </w:tc>
        <w:tc>
          <w:tcPr>
            <w:tcW w:w="220" w:type="dxa"/>
            <w:vAlign w:val="bottom"/>
          </w:tcPr>
          <w:p>
            <w:pPr>
              <w:spacing w:after="0"/>
              <w:rPr>
                <w:sz w:val="19"/>
                <w:szCs w:val="19"/>
                <w:color w:val="auto"/>
              </w:rPr>
            </w:pPr>
          </w:p>
        </w:tc>
      </w:tr>
      <w:tr>
        <w:trPr>
          <w:trHeight w:val="248"/>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revenue</w:t>
            </w:r>
          </w:p>
        </w:tc>
        <w:tc>
          <w:tcPr>
            <w:tcW w:w="1140" w:type="dxa"/>
            <w:vAlign w:val="bottom"/>
            <w:tcBorders>
              <w:bottom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943,696</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872,595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326,229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320,030</w:t>
            </w:r>
          </w:p>
        </w:tc>
        <w:tc>
          <w:tcPr>
            <w:tcW w:w="220" w:type="dxa"/>
            <w:vAlign w:val="bottom"/>
          </w:tcPr>
          <w:p>
            <w:pPr>
              <w:spacing w:after="0"/>
              <w:rPr>
                <w:sz w:val="21"/>
                <w:szCs w:val="2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879"/>
        </w:trPr>
        <w:tc>
          <w:tcPr>
            <w:tcW w:w="3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jc w:val="right"/>
              <w:ind w:right="1410"/>
              <w:spacing w:after="0"/>
              <w:rPr>
                <w:sz w:val="20"/>
                <w:szCs w:val="20"/>
                <w:color w:val="auto"/>
              </w:rPr>
            </w:pPr>
            <w:r>
              <w:rPr>
                <w:rFonts w:ascii="Arial" w:cs="Arial" w:eastAsia="Arial" w:hAnsi="Arial"/>
                <w:sz w:val="18"/>
                <w:szCs w:val="18"/>
                <w:color w:val="auto"/>
                <w:w w:val="89"/>
              </w:rPr>
              <w:t>16</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15"/>
        </w:trPr>
        <w:tc>
          <w:tcPr>
            <w:tcW w:w="34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Arhaus,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Net and Comprehensive Income per Share</w:t>
      </w:r>
    </w:p>
    <w:p>
      <w:pPr>
        <w:spacing w:after="0" w:line="18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Basic and diluted net and comprehensive income per share for the nine and three months ended September 30, 2023 and 2022, was calculated by dividing net and comprehensive income by the number of basic and diluted weighted average common shares outstanding.</w:t>
      </w:r>
    </w:p>
    <w:p>
      <w:pPr>
        <w:spacing w:after="0" w:line="14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Basic and diluted net and comprehensive income per share for the nine and three months ended September 30, 2023 and 2022, is as follows (amounts in thousands except share and per share data):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60" w:type="dxa"/>
            <w:vAlign w:val="bottom"/>
            <w:gridSpan w:val="5"/>
          </w:tcPr>
          <w:p>
            <w:pPr>
              <w:ind w:left="40"/>
              <w:spacing w:after="0"/>
              <w:rPr>
                <w:sz w:val="20"/>
                <w:szCs w:val="20"/>
                <w:color w:val="auto"/>
              </w:rPr>
            </w:pPr>
            <w:r>
              <w:rPr>
                <w:rFonts w:ascii="Arial" w:cs="Arial" w:eastAsia="Arial" w:hAnsi="Arial"/>
                <w:sz w:val="18"/>
                <w:szCs w:val="18"/>
                <w:b w:val="1"/>
                <w:bCs w:val="1"/>
                <w:color w:val="auto"/>
                <w:w w:val="98"/>
              </w:rPr>
              <w:t>Nine months ended September 30,</w:t>
            </w:r>
          </w:p>
        </w:tc>
        <w:tc>
          <w:tcPr>
            <w:tcW w:w="160" w:type="dxa"/>
            <w:vAlign w:val="bottom"/>
          </w:tcPr>
          <w:p>
            <w:pPr>
              <w:spacing w:after="0"/>
              <w:rPr>
                <w:sz w:val="20"/>
                <w:szCs w:val="20"/>
                <w:color w:val="auto"/>
              </w:rPr>
            </w:pPr>
          </w:p>
        </w:tc>
        <w:tc>
          <w:tcPr>
            <w:tcW w:w="2960" w:type="dxa"/>
            <w:vAlign w:val="bottom"/>
            <w:gridSpan w:val="4"/>
          </w:tcPr>
          <w:p>
            <w:pPr>
              <w:jc w:val="center"/>
              <w:ind w:right="70"/>
              <w:spacing w:after="0"/>
              <w:rPr>
                <w:sz w:val="20"/>
                <w:szCs w:val="20"/>
                <w:color w:val="auto"/>
              </w:rPr>
            </w:pPr>
            <w:r>
              <w:rPr>
                <w:rFonts w:ascii="Arial" w:cs="Arial" w:eastAsia="Arial" w:hAnsi="Arial"/>
                <w:sz w:val="18"/>
                <w:szCs w:val="18"/>
                <w:b w:val="1"/>
                <w:bCs w:val="1"/>
                <w:color w:val="auto"/>
                <w:w w:val="89"/>
              </w:rPr>
              <w:t>Three months ended September 30,</w:t>
            </w:r>
          </w:p>
        </w:tc>
      </w:tr>
      <w:tr>
        <w:trPr>
          <w:trHeight w:val="223"/>
        </w:trPr>
        <w:tc>
          <w:tcPr>
            <w:tcW w:w="49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r>
      <w:tr>
        <w:trPr>
          <w:trHeight w:val="210"/>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29"/>
        </w:trPr>
        <w:tc>
          <w:tcPr>
            <w:tcW w:w="4920" w:type="dxa"/>
            <w:vAlign w:val="bottom"/>
          </w:tcPr>
          <w:p>
            <w:pPr>
              <w:ind w:left="20"/>
              <w:spacing w:after="0"/>
              <w:rPr>
                <w:sz w:val="20"/>
                <w:szCs w:val="20"/>
                <w:color w:val="auto"/>
              </w:rPr>
            </w:pPr>
            <w:r>
              <w:rPr>
                <w:rFonts w:ascii="Arial" w:cs="Arial" w:eastAsia="Arial" w:hAnsi="Arial"/>
                <w:sz w:val="18"/>
                <w:szCs w:val="18"/>
                <w:color w:val="auto"/>
              </w:rPr>
              <w:t>Net and comprehensive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94,023</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89,633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19,741</w:t>
            </w:r>
          </w:p>
        </w:tc>
        <w:tc>
          <w:tcPr>
            <w:tcW w:w="80" w:type="dxa"/>
            <w:vAlign w:val="bottom"/>
          </w:tcPr>
          <w:p>
            <w:pPr>
              <w:spacing w:after="0"/>
              <w:rPr>
                <w:sz w:val="19"/>
                <w:szCs w:val="19"/>
                <w:color w:val="auto"/>
              </w:rPr>
            </w:pPr>
          </w:p>
        </w:tc>
        <w:tc>
          <w:tcPr>
            <w:tcW w:w="380" w:type="dxa"/>
            <w:vAlign w:val="bottom"/>
          </w:tcPr>
          <w:p>
            <w:pPr>
              <w:jc w:val="center"/>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36,936</w:t>
            </w:r>
          </w:p>
        </w:tc>
      </w:tr>
      <w:tr>
        <w:trPr>
          <w:trHeight w:val="270"/>
        </w:trPr>
        <w:tc>
          <w:tcPr>
            <w:tcW w:w="49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29"/>
        </w:trPr>
        <w:tc>
          <w:tcPr>
            <w:tcW w:w="4920" w:type="dxa"/>
            <w:vAlign w:val="bottom"/>
          </w:tcPr>
          <w:p>
            <w:pPr>
              <w:ind w:left="20"/>
              <w:spacing w:after="0"/>
              <w:rPr>
                <w:sz w:val="20"/>
                <w:szCs w:val="20"/>
                <w:color w:val="auto"/>
              </w:rPr>
            </w:pPr>
            <w:r>
              <w:rPr>
                <w:rFonts w:ascii="Arial" w:cs="Arial" w:eastAsia="Arial" w:hAnsi="Arial"/>
                <w:sz w:val="18"/>
                <w:szCs w:val="18"/>
                <w:b w:val="1"/>
                <w:bCs w:val="1"/>
                <w:color w:val="auto"/>
              </w:rPr>
              <w:t>Denominator—Weighted Average Shares Outstanding</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Weighted-average number of common shares outstanding, basic</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139,365,870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137,939,577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139,628,776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138,484,495</w:t>
            </w:r>
          </w:p>
        </w:tc>
      </w:tr>
      <w:tr>
        <w:trPr>
          <w:trHeight w:val="229"/>
        </w:trPr>
        <w:tc>
          <w:tcPr>
            <w:tcW w:w="49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Effect of dilutive restricted stock </w:t>
            </w:r>
            <w:r>
              <w:rPr>
                <w:rFonts w:ascii="Arial" w:cs="Arial" w:eastAsia="Arial" w:hAnsi="Arial"/>
                <w:sz w:val="23"/>
                <w:szCs w:val="23"/>
                <w:color w:val="auto"/>
                <w:vertAlign w:val="superscript"/>
              </w:rPr>
              <w:t>(1)</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655,800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1,606,225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512,123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1,360,838</w:t>
            </w:r>
          </w:p>
        </w:tc>
      </w:tr>
      <w:tr>
        <w:trPr>
          <w:trHeight w:val="230"/>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Weighted-average number of common shares outstanding, diluted</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140,021,670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139,545,802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140,140,899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139,845,333</w:t>
            </w:r>
          </w:p>
        </w:tc>
      </w:tr>
      <w:tr>
        <w:trPr>
          <w:trHeight w:val="270"/>
        </w:trPr>
        <w:tc>
          <w:tcPr>
            <w:tcW w:w="49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30"/>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and Comprehensive Income Per Share</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4920" w:type="dxa"/>
            <w:vAlign w:val="bottom"/>
          </w:tcPr>
          <w:p>
            <w:pPr>
              <w:ind w:left="20"/>
              <w:spacing w:after="0"/>
              <w:rPr>
                <w:sz w:val="20"/>
                <w:szCs w:val="20"/>
                <w:color w:val="auto"/>
              </w:rPr>
            </w:pPr>
            <w:r>
              <w:rPr>
                <w:rFonts w:ascii="Arial" w:cs="Arial" w:eastAsia="Arial" w:hAnsi="Arial"/>
                <w:sz w:val="18"/>
                <w:szCs w:val="18"/>
                <w:color w:val="auto"/>
              </w:rPr>
              <w:t>Net and comprehensive income per share, basic</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0.67</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0.65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0.14</w:t>
            </w:r>
          </w:p>
        </w:tc>
        <w:tc>
          <w:tcPr>
            <w:tcW w:w="80" w:type="dxa"/>
            <w:vAlign w:val="bottom"/>
          </w:tcPr>
          <w:p>
            <w:pPr>
              <w:spacing w:after="0"/>
              <w:rPr>
                <w:sz w:val="19"/>
                <w:szCs w:val="19"/>
                <w:color w:val="auto"/>
              </w:rPr>
            </w:pPr>
          </w:p>
        </w:tc>
        <w:tc>
          <w:tcPr>
            <w:tcW w:w="380" w:type="dxa"/>
            <w:vAlign w:val="bottom"/>
          </w:tcPr>
          <w:p>
            <w:pPr>
              <w:jc w:val="center"/>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0.27</w:t>
            </w:r>
          </w:p>
        </w:tc>
      </w:tr>
      <w:tr>
        <w:trPr>
          <w:trHeight w:val="230"/>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and comprehensive income per share, diluted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center"/>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r>
      <w:tr>
        <w:trPr>
          <w:trHeight w:val="108"/>
        </w:trPr>
        <w:tc>
          <w:tcPr>
            <w:tcW w:w="49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40" w:type="dxa"/>
            <w:vAlign w:val="bottom"/>
          </w:tcPr>
          <w:p>
            <w:pPr>
              <w:spacing w:after="0"/>
              <w:rPr>
                <w:sz w:val="9"/>
                <w:szCs w:val="9"/>
                <w:color w:val="auto"/>
              </w:rPr>
            </w:pPr>
          </w:p>
        </w:tc>
      </w:tr>
    </w:tbl>
    <w:p>
      <w:pPr>
        <w:spacing w:after="0" w:line="89" w:lineRule="exact"/>
        <w:rPr>
          <w:sz w:val="20"/>
          <w:szCs w:val="20"/>
          <w:color w:val="auto"/>
        </w:rPr>
      </w:pPr>
    </w:p>
    <w:p>
      <w:pPr>
        <w:jc w:val="both"/>
        <w:ind w:firstLine="8"/>
        <w:spacing w:after="0" w:line="266" w:lineRule="auto"/>
        <w:tabs>
          <w:tab w:leader="none" w:pos="151" w:val="left"/>
        </w:tabs>
        <w:numPr>
          <w:ilvl w:val="0"/>
          <w:numId w:val="9"/>
        </w:numPr>
        <w:rPr>
          <w:rFonts w:ascii="Arial" w:cs="Arial" w:eastAsia="Arial" w:hAnsi="Arial"/>
          <w:sz w:val="17"/>
          <w:szCs w:val="17"/>
          <w:color w:val="auto"/>
          <w:vertAlign w:val="superscript"/>
        </w:rPr>
      </w:pPr>
      <w:r>
        <w:rPr>
          <w:rFonts w:ascii="Arial" w:cs="Arial" w:eastAsia="Arial" w:hAnsi="Arial"/>
          <w:sz w:val="13"/>
          <w:szCs w:val="13"/>
          <w:color w:val="auto"/>
        </w:rPr>
        <w:t>During the nine and three months ended September 30, 2023, 736,173 and 416,123 shares of unvested restricted stock and RSUs were excluded from the computation of diluted earnings per share because their effect would have been anti-dilutive, respectively. During the nine and three months ended September 30, 2022, 594,312 and 546,164 shares of unvested restricted stock and RSUs were excluded from the computation of diluted earnings per share because their effect would have been anti-dilutive,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189"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The Company is involved in litigation and claims that are incidental to its business. Although the outcome of these matters cannot be determined at the present time, management of the Company believes that the ultimate resolution of these matters will not have a material adverse effect on the Company’s consolidated financial position, results of operations or cash flows.</w:t>
      </w:r>
    </w:p>
    <w:p>
      <w:pPr>
        <w:spacing w:after="0" w:line="14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From time to time, the Company has received inquiries from a number of state and local taxing agencies with respect to the remittance of sales, use, telecommunications, excise, and income taxes. Several jurisdictions are currently conducting tax audits of the Company's records. The Company collects, or has accrued for, taxes that it believes are required to be remitted. The amounts that have been remitted have historically been within the accruals established by the Company. The Company adjusts its accrual when facts relating to specific exposures warrant such adjustment. As of September 30, 2023 and December 31, 2022, we recorded liabilities of $0.3 million and $0.4 million, respectively, in accrued taxes on the condensed consolidated balance sheets for non-income tax matters that were probable and reasonably estimable.</w:t>
      </w:r>
    </w:p>
    <w:p>
      <w:pPr>
        <w:spacing w:after="0" w:line="15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August 2023, the Company committed to make a $10.0 million donation to The Nature Conservancy. For the nine and three months ended September 30, 2023, the Company recorded expense of $10.0 million and $10.0 million, respectively, within selling, general and administrative expenses on our condensed consolidated statements of comprehensive income. As of September 30, 2023, we recorded a liability of $10.0 million in accrued other expense on our condensed consolidated balance sheet.</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Arhaus,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Related Party Transactions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Leasing transactio</w:t>
      </w:r>
      <w:r>
        <w:rPr>
          <w:rFonts w:ascii="Arial" w:cs="Arial" w:eastAsia="Arial" w:hAnsi="Arial"/>
          <w:sz w:val="18"/>
          <w:szCs w:val="18"/>
          <w:color w:val="auto"/>
        </w:rPr>
        <w:t>ns</w:t>
      </w:r>
    </w:p>
    <w:p>
      <w:pPr>
        <w:spacing w:after="0" w:line="198"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In November 2000, the Company entered into a lease agreement with Pagoda Partners, LLC, a company of which John Reed, our CEO, indirectly owns 50%, for our warehouse in Walton Hills, Ohio. The base lease term was 17 years with a 5-year renewal option. In August 2020, the Company amended the lease agreement to extend the lease term to April 2024. The monthly rental payments are $0.1 million. In July 2023, the Company amended the lease agreement to extend the lease term to April 2034 with one additional 5-year renewal option. The monthly rental payments range from $0.1 million to $0.2 million. Rent expense was $1.1 million and $1.0 million for the nine months ended September 30, 2023 and 2022, respectively. Rent expense was $0.4 million and $0.3 million for the three months ended September 30, 2023 and 2022, respectively.</w:t>
      </w:r>
    </w:p>
    <w:p>
      <w:pPr>
        <w:spacing w:after="0" w:line="137"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In July 2010, the Company entered into a lease agreement with Brooklyn Arhaus, a company of which our CEO and Mr. Beargie, a Director of the Company, own 85% and 15%, respectively, for our Outlet in Brooklyn, Ohio. The base lease term is 15 years with no lease renewal options. The monthly rental payments are $20 thousand. Rent expense was $0.2 million and $0.2 million for the nine months ended September 30, 2023 and 2022, respectively. Rent expense was $0.1 million and $0.1 million for the three months ended September 30, 2023 and 2022, respectively.</w:t>
      </w:r>
    </w:p>
    <w:p>
      <w:pPr>
        <w:spacing w:after="0" w:line="131"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In March 2021, the Company entered into a lease agreement with Premier Conover, LLC, a company of which our CEO indirectly owns 40%, for a distribution center and manufacturing building, for which construction was completed in the fourth quarter of 2021. The base lease term is for 12 years, with a 10-year renewal option and two additional 5-year renewal options at the higher of the minimum base rent or the fair market rent at the time of renewal execution. The monthly rental payments range from $0.2 million to $0.3 million during the 12-year base lease term and from $0.4 million to $0.5 million during the 10-year renewal period. Rent expense was $3.0 million and $2.8 million for the nine months ended September 30, 2023 and 2022, respectively. Rent expense was $1.0 million and $1.0 million for the three months ended September 30, 2023 and 2022, respectively.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transactions</w:t>
      </w:r>
    </w:p>
    <w:p>
      <w:pPr>
        <w:spacing w:after="0" w:line="185" w:lineRule="exact"/>
        <w:rPr>
          <w:sz w:val="20"/>
          <w:szCs w:val="20"/>
          <w:color w:val="auto"/>
        </w:rPr>
      </w:pPr>
    </w:p>
    <w:p>
      <w:pPr>
        <w:ind w:right="680"/>
        <w:spacing w:after="0" w:line="308" w:lineRule="auto"/>
        <w:rPr>
          <w:sz w:val="20"/>
          <w:szCs w:val="20"/>
          <w:color w:val="auto"/>
        </w:rPr>
      </w:pPr>
      <w:r>
        <w:rPr>
          <w:rFonts w:ascii="Arial" w:cs="Arial" w:eastAsia="Arial" w:hAnsi="Arial"/>
          <w:sz w:val="17"/>
          <w:szCs w:val="17"/>
          <w:color w:val="auto"/>
        </w:rPr>
        <w:t>The accounts payable due to related parties for state and federal income tax refunds were $2.4 million and $1.8 million at September 30, 2023 and December 31, 2022, respectively, and are included within accounts payable on the condensed consolidated balance sheets.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20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Income tax expenses were $31.8 million and $27.9 million in the nine months ended September 30, 2023 and 2022, respectively. Income tax expenses were $5.3 million and $9.6 million in the three months ended September 30, 2023 and 2022, respectively. The effective tax rate was 25.3% and 23.7% for the nine months ended September 30, 2023 and 2022, respectively. The effective tax rate was 21.2% and 20.6% for the three months ended September 30, 2023 and 2022, respectively.</w:t>
      </w:r>
    </w:p>
    <w:p>
      <w:pPr>
        <w:spacing w:after="0" w:line="133" w:lineRule="exact"/>
        <w:rPr>
          <w:sz w:val="20"/>
          <w:szCs w:val="20"/>
          <w:color w:val="auto"/>
        </w:rPr>
      </w:pPr>
    </w:p>
    <w:p>
      <w:pPr>
        <w:jc w:val="both"/>
        <w:ind w:right="340"/>
        <w:spacing w:after="0" w:line="270" w:lineRule="auto"/>
        <w:rPr>
          <w:sz w:val="20"/>
          <w:szCs w:val="20"/>
          <w:color w:val="auto"/>
        </w:rPr>
      </w:pPr>
      <w:r>
        <w:rPr>
          <w:rFonts w:ascii="Arial" w:cs="Arial" w:eastAsia="Arial" w:hAnsi="Arial"/>
          <w:sz w:val="17"/>
          <w:szCs w:val="17"/>
          <w:color w:val="auto"/>
        </w:rPr>
        <w:t>As of September 30, 2023, no unrecognized tax benefits have been recognized. The Company files income tax returns in the U.S. and various state and local jurisdictions. The tax years after 2018 remain open to examination by the state taxing jurisdictions in which the Company is subject to tax. As of September 30, 2023, the Company was not under examination by the Internal Revenue Service or any state tax jurisdiction.</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02"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condensed consolidated financial statements and the related notes included elsewhere in this Form 10-Q and our Annual Report on Form 10-K for the year ended December 31, 2022. This Quarterly Report on Form 10-Q contains forward looking statements that involve risks and uncertainties, as well as assumptions that, if they do not fully materialize or are proven incorrect, could cause our business and results of operations to differ materially from those expressed or implied by such forward-looking statements. Forward-looking statements can generally be identified by the use of forward-looking terminology, including, but not limited to, “may,” “could,” “seek,” “guidance,” “predict,” “potential,” “likely,” “believe,” “will,” “expect,” “anticipate,” “estimate,” “plan,” “intend,” “believe,” “forecast,” or variations of these terms and similar expressions, or the negative of these terms or similar expressions. Past performance is not a guarantee of future results or returns and no representation or warranty is made regarding future performance. Such forward-looking statements involve known and unknown risks, uncertainties and other important factors beyond our control that could cause our actual results, performance or achievements to be materially different from the expected results, performance or achievements expressed or implied by such forward-looking statements. Such factors include, but are not limited to, the following:</w:t>
      </w:r>
    </w:p>
    <w:p>
      <w:pPr>
        <w:spacing w:after="0" w:line="141"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manage and maintain the growth rate of our business;</w:t>
      </w:r>
    </w:p>
    <w:p>
      <w:pPr>
        <w:spacing w:after="0" w:line="23" w:lineRule="exact"/>
        <w:rPr>
          <w:rFonts w:ascii="Arial" w:cs="Arial" w:eastAsia="Arial" w:hAnsi="Arial"/>
          <w:sz w:val="18"/>
          <w:szCs w:val="18"/>
          <w:i w:val="1"/>
          <w:iCs w:val="1"/>
          <w:color w:val="auto"/>
        </w:rPr>
      </w:pPr>
    </w:p>
    <w:p>
      <w:pPr>
        <w:ind w:left="660" w:hanging="328"/>
        <w:spacing w:after="0"/>
        <w:tabs>
          <w:tab w:leader="none" w:pos="66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obtain quality merchandise in sufficient quantities;</w:t>
      </w:r>
    </w:p>
    <w:p>
      <w:pPr>
        <w:spacing w:after="0" w:line="9" w:lineRule="exact"/>
        <w:rPr>
          <w:rFonts w:ascii="Arial" w:cs="Arial" w:eastAsia="Arial" w:hAnsi="Arial"/>
          <w:sz w:val="18"/>
          <w:szCs w:val="18"/>
          <w:i w:val="1"/>
          <w:iCs w:val="1"/>
          <w:color w:val="auto"/>
        </w:rPr>
      </w:pPr>
    </w:p>
    <w:p>
      <w:pPr>
        <w:ind w:left="660" w:right="120" w:hanging="328"/>
        <w:spacing w:after="0" w:line="250" w:lineRule="auto"/>
        <w:tabs>
          <w:tab w:leader="none" w:pos="655"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Disruption in our receiving and distribution system, including delays in the integration of our new distribution centers and the possibility that we may not realize the anticipated benefits of multiple distribution centers;</w:t>
      </w:r>
    </w:p>
    <w:p>
      <w:pPr>
        <w:ind w:left="660" w:hanging="328"/>
        <w:spacing w:after="0"/>
        <w:tabs>
          <w:tab w:leader="none" w:pos="66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The possibility of cyberattacks and our ability to maintain adequate cybersecurity systems and procedures;</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Loss, corruption and misappropriation of data and information relating to clients and employees;</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Changes in and compliance with applicable data privacy rules and regulations;</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Risks as a result of constraints in our supply chain;</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A failure of our vendors to meet our quality standards;</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10"/>
        </w:numPr>
        <w:rPr>
          <w:rFonts w:ascii="Arial" w:cs="Arial" w:eastAsia="Arial" w:hAnsi="Arial"/>
          <w:sz w:val="17"/>
          <w:szCs w:val="17"/>
          <w:i w:val="1"/>
          <w:iCs w:val="1"/>
          <w:color w:val="auto"/>
        </w:rPr>
      </w:pPr>
      <w:r>
        <w:rPr>
          <w:rFonts w:ascii="Arial" w:cs="Arial" w:eastAsia="Arial" w:hAnsi="Arial"/>
          <w:sz w:val="17"/>
          <w:szCs w:val="17"/>
          <w:i w:val="1"/>
          <w:iCs w:val="1"/>
          <w:color w:val="auto"/>
        </w:rPr>
        <w:t>Declines in general economic conditions that affect consumer confidence and consumer spending that could adversely affect our revenue;</w:t>
      </w:r>
    </w:p>
    <w:p>
      <w:pPr>
        <w:spacing w:after="0" w:line="20" w:lineRule="exact"/>
        <w:rPr>
          <w:rFonts w:ascii="Arial" w:cs="Arial" w:eastAsia="Arial" w:hAnsi="Arial"/>
          <w:sz w:val="17"/>
          <w:szCs w:val="17"/>
          <w:i w:val="1"/>
          <w:iCs w:val="1"/>
          <w:color w:val="auto"/>
        </w:rPr>
      </w:pPr>
    </w:p>
    <w:p>
      <w:pPr>
        <w:ind w:left="660" w:hanging="328"/>
        <w:spacing w:after="0"/>
        <w:tabs>
          <w:tab w:leader="none" w:pos="66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anticipate changes in consumer preferences;</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Risks related to maintaining and increasing Showroom traffic and sales;</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compete in our market;</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adequately protect our intellectual property;</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Compliance with applicable governmental regulations;</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Effectively managing our eCommerce business and digital marketing efforts;</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Our reliance on third-party transportation carriers and risks associated with freight and transportation costs;</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The COVID-19 pandemic and its effect on our business; and</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Compliance with SEC rules and regulations as a public reporting company.</w:t>
      </w:r>
    </w:p>
    <w:p>
      <w:pPr>
        <w:spacing w:after="0" w:line="17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i w:val="1"/>
          <w:iCs w:val="1"/>
          <w:color w:val="auto"/>
        </w:rPr>
        <w:t>The risks, uncertainties and assumptions referred to above that could cause our results to differ materially from the results expressed or implied by such forward-looking statements include, but are not limited to, those discussed under Item 1A. Risk Factors, Item 7. Management's Discussion and Analysis of Financial Condition and Results of Operations, and elsewhere in our Annual Report on Form 10-K for the year ended December 31, 2022. All forward-looking statements included in this document are based on information available to us as of the date hereof, and we assume no obligation to update these forward-looking statements. These statements are based on information available to us as of the date of this Form 10-Q.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51" w:lineRule="exact"/>
        <w:rPr>
          <w:sz w:val="20"/>
          <w:szCs w:val="20"/>
          <w:color w:val="auto"/>
        </w:rPr>
      </w:pPr>
    </w:p>
    <w:p>
      <w:pPr>
        <w:ind w:right="880"/>
        <w:spacing w:after="0" w:line="342" w:lineRule="auto"/>
        <w:rPr>
          <w:sz w:val="20"/>
          <w:szCs w:val="20"/>
          <w:color w:val="auto"/>
        </w:rPr>
      </w:pPr>
      <w:r>
        <w:rPr>
          <w:rFonts w:ascii="Arial" w:cs="Arial" w:eastAsia="Arial" w:hAnsi="Arial"/>
          <w:sz w:val="16"/>
          <w:szCs w:val="16"/>
          <w:i w:val="1"/>
          <w:iCs w:val="1"/>
          <w:color w:val="auto"/>
        </w:rPr>
        <w:t>The following discussion contains references to the nine and three months ended September 30, 2023 and 2022, which represents the condensed consolidated financial results of Arhaus, Inc. and subsidiaries for the nine and three months ended September 30, 2023 and 2022, respectively.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Arhaus is a rapidly growing lifestyle brand and premium retailer in the U.S. home furnishings market, specializing in livable luxury supported by globally-sourced, heirloom-quality merchandise. We offer a differentiated direct-to-consumer approach to furniture and décor. Our curated assortments are presented across our sales channels in sophisticated, family friendly and unique lifestyle settings. We offer merchandise assortments across a number of categories, including furniture,</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lighting, textiles, décor, and outdoor. Our products, designed to be used and enjoyed throughout the home, are sourced directly from factories and vendors with no wholesale or dealer markup, allowing us to offer an exclusive assortment at an attractive value. Our direct sourcing network consists of more than 400 vendors, some of whom we have had relationships with since our founding. Our product development teams work alongside our direct sourcing partners to bring to market proprietary merchandise that is a great value to clients, while delivering attractive margins.</w:t>
      </w:r>
    </w:p>
    <w:p>
      <w:pPr>
        <w:spacing w:after="0" w:line="144" w:lineRule="exact"/>
        <w:rPr>
          <w:sz w:val="20"/>
          <w:szCs w:val="20"/>
          <w:color w:val="auto"/>
        </w:rPr>
      </w:pPr>
    </w:p>
    <w:p>
      <w:pPr>
        <w:ind w:right="220"/>
        <w:spacing w:after="0" w:line="275" w:lineRule="auto"/>
        <w:rPr>
          <w:sz w:val="20"/>
          <w:szCs w:val="20"/>
          <w:color w:val="auto"/>
        </w:rPr>
      </w:pPr>
      <w:r>
        <w:rPr>
          <w:rFonts w:ascii="Arial" w:cs="Arial" w:eastAsia="Arial" w:hAnsi="Arial"/>
          <w:sz w:val="17"/>
          <w:szCs w:val="17"/>
          <w:color w:val="auto"/>
        </w:rPr>
        <w:t>We believe in providing a dynamic and welcoming experience in our Showrooms and online with the conviction that retail is theater. Our national omni-channel business positions our retail locations as Showrooms for our brand, while our website acts as a virtual extension of our Showrooms. Our theater-like Showrooms are highly inspirational and function as an invaluable brand awareness vehicle. Our seasoned sales associates and in-home designers provide expert advice and assistance to our client base that drives significant client engagement. Our omni-channel model allows clients to begin or end their shopping journey online, while also experiencing our theater-like Showrooms throughout the shopping journey.</w:t>
      </w:r>
    </w:p>
    <w:p>
      <w:pPr>
        <w:spacing w:after="0" w:line="13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have one reportable segment as of September 30, 2023. At September 30, 2023, we operated 86 Showrooms, 71 with in-home interior designers. At December 31, 2022, we operated 81 Showrooms, 65 with in-home interior designers.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tcBorders>
              <w:bottom w:val="single" w:sz="8" w:color="CCEEFF"/>
            </w:tcBorders>
          </w:tcPr>
          <w:p>
            <w:pPr>
              <w:spacing w:after="0"/>
              <w:rPr>
                <w:sz w:val="20"/>
                <w:szCs w:val="20"/>
                <w:color w:val="auto"/>
              </w:rPr>
            </w:pPr>
          </w:p>
        </w:tc>
        <w:tc>
          <w:tcPr>
            <w:tcW w:w="2020" w:type="dxa"/>
            <w:vAlign w:val="bottom"/>
            <w:tcBorders>
              <w:bottom w:val="single" w:sz="8" w:color="auto"/>
            </w:tcBorders>
          </w:tcPr>
          <w:p>
            <w:pPr>
              <w:ind w:left="500"/>
              <w:spacing w:after="0"/>
              <w:rPr>
                <w:sz w:val="20"/>
                <w:szCs w:val="20"/>
                <w:color w:val="auto"/>
              </w:rPr>
            </w:pPr>
            <w:r>
              <w:rPr>
                <w:rFonts w:ascii="Arial" w:cs="Arial" w:eastAsia="Arial" w:hAnsi="Arial"/>
                <w:sz w:val="18"/>
                <w:szCs w:val="18"/>
                <w:b w:val="1"/>
                <w:bCs w:val="1"/>
                <w:color w:val="231F20"/>
                <w:w w:val="89"/>
              </w:rPr>
              <w:t>September 30, 2023</w:t>
            </w:r>
          </w:p>
        </w:tc>
        <w:tc>
          <w:tcPr>
            <w:tcW w:w="4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9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231F20"/>
              </w:rPr>
              <w:t>December 31, 2022</w:t>
            </w:r>
          </w:p>
        </w:tc>
      </w:tr>
      <w:tr>
        <w:trPr>
          <w:trHeight w:val="250"/>
        </w:trPr>
        <w:tc>
          <w:tcPr>
            <w:tcW w:w="508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Traditional showrooms</w:t>
            </w:r>
          </w:p>
        </w:tc>
        <w:tc>
          <w:tcPr>
            <w:tcW w:w="202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21"/>
                <w:szCs w:val="21"/>
                <w:color w:val="auto"/>
              </w:rPr>
            </w:pPr>
          </w:p>
        </w:tc>
        <w:tc>
          <w:tcPr>
            <w:tcW w:w="2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43"/>
        </w:trPr>
        <w:tc>
          <w:tcPr>
            <w:tcW w:w="7100" w:type="dxa"/>
            <w:vAlign w:val="bottom"/>
            <w:gridSpan w:val="2"/>
          </w:tcPr>
          <w:p>
            <w:pPr>
              <w:ind w:left="60"/>
              <w:spacing w:after="0"/>
              <w:rPr>
                <w:sz w:val="20"/>
                <w:szCs w:val="20"/>
                <w:color w:val="auto"/>
              </w:rPr>
            </w:pPr>
            <w:r>
              <w:rPr>
                <w:rFonts w:ascii="Arial" w:cs="Arial" w:eastAsia="Arial" w:hAnsi="Arial"/>
                <w:sz w:val="18"/>
                <w:szCs w:val="18"/>
                <w:color w:val="231F20"/>
              </w:rPr>
              <w:t>Design Studios</w:t>
            </w:r>
          </w:p>
        </w:tc>
        <w:tc>
          <w:tcPr>
            <w:tcW w:w="4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9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71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231F20"/>
              </w:rPr>
              <w:t>Outlets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1"/>
                <w:szCs w:val="21"/>
                <w:color w:val="auto"/>
              </w:rPr>
            </w:pPr>
          </w:p>
        </w:tc>
        <w:tc>
          <w:tcPr>
            <w:tcW w:w="2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5080" w:type="dxa"/>
            <w:vAlign w:val="bottom"/>
          </w:tcPr>
          <w:p>
            <w:pPr>
              <w:ind w:left="60"/>
              <w:spacing w:after="0"/>
              <w:rPr>
                <w:sz w:val="20"/>
                <w:szCs w:val="20"/>
                <w:color w:val="auto"/>
              </w:rPr>
            </w:pPr>
            <w:r>
              <w:rPr>
                <w:rFonts w:ascii="Arial" w:cs="Arial" w:eastAsia="Arial" w:hAnsi="Arial"/>
                <w:sz w:val="18"/>
                <w:szCs w:val="18"/>
                <w:color w:val="231F20"/>
              </w:rPr>
              <w:t>Total Showroom locations</w:t>
            </w:r>
          </w:p>
        </w:tc>
        <w:tc>
          <w:tcPr>
            <w:tcW w:w="202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231F20"/>
              </w:rPr>
              <w:t>86</w:t>
            </w:r>
          </w:p>
        </w:tc>
        <w:tc>
          <w:tcPr>
            <w:tcW w:w="100" w:type="dxa"/>
            <w:vAlign w:val="bottom"/>
          </w:tcPr>
          <w:p>
            <w:pPr>
              <w:spacing w:after="0"/>
              <w:rPr>
                <w:sz w:val="19"/>
                <w:szCs w:val="19"/>
                <w:color w:val="auto"/>
              </w:rPr>
            </w:pPr>
          </w:p>
        </w:tc>
        <w:tc>
          <w:tcPr>
            <w:tcW w:w="2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231F20"/>
              </w:rPr>
              <w:t>81</w:t>
            </w: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920" w:type="dxa"/>
            <w:vAlign w:val="bottom"/>
            <w:tcBorders>
              <w:bottom w:val="single" w:sz="8" w:color="auto"/>
            </w:tcBorders>
          </w:tcPr>
          <w:p>
            <w:pPr>
              <w:spacing w:after="0" w:line="20" w:lineRule="exact"/>
              <w:rPr>
                <w:sz w:val="1"/>
                <w:szCs w:val="1"/>
                <w:color w:val="auto"/>
              </w:rPr>
            </w:pPr>
          </w:p>
        </w:tc>
      </w:tr>
      <w:tr>
        <w:trPr>
          <w:trHeight w:val="237"/>
        </w:trPr>
        <w:tc>
          <w:tcPr>
            <w:tcW w:w="508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Total square footage (in thousands)</w:t>
            </w:r>
          </w:p>
        </w:tc>
        <w:tc>
          <w:tcPr>
            <w:tcW w:w="202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84"/>
              </w:rPr>
              <w:t>1,371</w:t>
            </w:r>
          </w:p>
        </w:tc>
        <w:tc>
          <w:tcPr>
            <w:tcW w:w="100" w:type="dxa"/>
            <w:vAlign w:val="bottom"/>
            <w:shd w:val="clear" w:color="auto" w:fill="CCEEFF"/>
          </w:tcPr>
          <w:p>
            <w:pPr>
              <w:spacing w:after="0"/>
              <w:rPr>
                <w:sz w:val="20"/>
                <w:szCs w:val="20"/>
                <w:color w:val="auto"/>
              </w:rPr>
            </w:pPr>
          </w:p>
        </w:tc>
        <w:tc>
          <w:tcPr>
            <w:tcW w:w="29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1,308</w:t>
            </w:r>
          </w:p>
        </w:tc>
      </w:tr>
    </w:tbl>
    <w:p>
      <w:pPr>
        <w:spacing w:after="0" w:line="256"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For the nine months ended September 30, 2023, we generated $943.7 million of net revenue, $399.2 million of gross margin and $94.0 million of net and comprehensive income. For the three months ended September 30, 2023, we generated $326.2 million of net revenue, $130.9 million of gross margin and $19.7 million of net and comprehensive income.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Assess the Performance of Our Business</w:t>
      </w:r>
    </w:p>
    <w:p>
      <w:pPr>
        <w:spacing w:after="0" w:line="189"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In addition to U.S. GAAP results, this Form 10-Q contains references to the non-GAAP financial measures below. We use these non-GAAP measures to help assess the performance of our business, identify trends affecting our business, formulate business plans and make strategic decisions. In addition to our results determined in accordance with U.S. GAAP, we believe that providing these non-GAAP financial measures are useful to our investors as they present an informative supplemental view of our results from period to period by removing the effect of non-recurring items.</w:t>
      </w:r>
    </w:p>
    <w:p>
      <w:pPr>
        <w:spacing w:after="0" w:line="11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non-GAAP financial measures presented herein are specific to us and may not be comparable to similar measures disclosed by other companies because of differing methods used by other companies in calculating them. These measures are also not intended to be measures of free cash flow for management’s discretionary use, as they do not reflect tax payments, debt service requirements and certain other cash costs that may recur in the future, including, among other things, cash requirements for working capital needs. Management compensates for these limitations by relying on our U.S. GAAP results in addition to using these non-GAAP financial measures. The non-GAAP financial measures should not be construed as an inference that our future results will be unaffected by unusual or non-recurring items. We consider the following financial and operating measures that affect our results of operations:</w:t>
      </w:r>
    </w:p>
    <w:p>
      <w:pPr>
        <w:spacing w:after="0" w:line="168" w:lineRule="exact"/>
        <w:rPr>
          <w:sz w:val="20"/>
          <w:szCs w:val="20"/>
          <w:color w:val="auto"/>
        </w:rPr>
      </w:pPr>
    </w:p>
    <w:p>
      <w:pPr>
        <w:ind w:right="260"/>
        <w:spacing w:after="0" w:line="296" w:lineRule="auto"/>
        <w:rPr>
          <w:sz w:val="20"/>
          <w:szCs w:val="20"/>
          <w:color w:val="auto"/>
        </w:rPr>
      </w:pPr>
      <w:r>
        <w:rPr>
          <w:rFonts w:ascii="Arial" w:cs="Arial" w:eastAsia="Arial" w:hAnsi="Arial"/>
          <w:sz w:val="16"/>
          <w:szCs w:val="16"/>
          <w:i w:val="1"/>
          <w:iCs w:val="1"/>
          <w:color w:val="auto"/>
        </w:rPr>
        <w:t>Net Revenue and Demand</w:t>
      </w:r>
      <w:r>
        <w:rPr>
          <w:rFonts w:ascii="Arial" w:cs="Arial" w:eastAsia="Arial" w:hAnsi="Arial"/>
          <w:sz w:val="16"/>
          <w:szCs w:val="16"/>
          <w:color w:val="auto"/>
        </w:rPr>
        <w:t>. Net revenue is recognized when a client obtains control of the merchandise. We also track demand in our business which is a</w:t>
      </w:r>
      <w:r>
        <w:rPr>
          <w:rFonts w:ascii="Arial" w:cs="Arial" w:eastAsia="Arial" w:hAnsi="Arial"/>
          <w:sz w:val="16"/>
          <w:szCs w:val="16"/>
          <w:i w:val="1"/>
          <w:iCs w:val="1"/>
          <w:color w:val="auto"/>
        </w:rPr>
        <w:t xml:space="preserve"> </w:t>
      </w:r>
      <w:r>
        <w:rPr>
          <w:rFonts w:ascii="Arial" w:cs="Arial" w:eastAsia="Arial" w:hAnsi="Arial"/>
          <w:sz w:val="16"/>
          <w:szCs w:val="16"/>
          <w:color w:val="auto"/>
        </w:rPr>
        <w:t>key performance indicator linked to the level of client orders placed. Demand is an operating metric that we use to measure the dollar value of orders (based on purchase price) at the time the order is placed, net of the dollar value of cancellations and returns (based on unpaid purchase price and amount credited to client). These orders are recognized as net revenue when a client obtains control of the merchandise. Because demand is measured net of cancellations, all demand will eventually become net revenue, with appropriate reserves, when delivered to the client.</w:t>
      </w:r>
    </w:p>
    <w:p>
      <w:pPr>
        <w:spacing w:after="0" w:line="12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i w:val="1"/>
          <w:iCs w:val="1"/>
          <w:color w:val="auto"/>
        </w:rPr>
        <w:t>Comparable Growth</w:t>
      </w:r>
      <w:r>
        <w:rPr>
          <w:rFonts w:ascii="Arial" w:cs="Arial" w:eastAsia="Arial" w:hAnsi="Arial"/>
          <w:sz w:val="17"/>
          <w:szCs w:val="17"/>
          <w:color w:val="auto"/>
        </w:rPr>
        <w:t>. Comparable growth is the year-over-year percentage change of the dollar value of orders delivered (based on purchase price), net of</w:t>
      </w:r>
      <w:r>
        <w:rPr>
          <w:rFonts w:ascii="Arial" w:cs="Arial" w:eastAsia="Arial" w:hAnsi="Arial"/>
          <w:sz w:val="17"/>
          <w:szCs w:val="17"/>
          <w:i w:val="1"/>
          <w:iCs w:val="1"/>
          <w:color w:val="auto"/>
        </w:rPr>
        <w:t xml:space="preserve"> </w:t>
      </w:r>
      <w:r>
        <w:rPr>
          <w:rFonts w:ascii="Arial" w:cs="Arial" w:eastAsia="Arial" w:hAnsi="Arial"/>
          <w:sz w:val="17"/>
          <w:szCs w:val="17"/>
          <w:color w:val="auto"/>
        </w:rPr>
        <w:t>the dollar value of returns (based on amount credited to client), from comparable Showrooms and eCommerce, including through our catalogs and other mailings. This metric is a key performance indicator used by management to evaluate Showroom performance for locations that have been opened for at least 15 consecutive months, which enables management to view the performance of those Showrooms without the dollar value of orders delivered for new Showrooms being included. Comparable Showrooms are defined as permanent Showrooms open for at</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least 15 consecutive months, including relocations in the same market. Showrooms record demand immediately upon opening, while orders delivered take additional time because product must be delivered to the client. The dollar value of orders delivered for Outlet comparable locations is included.</w:t>
      </w:r>
    </w:p>
    <w:p>
      <w:pPr>
        <w:spacing w:after="0" w:line="97"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i w:val="1"/>
          <w:iCs w:val="1"/>
          <w:color w:val="auto"/>
        </w:rPr>
        <w:t>Demand Comparable Growth</w:t>
      </w:r>
      <w:r>
        <w:rPr>
          <w:rFonts w:ascii="Arial" w:cs="Arial" w:eastAsia="Arial" w:hAnsi="Arial"/>
          <w:sz w:val="16"/>
          <w:szCs w:val="16"/>
          <w:color w:val="auto"/>
        </w:rPr>
        <w:t>. Demand comparable growth is the year-over-year percentage change of demand from our comparable Showrooms and</w:t>
      </w:r>
      <w:r>
        <w:rPr>
          <w:rFonts w:ascii="Arial" w:cs="Arial" w:eastAsia="Arial" w:hAnsi="Arial"/>
          <w:sz w:val="16"/>
          <w:szCs w:val="16"/>
          <w:i w:val="1"/>
          <w:iCs w:val="1"/>
          <w:color w:val="auto"/>
        </w:rPr>
        <w:t xml:space="preserve"> </w:t>
      </w:r>
      <w:r>
        <w:rPr>
          <w:rFonts w:ascii="Arial" w:cs="Arial" w:eastAsia="Arial" w:hAnsi="Arial"/>
          <w:sz w:val="16"/>
          <w:szCs w:val="16"/>
          <w:color w:val="auto"/>
        </w:rPr>
        <w:t>eCommerce, including through our catalogs and other mailings. This metric is a key performance indicator used by management to evaluate Showroom demand performance for locations that have been opened for at least 13 consecutive months, which enables management to view the performance of those Showrooms without new Showroom demand included. For demand purposes, comparable Showrooms are defined as permanent Showrooms open for at least 13 consecutive months, including relocations in the same market. Outlet comparable location demand is included.</w:t>
      </w:r>
    </w:p>
    <w:p>
      <w:pPr>
        <w:spacing w:after="0" w:line="121"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Demand comparable growth provides insight into business levels in a particular period by comparing the dollar value of orders (based on purchase price) placed in that period to the prior comparable period. Although these orders do not result in net revenue until the order is delivered at a later point in time, management utilizes this metric to evaluate core performance.</w:t>
      </w:r>
    </w:p>
    <w:p>
      <w:pPr>
        <w:spacing w:after="0" w:line="14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Comparable growth is an additional measure that management utilizes to compare the dollar value of orders delivered (based on purchase price) in a period compared to the prior comparable period. Since delivery generally coincides with recognition of net revenue, with appropriate reserves, comparable growth trends will more closely track trends in reported net revenue than demand comparable growth trends. While increases or decreases in demand comparable growth will translate into increases or decreases in comparable growth over time, the trends do not necessarily correlate in any particular period. This is partially due to the general lag in time between when an order is placed and when an order is delivered. When the time gap from order to delivery increases, due to supply chain challenges for example, it may take longer for comparable growth to reflect demand comparable growth. Notwithstanding these limitations, management considers it useful to assess both measures together to get a more complete picture of overall performance trends, and believes these measures can be useful to investors for the same purpose, when viewed together with our reported results and other metrics.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Gross Margin. </w:t>
      </w:r>
      <w:r>
        <w:rPr>
          <w:rFonts w:ascii="Arial" w:cs="Arial" w:eastAsia="Arial" w:hAnsi="Arial"/>
          <w:sz w:val="18"/>
          <w:szCs w:val="18"/>
          <w:color w:val="auto"/>
        </w:rPr>
        <w:t>Gross margin is equal to our net revenue less cost of goods sold. Cost of goods sold includes the direct cost of purchased merchandise,</w:t>
      </w:r>
      <w:r>
        <w:rPr>
          <w:rFonts w:ascii="Arial" w:cs="Arial" w:eastAsia="Arial" w:hAnsi="Arial"/>
          <w:sz w:val="18"/>
          <w:szCs w:val="18"/>
          <w:i w:val="1"/>
          <w:iCs w:val="1"/>
          <w:color w:val="auto"/>
        </w:rPr>
        <w:t xml:space="preserve"> </w:t>
      </w:r>
      <w:r>
        <w:rPr>
          <w:rFonts w:ascii="Arial" w:cs="Arial" w:eastAsia="Arial" w:hAnsi="Arial"/>
          <w:sz w:val="18"/>
          <w:szCs w:val="18"/>
          <w:color w:val="auto"/>
        </w:rPr>
        <w:t>inventory shrinkage, inbound freight, all freight costs to get merchandise to our Showrooms, credit card fees, design, buying and allocation costs, our supply chain, such as product development and sourcing, occupancy costs related to Showroom operations, such as rent and common area maintenance for our leases, depreciation and amortization of leasehold improvements, equipment and other assets in our Showrooms. In addition, cost of goods sold includes all logistics costs associated with shipping product to our clients, partially offset by delivery fees collected from clients (recorded in net revenue on the condensed consolidated statements of comprehensive income).</w:t>
      </w:r>
    </w:p>
    <w:p>
      <w:pPr>
        <w:spacing w:after="0" w:line="216"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i w:val="1"/>
          <w:iCs w:val="1"/>
          <w:color w:val="auto"/>
        </w:rPr>
        <w:t xml:space="preserve">Selling, General and Administrative Expenses. </w:t>
      </w:r>
      <w:r>
        <w:rPr>
          <w:rFonts w:ascii="Arial" w:cs="Arial" w:eastAsia="Arial" w:hAnsi="Arial"/>
          <w:sz w:val="17"/>
          <w:szCs w:val="17"/>
          <w:color w:val="auto"/>
        </w:rPr>
        <w:t>Selling, general and administrative, or SG&amp;A, expenses include all operating costs not included in cost of</w:t>
      </w:r>
      <w:r>
        <w:rPr>
          <w:rFonts w:ascii="Arial" w:cs="Arial" w:eastAsia="Arial" w:hAnsi="Arial"/>
          <w:sz w:val="17"/>
          <w:szCs w:val="17"/>
          <w:i w:val="1"/>
          <w:iCs w:val="1"/>
          <w:color w:val="auto"/>
        </w:rPr>
        <w:t xml:space="preserve"> </w:t>
      </w:r>
      <w:r>
        <w:rPr>
          <w:rFonts w:ascii="Arial" w:cs="Arial" w:eastAsia="Arial" w:hAnsi="Arial"/>
          <w:sz w:val="17"/>
          <w:szCs w:val="17"/>
          <w:color w:val="auto"/>
        </w:rPr>
        <w:t>goods sold. These expenses include payroll and payroll related expenses, Showroom expenses other than occupancy and expenses related to many of our operations at our distribution centers and corporate headquarters, including marketing, information technology, legal, human resources, utilities and depreciation and amortization expense. Payroll includes both fixed compensation and variable compensation. Variable compensation includes Showroom commissions and Showroom bonus compensation related to demand, likely before the client obtains control of the merchandise. Variable compensation is not significant in our eCommerce channel. All new Showroom opening expenses, other than occupancy, are included in SG&amp;A expenses and are expensed as incurred. We expect certain of these expenses to continue to increase as we open new Showrooms, develop new product categories and otherwise pursue our current business initiatives. SG&amp;A expenses as a percentage of net revenue are usually higher in lower-volume quarters and lower in higher-volume quarters because a significant portion of the costs are relatively fixed.</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EBITDA. </w:t>
      </w:r>
      <w:r>
        <w:rPr>
          <w:rFonts w:ascii="Arial" w:cs="Arial" w:eastAsia="Arial" w:hAnsi="Arial"/>
          <w:sz w:val="16"/>
          <w:szCs w:val="16"/>
          <w:color w:val="auto"/>
        </w:rPr>
        <w:t>We define EBITDA as consolidated net income before depreciation and amortization, interest expense (income), net and income tax expense.</w:t>
      </w:r>
    </w:p>
    <w:p>
      <w:pPr>
        <w:spacing w:after="0" w:line="221"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i w:val="1"/>
          <w:iCs w:val="1"/>
          <w:color w:val="auto"/>
        </w:rPr>
        <w:t xml:space="preserve">Adjusted EBITDA. </w:t>
      </w:r>
      <w:r>
        <w:rPr>
          <w:rFonts w:ascii="Arial" w:cs="Arial" w:eastAsia="Arial" w:hAnsi="Arial"/>
          <w:sz w:val="16"/>
          <w:szCs w:val="16"/>
          <w:color w:val="auto"/>
        </w:rPr>
        <w:t>We believe that adjusted EBITDA is a useful measure of operating performance as the adjustments eliminate items that we believe are</w:t>
      </w:r>
      <w:r>
        <w:rPr>
          <w:rFonts w:ascii="Arial" w:cs="Arial" w:eastAsia="Arial" w:hAnsi="Arial"/>
          <w:sz w:val="16"/>
          <w:szCs w:val="16"/>
          <w:i w:val="1"/>
          <w:iCs w:val="1"/>
          <w:color w:val="auto"/>
        </w:rPr>
        <w:t xml:space="preserve"> </w:t>
      </w:r>
      <w:r>
        <w:rPr>
          <w:rFonts w:ascii="Arial" w:cs="Arial" w:eastAsia="Arial" w:hAnsi="Arial"/>
          <w:sz w:val="16"/>
          <w:szCs w:val="16"/>
          <w:color w:val="auto"/>
        </w:rPr>
        <w:t>not reflective of underlying operating performance in a particular period. Adjusted EBITDA facilitates a comparison of our operating performance on a consistent basis from period-to-period and provides for a more complete understanding of factors and trends affecting our business.</w:t>
      </w:r>
    </w:p>
    <w:p>
      <w:pPr>
        <w:spacing w:after="0" w:line="10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Because adjusted EBITDA omits certain non-cash items and items that we believe are not reflective of underlying operating performance in a particular period, we feel that it is less susceptible to variances in actual performance resulting from depreciation, amortization and other non-cash charges and can be more reflective of our operating performance in a</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particular period. We also use adjusted EBITDA as a method for planning and forecasting overall expected performance and for evaluating, on a quarterly and annual basis, actual results against such expectations.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our net and comprehensive income to EBITDA and adjusted EBITDA for the periods presented: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Nine months ended September 30,</w:t>
            </w: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8"/>
                <w:szCs w:val="18"/>
                <w:b w:val="1"/>
                <w:bCs w:val="1"/>
                <w:color w:val="auto"/>
                <w:w w:val="95"/>
              </w:rPr>
              <w:t>Three months ended September 30,</w:t>
            </w:r>
          </w:p>
        </w:tc>
      </w:tr>
      <w:tr>
        <w:trPr>
          <w:trHeight w:val="250"/>
        </w:trPr>
        <w:tc>
          <w:tcPr>
            <w:tcW w:w="3300" w:type="dxa"/>
            <w:vAlign w:val="bottom"/>
            <w:gridSpan w:val="2"/>
          </w:tcPr>
          <w:p>
            <w:pPr>
              <w:ind w:left="20"/>
              <w:spacing w:after="0"/>
              <w:rPr>
                <w:sz w:val="20"/>
                <w:szCs w:val="20"/>
                <w:color w:val="auto"/>
              </w:rPr>
            </w:pPr>
            <w:r>
              <w:rPr>
                <w:rFonts w:ascii="Arial" w:cs="Arial" w:eastAsia="Arial" w:hAnsi="Arial"/>
                <w:sz w:val="18"/>
                <w:szCs w:val="18"/>
                <w:b w:val="1"/>
                <w:bCs w:val="1"/>
                <w:color w:val="auto"/>
              </w:rPr>
              <w:t>(In thousands)</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b w:val="1"/>
                <w:bCs w:val="1"/>
                <w:color w:val="auto"/>
              </w:rPr>
              <w:t>2022</w:t>
            </w: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tcPr>
          <w:p>
            <w:pPr>
              <w:jc w:val="right"/>
              <w:ind w:right="63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20" w:type="dxa"/>
            <w:vAlign w:val="bottom"/>
          </w:tcPr>
          <w:p>
            <w:pPr>
              <w:jc w:val="right"/>
              <w:ind w:right="650"/>
              <w:spacing w:after="0"/>
              <w:rPr>
                <w:sz w:val="20"/>
                <w:szCs w:val="20"/>
                <w:color w:val="auto"/>
              </w:rPr>
            </w:pPr>
            <w:r>
              <w:rPr>
                <w:rFonts w:ascii="Arial" w:cs="Arial" w:eastAsia="Arial" w:hAnsi="Arial"/>
                <w:sz w:val="18"/>
                <w:szCs w:val="18"/>
                <w:b w:val="1"/>
                <w:bCs w:val="1"/>
                <w:color w:val="auto"/>
              </w:rPr>
              <w:t>2022</w:t>
            </w:r>
          </w:p>
        </w:tc>
      </w:tr>
      <w:tr>
        <w:trPr>
          <w:trHeight w:val="223"/>
        </w:trPr>
        <w:tc>
          <w:tcPr>
            <w:tcW w:w="3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ind w:right="105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94,023</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ind w:right="11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89,633</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19,741</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36,936</w:t>
            </w:r>
          </w:p>
        </w:tc>
      </w:tr>
      <w:tr>
        <w:trPr>
          <w:trHeight w:val="229"/>
        </w:trPr>
        <w:tc>
          <w:tcPr>
            <w:tcW w:w="3300" w:type="dxa"/>
            <w:vAlign w:val="bottom"/>
            <w:gridSpan w:val="2"/>
          </w:tcPr>
          <w:p>
            <w:pPr>
              <w:ind w:left="20"/>
              <w:spacing w:after="0"/>
              <w:rPr>
                <w:sz w:val="20"/>
                <w:szCs w:val="20"/>
                <w:color w:val="auto"/>
              </w:rPr>
            </w:pPr>
            <w:r>
              <w:rPr>
                <w:rFonts w:ascii="Arial" w:cs="Arial" w:eastAsia="Arial" w:hAnsi="Arial"/>
                <w:sz w:val="18"/>
                <w:szCs w:val="18"/>
                <w:color w:val="auto"/>
              </w:rPr>
              <w:t>Interest expense (income), net</w:t>
            </w:r>
          </w:p>
        </w:tc>
        <w:tc>
          <w:tcPr>
            <w:tcW w:w="1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(1,731)</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3,367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(1,080)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751</w:t>
            </w:r>
          </w:p>
        </w:tc>
      </w:tr>
      <w:tr>
        <w:trPr>
          <w:trHeight w:val="229"/>
        </w:trPr>
        <w:tc>
          <w:tcPr>
            <w:tcW w:w="3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31,771</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27,851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9,568</w:t>
            </w:r>
          </w:p>
        </w:tc>
      </w:tr>
      <w:tr>
        <w:trPr>
          <w:trHeight w:val="257"/>
        </w:trPr>
        <w:tc>
          <w:tcPr>
            <w:tcW w:w="33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Depreciation and amortization</w:t>
            </w:r>
          </w:p>
        </w:tc>
        <w:tc>
          <w:tcPr>
            <w:tcW w:w="12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21,439</w:t>
            </w:r>
          </w:p>
        </w:tc>
        <w:tc>
          <w:tcPr>
            <w:tcW w:w="10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18,319</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7,299</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6,324</w:t>
            </w:r>
          </w:p>
        </w:tc>
      </w:tr>
      <w:tr>
        <w:trPr>
          <w:trHeight w:val="250"/>
        </w:trPr>
        <w:tc>
          <w:tcPr>
            <w:tcW w:w="3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12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145,502</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139,170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31,257</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53,579</w:t>
            </w:r>
          </w:p>
        </w:tc>
      </w:tr>
      <w:tr>
        <w:trPr>
          <w:trHeight w:val="257"/>
        </w:trPr>
        <w:tc>
          <w:tcPr>
            <w:tcW w:w="3300" w:type="dxa"/>
            <w:vAlign w:val="bottom"/>
            <w:gridSpan w:val="2"/>
          </w:tcPr>
          <w:p>
            <w:pPr>
              <w:ind w:left="20"/>
              <w:spacing w:after="0"/>
              <w:rPr>
                <w:sz w:val="20"/>
                <w:szCs w:val="20"/>
                <w:color w:val="auto"/>
              </w:rPr>
            </w:pPr>
            <w:r>
              <w:rPr>
                <w:rFonts w:ascii="Arial" w:cs="Arial" w:eastAsia="Arial" w:hAnsi="Arial"/>
                <w:sz w:val="18"/>
                <w:szCs w:val="18"/>
                <w:color w:val="auto"/>
              </w:rPr>
              <w:t>Equity based compensation</w:t>
            </w:r>
          </w:p>
        </w:tc>
        <w:tc>
          <w:tcPr>
            <w:tcW w:w="12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5,752</w:t>
            </w: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2,613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1,848</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1,224</w:t>
            </w:r>
          </w:p>
        </w:tc>
      </w:tr>
      <w:tr>
        <w:trPr>
          <w:trHeight w:val="297"/>
        </w:trPr>
        <w:tc>
          <w:tcPr>
            <w:tcW w:w="3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Other expenses </w:t>
            </w:r>
            <w:r>
              <w:rPr>
                <w:rFonts w:ascii="Arial" w:cs="Arial" w:eastAsia="Arial" w:hAnsi="Arial"/>
                <w:sz w:val="23"/>
                <w:szCs w:val="23"/>
                <w:color w:val="auto"/>
                <w:vertAlign w:val="superscript"/>
              </w:rPr>
              <w:t>(1)</w:t>
            </w:r>
          </w:p>
        </w:tc>
        <w:tc>
          <w:tcPr>
            <w:tcW w:w="126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100" w:type="dxa"/>
            <w:vAlign w:val="bottom"/>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6,567</w:t>
            </w: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0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1,909</w:t>
            </w:r>
          </w:p>
        </w:tc>
      </w:tr>
      <w:tr>
        <w:trPr>
          <w:trHeight w:val="223"/>
        </w:trPr>
        <w:tc>
          <w:tcPr>
            <w:tcW w:w="3300" w:type="dxa"/>
            <w:vAlign w:val="bottom"/>
            <w:gridSpan w:val="2"/>
          </w:tcPr>
          <w:p>
            <w:pPr>
              <w:ind w:left="20"/>
              <w:spacing w:after="0"/>
              <w:rPr>
                <w:sz w:val="20"/>
                <w:szCs w:val="20"/>
                <w:color w:val="auto"/>
              </w:rPr>
            </w:pPr>
            <w:r>
              <w:rPr>
                <w:rFonts w:ascii="Arial" w:cs="Arial" w:eastAsia="Arial" w:hAnsi="Arial"/>
                <w:sz w:val="18"/>
                <w:szCs w:val="18"/>
                <w:color w:val="auto"/>
              </w:rPr>
              <w:t>Adjusted EBITDA</w:t>
            </w:r>
          </w:p>
        </w:tc>
        <w:tc>
          <w:tcPr>
            <w:tcW w:w="1260" w:type="dxa"/>
            <w:vAlign w:val="bottom"/>
            <w:tcBorders>
              <w:bottom w:val="single" w:sz="8" w:color="auto"/>
            </w:tcBorders>
          </w:tcPr>
          <w:p>
            <w:pPr>
              <w:jc w:val="right"/>
              <w:ind w:right="105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152,246</w:t>
            </w:r>
          </w:p>
        </w:tc>
        <w:tc>
          <w:tcPr>
            <w:tcW w:w="100" w:type="dxa"/>
            <w:vAlign w:val="bottom"/>
          </w:tcPr>
          <w:p>
            <w:pPr>
              <w:spacing w:after="0"/>
              <w:rPr>
                <w:sz w:val="19"/>
                <w:szCs w:val="19"/>
                <w:color w:val="auto"/>
              </w:rPr>
            </w:pPr>
          </w:p>
        </w:tc>
        <w:tc>
          <w:tcPr>
            <w:tcW w:w="1300" w:type="dxa"/>
            <w:vAlign w:val="bottom"/>
            <w:tcBorders>
              <w:bottom w:val="single" w:sz="8" w:color="auto"/>
            </w:tcBorders>
          </w:tcPr>
          <w:p>
            <w:pPr>
              <w:jc w:val="right"/>
              <w:ind w:right="11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148,350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33,660</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56,712</w:t>
            </w:r>
          </w:p>
        </w:tc>
      </w:tr>
      <w:tr>
        <w:trPr>
          <w:trHeight w:val="20"/>
        </w:trPr>
        <w:tc>
          <w:tcPr>
            <w:tcW w:w="3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1"/>
        </w:trPr>
        <w:tc>
          <w:tcPr>
            <w:tcW w:w="3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7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vertAlign w:val="superscript"/>
        </w:rPr>
        <w:t>(1)</w:t>
      </w:r>
      <w:r>
        <w:rPr>
          <w:rFonts w:ascii="Arial" w:cs="Arial" w:eastAsia="Arial" w:hAnsi="Arial"/>
          <w:sz w:val="14"/>
          <w:szCs w:val="14"/>
          <w:color w:val="auto"/>
        </w:rPr>
        <w:t>Other expenses represent costs and investments not indicative of ongoing business performance, such as public offering costs, third-party consulting costs, one-time project start-up costs, severance, signing bonuses, recruiting and project-based strategic initiatives. For the nine and three months ended September 30, 2023, these expenses largely consisted of $0.7 million and $0.6 million of public offering costs, respectively. For the nine and three months ended September 30, 2022, these expenses consisted largely of $4.6 million and $1.6 million of costs related to the opening and set-up of our Dallas distribution center, respectively.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the Comparability of our Results of Operations</w:t>
      </w:r>
    </w:p>
    <w:p>
      <w:pPr>
        <w:spacing w:after="0" w:line="18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Our results over the past two years have been affected by the following events, which must be understood in order to assess the comparability of our period-to-period financial performance and condition.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Showroom Openings and Closings</w:t>
      </w:r>
    </w:p>
    <w:p>
      <w:pPr>
        <w:spacing w:after="0" w:line="18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New Showrooms contribute incremental expense, new Showroom opening expense and net revenue to the Company. In the nine months ended September 30, 2023, we opened seven Showrooms and closed two Showrooms. The two Showroom closures in the nine months ended September 30, 2023, were related to relocations. During the year ended December 31, 2022, we opened four Showrooms and closed two Showrooms. Of the two Showroom closures in 2022, one was related to relocation in 2022.</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following tables summarize key components of our results of operations for the periods indicated. The following discussion should be read in conjunction with our condensed consolidated financial statements and related notes.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Condensed Consolidated Comprehensive Income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80" w:type="dxa"/>
            <w:vAlign w:val="bottom"/>
            <w:gridSpan w:val="5"/>
          </w:tcPr>
          <w:p>
            <w:pPr>
              <w:ind w:left="40"/>
              <w:spacing w:after="0"/>
              <w:rPr>
                <w:sz w:val="20"/>
                <w:szCs w:val="20"/>
                <w:color w:val="auto"/>
              </w:rPr>
            </w:pPr>
            <w:r>
              <w:rPr>
                <w:rFonts w:ascii="Arial" w:cs="Arial" w:eastAsia="Arial" w:hAnsi="Arial"/>
                <w:sz w:val="18"/>
                <w:szCs w:val="18"/>
                <w:b w:val="1"/>
                <w:bCs w:val="1"/>
                <w:color w:val="auto"/>
                <w:w w:val="98"/>
              </w:rPr>
              <w:t>Nine months ended September 30,</w:t>
            </w:r>
          </w:p>
        </w:tc>
        <w:tc>
          <w:tcPr>
            <w:tcW w:w="180" w:type="dxa"/>
            <w:vAlign w:val="bottom"/>
          </w:tcPr>
          <w:p>
            <w:pPr>
              <w:spacing w:after="0"/>
              <w:rPr>
                <w:sz w:val="20"/>
                <w:szCs w:val="20"/>
                <w:color w:val="auto"/>
              </w:rPr>
            </w:pPr>
          </w:p>
        </w:tc>
        <w:tc>
          <w:tcPr>
            <w:tcW w:w="3000" w:type="dxa"/>
            <w:vAlign w:val="bottom"/>
            <w:gridSpan w:val="4"/>
          </w:tcPr>
          <w:p>
            <w:pPr>
              <w:jc w:val="right"/>
              <w:ind w:right="130"/>
              <w:spacing w:after="0"/>
              <w:rPr>
                <w:sz w:val="20"/>
                <w:szCs w:val="20"/>
                <w:color w:val="auto"/>
              </w:rPr>
            </w:pPr>
            <w:r>
              <w:rPr>
                <w:rFonts w:ascii="Arial" w:cs="Arial" w:eastAsia="Arial" w:hAnsi="Arial"/>
                <w:sz w:val="18"/>
                <w:szCs w:val="18"/>
                <w:b w:val="1"/>
                <w:bCs w:val="1"/>
                <w:color w:val="auto"/>
                <w:w w:val="90"/>
              </w:rPr>
              <w:t>Three months ended September 30,</w:t>
            </w:r>
          </w:p>
        </w:tc>
      </w:tr>
      <w:tr>
        <w:trPr>
          <w:trHeight w:val="223"/>
        </w:trPr>
        <w:tc>
          <w:tcPr>
            <w:tcW w:w="4900" w:type="dxa"/>
            <w:vAlign w:val="bottom"/>
            <w:gridSpan w:val="2"/>
          </w:tcPr>
          <w:p>
            <w:pPr>
              <w:ind w:left="20"/>
              <w:spacing w:after="0"/>
              <w:rPr>
                <w:sz w:val="20"/>
                <w:szCs w:val="20"/>
                <w:color w:val="auto"/>
              </w:rPr>
            </w:pPr>
            <w:r>
              <w:rPr>
                <w:rFonts w:ascii="Arial" w:cs="Arial" w:eastAsia="Arial" w:hAnsi="Arial"/>
                <w:sz w:val="18"/>
                <w:szCs w:val="18"/>
                <w:b w:val="1"/>
                <w:bCs w:val="1"/>
                <w:color w:val="auto"/>
              </w:rPr>
              <w:t>(In thousands)</w:t>
            </w:r>
          </w:p>
        </w:tc>
        <w:tc>
          <w:tcPr>
            <w:tcW w:w="18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r>
      <w:tr>
        <w:trPr>
          <w:trHeight w:val="223"/>
        </w:trPr>
        <w:tc>
          <w:tcPr>
            <w:tcW w:w="4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943,696</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872,595</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326,229</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320,030</w:t>
            </w:r>
          </w:p>
        </w:tc>
      </w:tr>
      <w:tr>
        <w:trPr>
          <w:trHeight w:val="229"/>
        </w:trPr>
        <w:tc>
          <w:tcPr>
            <w:tcW w:w="49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Cost of goods sold</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544,481</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505,561</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195,372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183,739</w:t>
            </w:r>
          </w:p>
        </w:tc>
      </w:tr>
      <w:tr>
        <w:trPr>
          <w:trHeight w:val="223"/>
        </w:trPr>
        <w:tc>
          <w:tcPr>
            <w:tcW w:w="4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Gross margin</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399,215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367,034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136,291</w:t>
            </w:r>
          </w:p>
        </w:tc>
      </w:tr>
      <w:tr>
        <w:trPr>
          <w:trHeight w:val="229"/>
        </w:trPr>
        <w:tc>
          <w:tcPr>
            <w:tcW w:w="49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275,890</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246,767</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106,977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89,145</w:t>
            </w:r>
          </w:p>
        </w:tc>
      </w:tr>
      <w:tr>
        <w:trPr>
          <w:trHeight w:val="223"/>
        </w:trPr>
        <w:tc>
          <w:tcPr>
            <w:tcW w:w="4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Income from operations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123,325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120,267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47,146</w:t>
            </w:r>
          </w:p>
        </w:tc>
      </w:tr>
      <w:tr>
        <w:trPr>
          <w:trHeight w:val="229"/>
        </w:trPr>
        <w:tc>
          <w:tcPr>
            <w:tcW w:w="4900" w:type="dxa"/>
            <w:vAlign w:val="bottom"/>
            <w:gridSpan w:val="2"/>
          </w:tcPr>
          <w:p>
            <w:pPr>
              <w:ind w:left="20"/>
              <w:spacing w:after="0"/>
              <w:rPr>
                <w:sz w:val="20"/>
                <w:szCs w:val="20"/>
                <w:color w:val="auto"/>
              </w:rPr>
            </w:pPr>
            <w:r>
              <w:rPr>
                <w:rFonts w:ascii="Arial" w:cs="Arial" w:eastAsia="Arial" w:hAnsi="Arial"/>
                <w:sz w:val="18"/>
                <w:szCs w:val="18"/>
                <w:color w:val="auto"/>
              </w:rPr>
              <w:t>Interest expense (income), net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(1,731)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3,367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751</w:t>
            </w:r>
          </w:p>
        </w:tc>
      </w:tr>
      <w:tr>
        <w:trPr>
          <w:trHeight w:val="230"/>
        </w:trPr>
        <w:tc>
          <w:tcPr>
            <w:tcW w:w="4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23"/>
        </w:trPr>
        <w:tc>
          <w:tcPr>
            <w:tcW w:w="4900" w:type="dxa"/>
            <w:vAlign w:val="bottom"/>
            <w:gridSpan w:val="2"/>
          </w:tcPr>
          <w:p>
            <w:pPr>
              <w:ind w:left="180"/>
              <w:spacing w:after="0"/>
              <w:rPr>
                <w:sz w:val="20"/>
                <w:szCs w:val="20"/>
                <w:color w:val="auto"/>
              </w:rPr>
            </w:pPr>
            <w:r>
              <w:rPr>
                <w:rFonts w:ascii="Arial" w:cs="Arial" w:eastAsia="Arial" w:hAnsi="Arial"/>
                <w:sz w:val="18"/>
                <w:szCs w:val="18"/>
                <w:color w:val="auto"/>
              </w:rPr>
              <w:t>Income before taxes</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125,794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117,484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25,038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46,504</w:t>
            </w:r>
          </w:p>
        </w:tc>
      </w:tr>
      <w:tr>
        <w:trPr>
          <w:trHeight w:val="230"/>
        </w:trPr>
        <w:tc>
          <w:tcPr>
            <w:tcW w:w="4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31,771</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27,851</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9,568</w:t>
            </w:r>
          </w:p>
        </w:tc>
      </w:tr>
      <w:tr>
        <w:trPr>
          <w:trHeight w:val="223"/>
        </w:trPr>
        <w:tc>
          <w:tcPr>
            <w:tcW w:w="4900" w:type="dxa"/>
            <w:vAlign w:val="bottom"/>
            <w:gridSpan w:val="2"/>
          </w:tcPr>
          <w:p>
            <w:pPr>
              <w:ind w:left="180"/>
              <w:spacing w:after="0"/>
              <w:rPr>
                <w:sz w:val="20"/>
                <w:szCs w:val="20"/>
                <w:color w:val="auto"/>
              </w:rPr>
            </w:pPr>
            <w:r>
              <w:rPr>
                <w:rFonts w:ascii="Arial" w:cs="Arial" w:eastAsia="Arial" w:hAnsi="Arial"/>
                <w:sz w:val="18"/>
                <w:szCs w:val="18"/>
                <w:color w:val="auto"/>
              </w:rPr>
              <w:t>Net and comprehensive income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94,023</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89,633</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19,741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36,936</w:t>
            </w:r>
          </w:p>
        </w:tc>
      </w:tr>
      <w:tr>
        <w:trPr>
          <w:trHeight w:val="21"/>
        </w:trPr>
        <w:tc>
          <w:tcPr>
            <w:tcW w:w="4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871"/>
        </w:trPr>
        <w:tc>
          <w:tcPr>
            <w:tcW w:w="4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15"/>
        </w:trPr>
        <w:tc>
          <w:tcPr>
            <w:tcW w:w="48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80" w:type="dxa"/>
            <w:vAlign w:val="bottom"/>
            <w:gridSpan w:val="2"/>
          </w:tcPr>
          <w:p>
            <w:pPr>
              <w:spacing w:after="0"/>
              <w:rPr>
                <w:sz w:val="20"/>
                <w:szCs w:val="20"/>
                <w:color w:val="auto"/>
              </w:rPr>
            </w:pPr>
            <w:r>
              <w:rPr>
                <w:rFonts w:ascii="Arial" w:cs="Arial" w:eastAsia="Arial" w:hAnsi="Arial"/>
                <w:sz w:val="18"/>
                <w:szCs w:val="18"/>
                <w:b w:val="1"/>
                <w:bCs w:val="1"/>
                <w:color w:val="auto"/>
              </w:rPr>
              <w:t>Other Operational Data:</w:t>
            </w: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445"/>
        </w:trPr>
        <w:tc>
          <w:tcPr>
            <w:tcW w:w="4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20" w:type="dxa"/>
            <w:vAlign w:val="bottom"/>
            <w:gridSpan w:val="5"/>
          </w:tcPr>
          <w:p>
            <w:pPr>
              <w:ind w:left="100"/>
              <w:spacing w:after="0"/>
              <w:rPr>
                <w:sz w:val="20"/>
                <w:szCs w:val="20"/>
                <w:color w:val="auto"/>
              </w:rPr>
            </w:pPr>
            <w:r>
              <w:rPr>
                <w:rFonts w:ascii="Arial" w:cs="Arial" w:eastAsia="Arial" w:hAnsi="Arial"/>
                <w:sz w:val="18"/>
                <w:szCs w:val="18"/>
                <w:b w:val="1"/>
                <w:bCs w:val="1"/>
                <w:color w:val="auto"/>
              </w:rPr>
              <w:t>Nine months ended September 30,</w:t>
            </w:r>
          </w:p>
        </w:tc>
        <w:tc>
          <w:tcPr>
            <w:tcW w:w="180" w:type="dxa"/>
            <w:vAlign w:val="bottom"/>
          </w:tcPr>
          <w:p>
            <w:pPr>
              <w:spacing w:after="0"/>
              <w:rPr>
                <w:sz w:val="24"/>
                <w:szCs w:val="24"/>
                <w:color w:val="auto"/>
              </w:rPr>
            </w:pPr>
          </w:p>
        </w:tc>
        <w:tc>
          <w:tcPr>
            <w:tcW w:w="3060" w:type="dxa"/>
            <w:vAlign w:val="bottom"/>
            <w:gridSpan w:val="4"/>
          </w:tcPr>
          <w:p>
            <w:pPr>
              <w:jc w:val="right"/>
              <w:ind w:right="170"/>
              <w:spacing w:after="0"/>
              <w:rPr>
                <w:sz w:val="20"/>
                <w:szCs w:val="20"/>
                <w:color w:val="auto"/>
              </w:rPr>
            </w:pPr>
            <w:r>
              <w:rPr>
                <w:rFonts w:ascii="Arial" w:cs="Arial" w:eastAsia="Arial" w:hAnsi="Arial"/>
                <w:sz w:val="18"/>
                <w:szCs w:val="18"/>
                <w:b w:val="1"/>
                <w:bCs w:val="1"/>
                <w:color w:val="auto"/>
                <w:w w:val="91"/>
              </w:rPr>
              <w:t>Three months ended September 30,</w:t>
            </w:r>
          </w:p>
        </w:tc>
      </w:tr>
      <w:tr>
        <w:trPr>
          <w:trHeight w:val="250"/>
        </w:trPr>
        <w:tc>
          <w:tcPr>
            <w:tcW w:w="4680" w:type="dxa"/>
            <w:vAlign w:val="bottom"/>
            <w:gridSpan w:val="2"/>
          </w:tcPr>
          <w:p>
            <w:pPr>
              <w:ind w:left="20"/>
              <w:spacing w:after="0"/>
              <w:rPr>
                <w:sz w:val="20"/>
                <w:szCs w:val="20"/>
                <w:color w:val="auto"/>
              </w:rPr>
            </w:pPr>
            <w:r>
              <w:rPr>
                <w:rFonts w:ascii="Arial" w:cs="Arial" w:eastAsia="Arial" w:hAnsi="Arial"/>
                <w:sz w:val="18"/>
                <w:szCs w:val="18"/>
                <w:b w:val="1"/>
                <w:bCs w:val="1"/>
                <w:color w:val="auto"/>
              </w:rPr>
              <w:t>(Dollars in thousands)</w:t>
            </w:r>
          </w:p>
        </w:tc>
        <w:tc>
          <w:tcPr>
            <w:tcW w:w="20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r>
      <w:tr>
        <w:trPr>
          <w:trHeight w:val="223"/>
        </w:trPr>
        <w:tc>
          <w:tcPr>
            <w:tcW w:w="4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943,696</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872,595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326,229</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320,030</w:t>
            </w:r>
          </w:p>
        </w:tc>
      </w:tr>
      <w:tr>
        <w:trPr>
          <w:trHeight w:val="270"/>
        </w:trPr>
        <w:tc>
          <w:tcPr>
            <w:tcW w:w="4680" w:type="dxa"/>
            <w:vAlign w:val="bottom"/>
            <w:gridSpan w:val="2"/>
          </w:tcPr>
          <w:p>
            <w:pPr>
              <w:ind w:left="20"/>
              <w:spacing w:after="0"/>
              <w:rPr>
                <w:sz w:val="20"/>
                <w:szCs w:val="20"/>
                <w:color w:val="auto"/>
              </w:rPr>
            </w:pPr>
            <w:r>
              <w:rPr>
                <w:rFonts w:ascii="Arial" w:cs="Arial" w:eastAsia="Arial" w:hAnsi="Arial"/>
                <w:sz w:val="18"/>
                <w:szCs w:val="18"/>
                <w:color w:val="auto"/>
              </w:rPr>
              <w:t>Comparable growth</w:t>
            </w:r>
          </w:p>
        </w:tc>
        <w:tc>
          <w:tcPr>
            <w:tcW w:w="2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4.8 %</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53.5 %</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231F20"/>
              </w:rPr>
              <w:t>(2.1)%</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231F20"/>
              </w:rPr>
              <w:t>54.3 %</w:t>
            </w:r>
          </w:p>
        </w:tc>
      </w:tr>
      <w:tr>
        <w:trPr>
          <w:trHeight w:val="256"/>
        </w:trPr>
        <w:tc>
          <w:tcPr>
            <w:tcW w:w="4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Demand comparable growth</w:t>
            </w:r>
          </w:p>
        </w:tc>
        <w:tc>
          <w:tcPr>
            <w:tcW w:w="2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9.6 %</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15.1 %</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11.7 %</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15.8 %</w:t>
            </w:r>
          </w:p>
        </w:tc>
      </w:tr>
      <w:tr>
        <w:trPr>
          <w:trHeight w:val="257"/>
        </w:trPr>
        <w:tc>
          <w:tcPr>
            <w:tcW w:w="4680" w:type="dxa"/>
            <w:vAlign w:val="bottom"/>
            <w:gridSpan w:val="2"/>
          </w:tcPr>
          <w:p>
            <w:pPr>
              <w:ind w:left="20"/>
              <w:spacing w:after="0"/>
              <w:rPr>
                <w:sz w:val="20"/>
                <w:szCs w:val="20"/>
                <w:color w:val="auto"/>
              </w:rPr>
            </w:pPr>
            <w:r>
              <w:rPr>
                <w:rFonts w:ascii="Arial" w:cs="Arial" w:eastAsia="Arial" w:hAnsi="Arial"/>
                <w:sz w:val="18"/>
                <w:szCs w:val="18"/>
                <w:color w:val="auto"/>
              </w:rPr>
              <w:t>Gross margin as a % of net revenue</w:t>
            </w:r>
          </w:p>
        </w:tc>
        <w:tc>
          <w:tcPr>
            <w:tcW w:w="2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42.3 %</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42.1 %</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231F20"/>
              </w:rPr>
              <w:t>40.1 %</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231F20"/>
              </w:rPr>
              <w:t>42.6 %</w:t>
            </w:r>
          </w:p>
        </w:tc>
      </w:tr>
      <w:tr>
        <w:trPr>
          <w:trHeight w:val="202"/>
        </w:trPr>
        <w:tc>
          <w:tcPr>
            <w:tcW w:w="468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w w:val="99"/>
              </w:rPr>
              <w:t>Selling, general and administrative expenses as a % of net</w:t>
            </w: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57"/>
        </w:trPr>
        <w:tc>
          <w:tcPr>
            <w:tcW w:w="4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29.2 %</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28.3 %</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32.8 %</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27.9 %</w:t>
            </w:r>
          </w:p>
        </w:tc>
      </w:tr>
      <w:tr>
        <w:trPr>
          <w:trHeight w:val="257"/>
        </w:trPr>
        <w:tc>
          <w:tcPr>
            <w:tcW w:w="4680" w:type="dxa"/>
            <w:vAlign w:val="bottom"/>
            <w:gridSpan w:val="2"/>
          </w:tcPr>
          <w:p>
            <w:pPr>
              <w:ind w:left="20"/>
              <w:spacing w:after="0"/>
              <w:rPr>
                <w:sz w:val="20"/>
                <w:szCs w:val="20"/>
                <w:color w:val="auto"/>
              </w:rPr>
            </w:pPr>
            <w:r>
              <w:rPr>
                <w:rFonts w:ascii="Arial" w:cs="Arial" w:eastAsia="Arial" w:hAnsi="Arial"/>
                <w:sz w:val="18"/>
                <w:szCs w:val="18"/>
                <w:color w:val="auto"/>
              </w:rPr>
              <w:t>Income from operations as a % of net revenue</w:t>
            </w:r>
          </w:p>
        </w:tc>
        <w:tc>
          <w:tcPr>
            <w:tcW w:w="2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13.1 %</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13.8 %</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231F20"/>
              </w:rPr>
              <w:t>7.3 %</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231F20"/>
              </w:rPr>
              <w:t>14.7 %</w:t>
            </w:r>
          </w:p>
        </w:tc>
      </w:tr>
      <w:tr>
        <w:trPr>
          <w:trHeight w:val="229"/>
        </w:trPr>
        <w:tc>
          <w:tcPr>
            <w:tcW w:w="4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and comprehensive income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94,023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89,633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19,741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36,936</w:t>
            </w:r>
          </w:p>
        </w:tc>
      </w:tr>
      <w:tr>
        <w:trPr>
          <w:trHeight w:val="270"/>
        </w:trPr>
        <w:tc>
          <w:tcPr>
            <w:tcW w:w="4680" w:type="dxa"/>
            <w:vAlign w:val="bottom"/>
            <w:gridSpan w:val="2"/>
          </w:tcPr>
          <w:p>
            <w:pPr>
              <w:ind w:left="20"/>
              <w:spacing w:after="0"/>
              <w:rPr>
                <w:sz w:val="20"/>
                <w:szCs w:val="20"/>
                <w:color w:val="auto"/>
              </w:rPr>
            </w:pPr>
            <w:r>
              <w:rPr>
                <w:rFonts w:ascii="Arial" w:cs="Arial" w:eastAsia="Arial" w:hAnsi="Arial"/>
                <w:sz w:val="18"/>
                <w:szCs w:val="18"/>
                <w:color w:val="auto"/>
              </w:rPr>
              <w:t>Net and comprehensive income as a % of net revenue</w:t>
            </w:r>
          </w:p>
        </w:tc>
        <w:tc>
          <w:tcPr>
            <w:tcW w:w="2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10.3 %</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231F20"/>
              </w:rPr>
              <w:t>6.1 %</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231F20"/>
              </w:rPr>
              <w:t>11.5 %</w:t>
            </w:r>
          </w:p>
        </w:tc>
      </w:tr>
      <w:tr>
        <w:trPr>
          <w:trHeight w:val="283"/>
        </w:trPr>
        <w:tc>
          <w:tcPr>
            <w:tcW w:w="4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Adjusted EBITDA</w:t>
            </w:r>
            <w:r>
              <w:rPr>
                <w:rFonts w:ascii="Arial" w:cs="Arial" w:eastAsia="Arial" w:hAnsi="Arial"/>
                <w:sz w:val="23"/>
                <w:szCs w:val="23"/>
                <w:color w:val="auto"/>
                <w:vertAlign w:val="superscript"/>
              </w:rPr>
              <w:t>(1)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152,246</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148,350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33,660</w:t>
            </w: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56,712</w:t>
            </w:r>
          </w:p>
        </w:tc>
      </w:tr>
      <w:tr>
        <w:trPr>
          <w:trHeight w:val="257"/>
        </w:trPr>
        <w:tc>
          <w:tcPr>
            <w:tcW w:w="4680" w:type="dxa"/>
            <w:vAlign w:val="bottom"/>
            <w:gridSpan w:val="2"/>
          </w:tcPr>
          <w:p>
            <w:pPr>
              <w:ind w:left="20"/>
              <w:spacing w:after="0"/>
              <w:rPr>
                <w:sz w:val="20"/>
                <w:szCs w:val="20"/>
                <w:color w:val="auto"/>
              </w:rPr>
            </w:pPr>
            <w:r>
              <w:rPr>
                <w:rFonts w:ascii="Arial" w:cs="Arial" w:eastAsia="Arial" w:hAnsi="Arial"/>
                <w:sz w:val="18"/>
                <w:szCs w:val="18"/>
                <w:color w:val="auto"/>
              </w:rPr>
              <w:t>Adjusted EBITDA as a % of net revenue</w:t>
            </w:r>
          </w:p>
        </w:tc>
        <w:tc>
          <w:tcPr>
            <w:tcW w:w="2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16.1 %</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17.0 %</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231F20"/>
              </w:rPr>
              <w:t>10.3 %</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231F20"/>
              </w:rPr>
              <w:t>17.7 %</w:t>
            </w:r>
          </w:p>
        </w:tc>
      </w:tr>
      <w:tr>
        <w:trPr>
          <w:trHeight w:val="237"/>
        </w:trPr>
        <w:tc>
          <w:tcPr>
            <w:tcW w:w="4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Showrooms at end of period</w:t>
            </w: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86</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80</w:t>
            </w:r>
          </w:p>
        </w:tc>
      </w:tr>
      <w:tr>
        <w:trPr>
          <w:trHeight w:val="54"/>
        </w:trPr>
        <w:tc>
          <w:tcPr>
            <w:tcW w:w="45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0" w:type="dxa"/>
            <w:vAlign w:val="bottom"/>
          </w:tcPr>
          <w:p>
            <w:pPr>
              <w:spacing w:after="0"/>
              <w:rPr>
                <w:sz w:val="4"/>
                <w:szCs w:val="4"/>
                <w:color w:val="auto"/>
              </w:rPr>
            </w:pPr>
          </w:p>
        </w:tc>
      </w:tr>
    </w:tbl>
    <w:p>
      <w:pPr>
        <w:spacing w:after="0" w:line="62" w:lineRule="exact"/>
        <w:rPr>
          <w:sz w:val="20"/>
          <w:szCs w:val="20"/>
          <w:color w:val="auto"/>
        </w:rPr>
      </w:pPr>
    </w:p>
    <w:p>
      <w:pPr>
        <w:ind w:left="140" w:hanging="132"/>
        <w:spacing w:after="0"/>
        <w:tabs>
          <w:tab w:leader="none" w:pos="140" w:val="left"/>
        </w:tabs>
        <w:numPr>
          <w:ilvl w:val="0"/>
          <w:numId w:val="11"/>
        </w:numPr>
        <w:rPr>
          <w:rFonts w:ascii="Arial" w:cs="Arial" w:eastAsia="Arial" w:hAnsi="Arial"/>
          <w:sz w:val="9"/>
          <w:szCs w:val="9"/>
          <w:color w:val="auto"/>
        </w:rPr>
      </w:pPr>
      <w:r>
        <w:rPr>
          <w:rFonts w:ascii="Arial" w:cs="Arial" w:eastAsia="Arial" w:hAnsi="Arial"/>
          <w:sz w:val="14"/>
          <w:szCs w:val="14"/>
          <w:color w:val="auto"/>
        </w:rPr>
        <w:t>See “How We Assess the Performance of Our Business,” for a definition of adjusted EBITDA and a reconciliation of adjusted EBITDA to net and comprehensive income.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nine months ended September 30, 2023 and 2022</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Revenue</w:t>
      </w:r>
    </w:p>
    <w:p>
      <w:pPr>
        <w:spacing w:after="0" w:line="185"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Net revenue increased $71.1 million, or 8.1%, to $943.7 million in the nine months ended September 30, 2023 compared to $872.6 million in the nine months ended September 30, 2022. The increase was driven primarily by increased demand for our products in both Showrooms and eCommerce.</w:t>
      </w:r>
    </w:p>
    <w:p>
      <w:pPr>
        <w:spacing w:after="0" w:line="83"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Comparable growth was 4.8% in the nine months ended September 30, 2023 compared to 53.5% in the nine months ended September 30, 2022. Demand comparable growth was 9.6% in the nine months ended September 30, 2023 compared to 15.1% in the nine months ended September 30, 2022.</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18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Gross margin increased $32.2 million, or 8.8%, to $399.2 million in the nine months ended September 30, 2023 compared to $367.0 million in the nine months ended September 30, 2022. Gross margin improvement was driven by the increase in net revenue, partially offset by increased variable expense related to the higher revenue, including $16.1 million of increased product costs, $8.6 million of increased delivery and transportation costs, $8.4 million of increased fixed Showroom costs and $3.2 million of increased credit card fees related to demand.</w:t>
      </w:r>
    </w:p>
    <w:p>
      <w:pPr>
        <w:spacing w:after="0" w:line="13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As a percentage of net revenue, gross margin increased 20 basis points to 42.3% of net revenue in the nine months ended September 30, 2023 compared to 42.1% of net revenue in the nine months ended September 30, 2022. The gross margin increase as a percentage of net revenue was primarily the result of favorable product costs contributing 100 basis points to the gross margin improvement. This was partially offset by higher fixed Showroom, delivery and transportation costs and credit card fees, which together increased 80 basis points as a percentage of net revenue.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8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SG&amp;A expenses increased $29.1 million, or 11.8%, to $275.9 million in the nine months ended September 30, 2023 compared to $246.8 million in the nine months ended September 30, 2022. The increase in SG&amp;A expenses was primarily driven by a $15.0 million increase in corporate expenses to support the growth of the business, an $11.7 million increase in selling expenses related to new Showrooms and higher demand and a $10.0 million donation to The Nature Conservancy, partially offset by a $5.8 million decrease in warehouse expenses.</w:t>
      </w:r>
    </w:p>
    <w:p>
      <w:pPr>
        <w:spacing w:after="0" w:line="14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a percentage of net revenue, SG&amp;A expenses increased 90 basis points to 29.2% of net revenue in the nine months ended September 30, 2023 compared to 28.3% of net revenue in the nine months ended September 30, 2022.</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(income), net</w:t>
      </w:r>
    </w:p>
    <w:p>
      <w:pPr>
        <w:spacing w:after="0" w:line="19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Interest expense (income), net decreased $5.1 million for the nine months ended September 30, 2023 compared to the nine months ended September 30, 2022, primarily due to an increase in interest income earned on money market fund investments of $5.2 million.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8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Income tax expense was $31.8 million in the nine months ended September 30, 2023 compared to $27.9 million in the nine months ended September 30, 2022. Our effective tax rate was 25.3% and 23.7% for the nine months ended September 30, 2023 and 2022,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and Comprehensive Income</w:t>
      </w:r>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Net and comprehensive income increased $4.4 million to $94.0 million in the nine months ended September 30, 2023 compared to $89.6 million in the nine months ended September 30, 2022. The increase was driven by the factors described above.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September 30, 2023 and 2022</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Revenue</w:t>
      </w:r>
    </w:p>
    <w:p>
      <w:pPr>
        <w:spacing w:after="0" w:line="18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Net revenue increased $6.2 million, or 1.9%, to $326.2 million in the three months ended September 30, 2023 compared to $320.0 million in the three months ended September 30, 2022.</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Comparable growth was (2.1)% in the three months ended September 30, 2023 compared to 54.3% in the three months ended September 30, 2022.</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Demand comparable growth was 11.7% in the three months ended September 30, 2023 compared to 15.8% in the three months ended September 30, 2022.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185"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Gross margin decreased $5.4 million, or 4.0%, to $130.9 million in the three months ended September 30, 2023 compared to $136.3 million in the three months ended September 30, 2022. The change in gross margin was due to product cost increases of $4.5 million primarily driven by the sale of price-actioned products that were receipted with high container costs, higher fixed Showroom costs of $4.0 million and $2.6 million of increased delivery and transportation costs.</w:t>
      </w:r>
    </w:p>
    <w:p>
      <w:pPr>
        <w:spacing w:after="0" w:line="146"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As a percentage of net revenue, gross margin decreased 250 basis points to 40.1% of net revenue in the three months ended September 30, 2023 compared to 42.6% of net revenue in the three months ended September 30, 2022. The gross margin decrease as a percentage of net revenue was primarily the result of higher fixed Showroom costs which increased 110 basis points and higher product, delivery and transportation costs, which together increased 130 basis points as a percentage of net revenue.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8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SG&amp;A expenses increased $17.8 million, or 20.0%, to $107.0 million in the three months ended September 30, 2023 compared to $89.1 million in the three months ended September 30, 2022.</w:t>
      </w:r>
    </w:p>
    <w:p>
      <w:pPr>
        <w:spacing w:after="0" w:line="130"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The increase in SG&amp;A expenses was primarily driven by a $10.0 million donation to The Nature Conservancy, $5.7 million of increased selling expenses primarily related to new Showrooms and higher demand and a $3.1 million increase in corporate expenses to support the growth of the business.</w:t>
      </w:r>
    </w:p>
    <w:p>
      <w:pPr>
        <w:spacing w:after="0" w:line="9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As a percentage of net revenue, SG&amp;A expenses increased 490 basis points to 32.8% of net revenue in the three months ended September 30, 2023 compared to 27.9% of net revenue in the three months ended September 30, 2022.</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(income), net</w:t>
      </w:r>
    </w:p>
    <w:p>
      <w:pPr>
        <w:spacing w:after="0" w:line="18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Interest expense (income), net decreased $1.8 million for the three months ended September 30, 2023 compared to the three months ended September 30, 2022, primarily due to an in increase in interest income earned on money market fund investments of $1.9 million.</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Income taxes were $5.3 million in the three months ended September 30, 2023 compared to $9.6 million in the three months ended September 30, 2022.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effective tax rate was 21.2% and 20.6% for the three months ended September 30, 2023 and 2022,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and Comprehensive Income</w:t>
      </w:r>
    </w:p>
    <w:p>
      <w:pPr>
        <w:spacing w:after="0" w:line="18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Net and comprehensive income decreased $17.2 million to $19.7 million in the three months ended September 30, 2023 compared to $36.9 million in the three months ended September 30, 2022. The decrease was driven by the factors described above.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Outlook</w:t>
      </w:r>
    </w:p>
    <w:p>
      <w:pPr>
        <w:spacing w:after="0" w:line="18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Our primary cash needs have historically been for merchandise inventories, payroll, marketing catalogs, Showroom rent, capital expenditures associated with opening new Showrooms and updating existing Showrooms, as well as the development of our infrastructure and information technology. We seek out and evaluate opportunities for effectively managing and deploying capital in ways that improve working capital and support and enhance our business initiatives and strategies. As of September 30, 2023, we had cash and cash equivalents of $236.9 million.</w:t>
      </w:r>
    </w:p>
    <w:p>
      <w:pPr>
        <w:spacing w:after="0" w:line="14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November 2021, the Company entered into a revolving credit facility (the “2021 Credit Facility”). The 2021 Credit Facility provides for, among other things, (1) a revolving credit facility in an aggregate amount not to exceed at any time outstanding the amount of such lender’s commitment, (2) a letter of credit commitment in an amount equal to the lesser of (a) $10.0 million, and (b) the amount of the revolving credit facility as of such date, and (3) a swingline loan in an amount equal to the lesser of (a) $5.0 million, and (b) the amount of the revolving credit facility as of such date. The aggregate amount of all commitments of all lenders under the 2021 Credit Facility was initially $50.0 million. The 2021 Credit Facility contains restrictive covenants and has certain financial covenants, including a minimum rent-adjusted total leverage ratio and a minimum fixed charge ratio. The 2021 Credit Facility bears variable interest rates at the prevailing Bloomberg Short-Term Bank Yield index rate plus the applicable margin (1.50% at September 30, 2023 and 2022), whereas the applicable margin is adjusted quarterly based on the Company’s consolidated rent-adjusted total leverage ratio.</w:t>
      </w:r>
    </w:p>
    <w:p>
      <w:pPr>
        <w:spacing w:after="0" w:line="125"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On December 9, 2022, the Company amended the 2021 Credit Facility to increase the revolving credit commitment thereunder by $25.0 million. After giving effect to such increase, the aggregate amount of all commitments under the 2021 Credit Facility is $75.0 million. The 2021 Credit Facility expires on November 8, 2026. At September 30, 2023, we had no borrowings on the 2021 Credit Facility.</w:t>
      </w:r>
    </w:p>
    <w:p>
      <w:pPr>
        <w:spacing w:after="0" w:line="143"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For the nine months ended September 30, 2023, our principal sources of liquidity were cash flows from operations. We believe our operating cash flows will be sufficient to meet working capital requirements and fulfill other capital needs for at least the next 12 months, although we may enter into borrowing arrangements in the future.</w:t>
      </w:r>
    </w:p>
    <w:p>
      <w:pPr>
        <w:spacing w:after="0" w:line="157"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While we do not require debt to fund our operations, our goal continues to be to position the Company to take advantage of the many opportunities that we may identify in connection with our business and operations. We have pursued in the past, and may pursue in the future, additional strategies to generate capital to pursue opportunities and investments, including new debt financing arrangements. In addition to funding the normal operations of our business, we have used our liquidity to fund investments and strategies such as supply chain expansion and growth initiatives. In addition, our needs and uses of capital may change in the future due to changes in our business or new opportunities that we choose to pursue.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18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Historically, we have invested significant capital expenditures in opening new Showrooms and expanding our distribution center footprint. While our capital expenditures vary year to year, they have increased in the past and may continue to increase in future periods as our distribution centers become fully operational and we open additional Showrooms. Our capital expenditures include expenditures related to investing activities and outflows of capital related to construction activities to design and build landlord-owned leased assets, net of tenant allowances received. Certain lease arrangements require the landlord to fund a portion of the construction related costs through payments directly to us. New Showrooms may require different levels of capital investment on our part in the future.</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Refer to Note 4 — Long-Term Debt to our condensed consolidated financial statements for further information on our 2021 Credit Facility.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Analysis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our cash provided by operating, investing and financing activities: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2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w w:val="96"/>
              </w:rPr>
              <w:t>Nine months ended September 30,</w:t>
            </w:r>
          </w:p>
        </w:tc>
        <w:tc>
          <w:tcPr>
            <w:tcW w:w="0" w:type="dxa"/>
            <w:vAlign w:val="bottom"/>
          </w:tcPr>
          <w:p>
            <w:pPr>
              <w:spacing w:after="0"/>
              <w:rPr>
                <w:sz w:val="1"/>
                <w:szCs w:val="1"/>
                <w:color w:val="auto"/>
              </w:rPr>
            </w:pPr>
          </w:p>
        </w:tc>
      </w:tr>
      <w:tr>
        <w:trPr>
          <w:trHeight w:val="27"/>
        </w:trPr>
        <w:tc>
          <w:tcPr>
            <w:tcW w:w="74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(In thousands)</w:t>
            </w: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48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1500" w:type="dxa"/>
            <w:vAlign w:val="bottom"/>
          </w:tcPr>
          <w:p>
            <w:pPr>
              <w:jc w:val="right"/>
              <w:ind w:right="65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23"/>
        </w:trPr>
        <w:tc>
          <w:tcPr>
            <w:tcW w:w="7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131,368</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58,237</w:t>
            </w:r>
          </w:p>
        </w:tc>
        <w:tc>
          <w:tcPr>
            <w:tcW w:w="0" w:type="dxa"/>
            <w:vAlign w:val="bottom"/>
          </w:tcPr>
          <w:p>
            <w:pPr>
              <w:spacing w:after="0"/>
              <w:rPr>
                <w:sz w:val="1"/>
                <w:szCs w:val="1"/>
                <w:color w:val="auto"/>
              </w:rPr>
            </w:pPr>
          </w:p>
        </w:tc>
      </w:tr>
      <w:tr>
        <w:trPr>
          <w:trHeight w:val="230"/>
        </w:trPr>
        <w:tc>
          <w:tcPr>
            <w:tcW w:w="7480" w:type="dxa"/>
            <w:vAlign w:val="bottom"/>
            <w:gridSpan w:val="2"/>
          </w:tcPr>
          <w:p>
            <w:pPr>
              <w:ind w:left="2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(41,973)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(36,950)</w:t>
            </w:r>
          </w:p>
        </w:tc>
        <w:tc>
          <w:tcPr>
            <w:tcW w:w="0" w:type="dxa"/>
            <w:vAlign w:val="bottom"/>
          </w:tcPr>
          <w:p>
            <w:pPr>
              <w:spacing w:after="0"/>
              <w:rPr>
                <w:sz w:val="1"/>
                <w:szCs w:val="1"/>
                <w:color w:val="auto"/>
              </w:rPr>
            </w:pPr>
          </w:p>
        </w:tc>
      </w:tr>
      <w:tr>
        <w:trPr>
          <w:trHeight w:val="229"/>
        </w:trPr>
        <w:tc>
          <w:tcPr>
            <w:tcW w:w="7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23"/>
        </w:trPr>
        <w:tc>
          <w:tcPr>
            <w:tcW w:w="7480" w:type="dxa"/>
            <w:vAlign w:val="bottom"/>
            <w:gridSpan w:val="2"/>
          </w:tcPr>
          <w:p>
            <w:pPr>
              <w:ind w:left="20"/>
              <w:spacing w:after="0"/>
              <w:rPr>
                <w:sz w:val="20"/>
                <w:szCs w:val="20"/>
                <w:color w:val="auto"/>
              </w:rPr>
            </w:pPr>
            <w:r>
              <w:rPr>
                <w:rFonts w:ascii="Arial" w:cs="Arial" w:eastAsia="Arial" w:hAnsi="Arial"/>
                <w:sz w:val="18"/>
                <w:szCs w:val="18"/>
                <w:color w:val="auto"/>
              </w:rPr>
              <w:t>Net increase (decrease) in cash, cash equivalents and restricted cash equivalents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87,868</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21,174</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operating activities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the nine months ended September 30, 2023 and 2022</w:t>
      </w:r>
    </w:p>
    <w:p>
      <w:pPr>
        <w:spacing w:after="0" w:line="18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Operating activities consist primarily of net income adjusted for non-cash items including depreciation and amortization, operating lease amortization, deferred income taxes, equity based compensation and the effect of changes in working capital and other activities.</w:t>
      </w:r>
    </w:p>
    <w:p>
      <w:pPr>
        <w:spacing w:after="0" w:line="14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For the nine months ended September 30, 2023, net cash provided by operating activities was $131.4 million and consisted of net income of $94.0 million and an increase of non-cash items of $68.4 million, which were partially offset by a change in working capital and other activities of $31.1 million. The use of cash from working capital was primarily driven by an increase in prepaid and other current assets of $29.0 million, a decrease in operating lease liabilities of $28.8 million primarily due to payments made under the related lease agreements, a decrease in accounts payable of $4.1 million, which was partially offset by a decrease of merchandise inventory of $17.4 million, an increase in client deposits of $9.8 million and an increase in accrued expenses of $3.5 million, in the nine months ended September 30, 2023.</w:t>
      </w:r>
    </w:p>
    <w:p>
      <w:pPr>
        <w:spacing w:after="0" w:line="15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For the nine months ended September 30, 2022, net cash provided by operating activities was $58.2 million and consisted of net income of $89.6 million and increases of non-cash items of $56.9 million, which was partially offset by a change in working capital and other activities of $88.3 million. The use of cash from working capital was primarily driven by an increase in merchandise inventory of $84.2 million, a decrease in operating lease liabilities of $22.6 million primarily due to payments made under the related lease agreements, an increase in prepaid and other current assets of $11.2 million, a decrease in client deposits of $3.1 million, which was partially offset by an increase in accrued expenses of $23.7 million and an increase in accounts payable of $10.3 million in the nine months ended September 30, 2022.</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19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Investing activities consist primarily of capital expenditures related to investments in retail Showrooms, information technology and systems infrastructure, as well as supply chain investments.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the nine months ended September 30, 2023 and 2022</w:t>
      </w:r>
    </w:p>
    <w:p>
      <w:pPr>
        <w:spacing w:after="0" w:line="18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For the nine months ended September 30, 2023, net cash used in investing activities was $42.0 million primarily due to investments in Showrooms, supply chain expansion and information technology and systems infrastructure.</w:t>
      </w:r>
    </w:p>
    <w:p>
      <w:pPr>
        <w:spacing w:after="0" w:line="14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For the nine months ended September 30, 2022, net cash used in investing activities was $37.0 million primarily due to investments in Showrooms, supply chain expansion and information technology and systems infrastructure.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40" w:type="dxa"/>
            <w:vAlign w:val="bottom"/>
            <w:gridSpan w:val="2"/>
          </w:tcPr>
          <w:p>
            <w:pPr>
              <w:spacing w:after="0"/>
              <w:rPr>
                <w:sz w:val="20"/>
                <w:szCs w:val="20"/>
                <w:color w:val="auto"/>
              </w:rPr>
            </w:pPr>
            <w:r>
              <w:rPr>
                <w:rFonts w:ascii="Arial" w:cs="Arial" w:eastAsia="Arial" w:hAnsi="Arial"/>
                <w:sz w:val="18"/>
                <w:szCs w:val="18"/>
                <w:color w:val="auto"/>
              </w:rPr>
              <w:t>Historical capital expenditures are summarized as follows:</w:t>
            </w: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45"/>
        </w:trPr>
        <w:tc>
          <w:tcPr>
            <w:tcW w:w="5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12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w w:val="92"/>
              </w:rPr>
              <w:t>Nine months ended September 30,</w:t>
            </w:r>
          </w:p>
        </w:tc>
      </w:tr>
      <w:tr>
        <w:trPr>
          <w:trHeight w:val="27"/>
        </w:trPr>
        <w:tc>
          <w:tcPr>
            <w:tcW w:w="5240" w:type="dxa"/>
            <w:vAlign w:val="bottom"/>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5240" w:type="dxa"/>
            <w:vAlign w:val="bottom"/>
            <w:gridSpan w:val="2"/>
          </w:tcPr>
          <w:p>
            <w:pPr>
              <w:ind w:left="20"/>
              <w:spacing w:after="0"/>
              <w:rPr>
                <w:sz w:val="20"/>
                <w:szCs w:val="20"/>
                <w:color w:val="auto"/>
              </w:rPr>
            </w:pPr>
            <w:r>
              <w:rPr>
                <w:rFonts w:ascii="Arial" w:cs="Arial" w:eastAsia="Arial" w:hAnsi="Arial"/>
                <w:sz w:val="18"/>
                <w:szCs w:val="18"/>
                <w:b w:val="1"/>
                <w:bCs w:val="1"/>
                <w:color w:val="auto"/>
              </w:rPr>
              <w:t>(In thousands)</w:t>
            </w:r>
          </w:p>
        </w:tc>
        <w:tc>
          <w:tcPr>
            <w:tcW w:w="240" w:type="dxa"/>
            <w:vAlign w:val="bottom"/>
          </w:tcPr>
          <w:p>
            <w:pPr>
              <w:spacing w:after="0"/>
              <w:rPr>
                <w:sz w:val="20"/>
                <w:szCs w:val="20"/>
                <w:color w:val="auto"/>
              </w:rPr>
            </w:pPr>
          </w:p>
        </w:tc>
        <w:tc>
          <w:tcPr>
            <w:tcW w:w="1380" w:type="dxa"/>
            <w:vAlign w:val="bottom"/>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Arial" w:cs="Arial" w:eastAsia="Arial" w:hAnsi="Arial"/>
                <w:sz w:val="18"/>
                <w:szCs w:val="18"/>
                <w:b w:val="1"/>
                <w:bCs w:val="1"/>
                <w:color w:val="auto"/>
              </w:rPr>
              <w:t>2022</w:t>
            </w:r>
          </w:p>
        </w:tc>
      </w:tr>
      <w:tr>
        <w:trPr>
          <w:trHeight w:val="27"/>
        </w:trPr>
        <w:tc>
          <w:tcPr>
            <w:tcW w:w="5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5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41,973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36,950</w:t>
            </w:r>
          </w:p>
        </w:tc>
      </w:tr>
      <w:tr>
        <w:trPr>
          <w:trHeight w:val="270"/>
        </w:trPr>
        <w:tc>
          <w:tcPr>
            <w:tcW w:w="52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Landlord contributions</w:t>
            </w:r>
          </w:p>
        </w:tc>
        <w:tc>
          <w:tcPr>
            <w:tcW w:w="24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10,917</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11,373</w:t>
            </w:r>
          </w:p>
        </w:tc>
      </w:tr>
      <w:tr>
        <w:trPr>
          <w:trHeight w:val="288"/>
        </w:trPr>
        <w:tc>
          <w:tcPr>
            <w:tcW w:w="5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capital expenditures, net of landlord contributions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31,056</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25,577</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Total capital expenditures, net of landlord contributions increased by $5.5 million in the nine months ended September 30, 2023 compared to the nine months ended September 30, 2022.</w:t>
      </w:r>
    </w:p>
    <w:p>
      <w:pPr>
        <w:spacing w:after="0" w:line="13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anticipate our total company funded capital expenditures to be between $60 million and $70 million in fiscal year 2023, primarily related to the opening of new Showrooms.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financing activities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the nine months ended September 30, 2023 and 2022</w:t>
      </w:r>
    </w:p>
    <w:p>
      <w:pPr>
        <w:spacing w:after="0" w:line="18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For the nine months ended September 30, 2023, net cash used in financing activities was $1.5 million primarily due to the repurchase of shares for payment of withholding taxes for equity based compensation.</w:t>
      </w:r>
    </w:p>
    <w:p>
      <w:pPr>
        <w:spacing w:after="0" w:line="197" w:lineRule="exact"/>
        <w:rPr>
          <w:sz w:val="20"/>
          <w:szCs w:val="20"/>
          <w:color w:val="auto"/>
        </w:rPr>
      </w:pPr>
    </w:p>
    <w:p>
      <w:pPr>
        <w:ind w:right="700"/>
        <w:spacing w:after="0" w:line="461" w:lineRule="auto"/>
        <w:rPr>
          <w:sz w:val="20"/>
          <w:szCs w:val="20"/>
          <w:color w:val="auto"/>
        </w:rPr>
      </w:pPr>
      <w:r>
        <w:rPr>
          <w:rFonts w:ascii="Arial" w:cs="Arial" w:eastAsia="Arial" w:hAnsi="Arial"/>
          <w:sz w:val="18"/>
          <w:szCs w:val="18"/>
          <w:color w:val="auto"/>
        </w:rPr>
        <w:t xml:space="preserve">For the nine months ended September 30, 2022, net cash used in financing activities was $0.1 million due to principal payments on finance leases. </w:t>
      </w:r>
      <w:r>
        <w:rPr>
          <w:rFonts w:ascii="Arial" w:cs="Arial" w:eastAsia="Arial" w:hAnsi="Arial"/>
          <w:sz w:val="18"/>
          <w:szCs w:val="18"/>
          <w:b w:val="1"/>
          <w:bCs w:val="1"/>
          <w:color w:val="auto"/>
        </w:rPr>
        <w:t>Off-Balance Sheet Transactions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2023, we have no material off-balance sheet arrangements.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8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Accounting policies and estimates are considered critical when they require management to make subjective and complex judgments, estimates and assumptions about matters that have a material impact on the presentation of our financial statements and accompanying notes. For a description of our critical accounting policies and estimates, see Part II, Item 7 “Management’s Discussion and Analysis of Financial Condition and Results of Operations — Critical Accounting Policies and Estimates” in our Annual Report on Form 10-K for the year ended December 31, 2022.</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2 — </w:t>
      </w:r>
      <w:r>
        <w:rPr>
          <w:rFonts w:ascii="Arial" w:cs="Arial" w:eastAsia="Arial" w:hAnsi="Arial"/>
          <w:sz w:val="18"/>
          <w:szCs w:val="18"/>
          <w:i w:val="1"/>
          <w:iCs w:val="1"/>
          <w:color w:val="auto"/>
        </w:rPr>
        <w:t>Recently Issued Accounting Standards</w:t>
      </w:r>
      <w:r>
        <w:rPr>
          <w:rFonts w:ascii="Arial" w:cs="Arial" w:eastAsia="Arial" w:hAnsi="Arial"/>
          <w:sz w:val="18"/>
          <w:szCs w:val="18"/>
          <w:color w:val="auto"/>
        </w:rPr>
        <w:t xml:space="preserve"> to our condensed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0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are exposed to market risks, which include significant deterioration of the U.S. and foreign markets, changes in U.S. interest rates, foreign currency exchange rate fluctuations and the effects of economic uncertainty, which may affect the prices we pay our vendors in the foreign countries in which we do business. We do not engage in financial transactions for trading or speculative purposes.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Risk</w:t>
      </w:r>
    </w:p>
    <w:p>
      <w:pPr>
        <w:spacing w:after="0" w:line="18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believe foreign currency exchange rate fluctuations do not contain significant market risk to us due to the nature of our relationships with our vendors outside of the United States. We purchase the majority of our inventory from vendors outside of the United States in transactions that are primarily denominated in U.S. dollars and, as such, any foreign currency impact related to these international purchase transactions was not significant to us for the nine and three months ended September 30, 2023 and 2022, respectively. However, since we pay for the majority of our international purchases in U.S. dollars, a decline in the U.S. dollar relative to other foreign currencies would subject us to risks associated with increased purchasing costs from our vendors. We cannot predict with certainty the effect these increased costs may have on our financial statements or results of operations. We currently do not use derivative instruments to manage this risk.</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9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are primarily exposed to interest rate risk with respect to borrowing under our 2021 Credit Facility and as of September 30, 2023, we have not drawn upon the 2021 Credit Facility. Based on the interest rate in the 2021 Credit Facility and to the extent borrowings were outstanding, we do not believe a 100 basis point change in interest rates would have a material impact on our financial condition or results of operations for the periods presented. We currently do not use derivative instruments to manage this risk.</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Inflation</w:t>
      </w:r>
    </w:p>
    <w:p>
      <w:pPr>
        <w:spacing w:after="0" w:line="18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Inflation generally affects us by increasing our cost of labor, material, transportation, and our general costs. We have historically been able to recover these cost increases through price increases. However, we cannot reasonably estimate our ability to successfully recover any impact of inflation through price increases in the future. We currently do not use derivative instruments to manage this risk.</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Emerging Growth Company Status</w:t>
      </w:r>
    </w:p>
    <w:p>
      <w:pPr>
        <w:spacing w:after="0" w:line="18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are an “emerging growth company,” as defined in the JOBS Act. Under the JOBS Act, emerging growth companies can delay adopting new or revised accounting standards until such time as those standards apply to private companies. We have elected to use this extended transition period to enable us to comply with new or revised accounting standards that have different effective dates for public and private companies until the earlier of the date we are no longer an emerging growth company or affirmatively and irrevocably opt out of the extended transition period provided in the JOBS Act. Accordingly, our condensed consolidated financial statements may not be comparable to companies that comply with new or revised accounting pronouncements as of public company effective dates.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89"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Under the supervision and with the participation of our CEO and Chief Financial Officer (“CFO”), management has evaluated the effectiveness of the design and operation of our disclosure controls and procedures (as defined in Rules 13a-15(e) and 15d-15(e) of the Securities Exchange Act of 1934) as of September 30, 2023. Based on their evaluation as of September 30, 2023, the CEO and CFO have concluded that our disclosure controls and procedures were not effective at the reasonable assurance level because of the material weaknesses in our internal control over financial reporting described below.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Based upon that evaluation, our CEO and CFO identified four material weaknesses in our internal control over financial reporting.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Weaknesses in Internal Control Over Financial Reporting</w:t>
      </w:r>
    </w:p>
    <w:p>
      <w:pPr>
        <w:spacing w:after="0" w:line="189"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w:t>
      </w:r>
    </w:p>
    <w:p>
      <w:pPr>
        <w:spacing w:after="0" w:line="106" w:lineRule="exact"/>
        <w:rPr>
          <w:sz w:val="20"/>
          <w:szCs w:val="20"/>
          <w:color w:val="auto"/>
        </w:rPr>
      </w:pPr>
    </w:p>
    <w:p>
      <w:pPr>
        <w:ind w:left="660" w:hanging="328"/>
        <w:spacing w:after="0" w:line="253"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did not design and maintain an effective control environment commensurate with our financial reporting requirements. Specifically, we lacked a sufficient complement of professionals with an appropriate level of accounting knowledge, training and experience to appropriately analyze, record and disclose accounting matters timely and accurately. Additionally, the lack of a sufficient number of professionals resulted in an inability to consistently establish appropriate authorities and responsibilities in pursuit of our financial reporting objectives, as demonstrated by, amongst other things, insufficient segregation of duties in our finance and accounting functions. This material weakness contributed to the following additional material weaknesses.</w:t>
      </w:r>
    </w:p>
    <w:p>
      <w:pPr>
        <w:spacing w:after="0" w:line="1" w:lineRule="exact"/>
        <w:rPr>
          <w:rFonts w:ascii="Arial" w:cs="Arial" w:eastAsia="Arial" w:hAnsi="Arial"/>
          <w:sz w:val="18"/>
          <w:szCs w:val="18"/>
          <w:color w:val="auto"/>
        </w:rPr>
      </w:pPr>
    </w:p>
    <w:p>
      <w:pPr>
        <w:ind w:left="660" w:right="160" w:hanging="328"/>
        <w:spacing w:after="0" w:line="250"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did not design and maintain accounting policies, procedures and controls, or maintain documentary evidence of existing control activities to achieve complete, accurate and timely financial accounting, reporting and disclosures, including adequate controls over the period-end financial reporting process, the preparation and review of account reconciliations and journal entries, including segregation of duties and assessing the reliability of reports and spreadsheets used in controls.</w:t>
      </w:r>
    </w:p>
    <w:p>
      <w:pPr>
        <w:spacing w:after="0" w:line="1" w:lineRule="exact"/>
        <w:rPr>
          <w:rFonts w:ascii="Arial" w:cs="Arial" w:eastAsia="Arial" w:hAnsi="Arial"/>
          <w:sz w:val="18"/>
          <w:szCs w:val="18"/>
          <w:color w:val="auto"/>
        </w:rPr>
      </w:pPr>
    </w:p>
    <w:p>
      <w:pPr>
        <w:ind w:left="660" w:right="100" w:hanging="328"/>
        <w:spacing w:after="0" w:line="255"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did not design and maintain effective controls to address the identification of and accounting for certain non-routine or complex transactions, including the proper application of U.S. GAAP of such transactions. Specifically, we did not design and maintain controls to timely or appropriately account for our incentive unit plan.</w:t>
      </w:r>
    </w:p>
    <w:p>
      <w:pPr>
        <w:spacing w:after="0" w:line="200" w:lineRule="exact"/>
        <w:rPr>
          <w:sz w:val="20"/>
          <w:szCs w:val="20"/>
          <w:color w:val="auto"/>
        </w:rPr>
      </w:pPr>
    </w:p>
    <w:p>
      <w:pPr>
        <w:spacing w:after="0" w:line="3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These material weaknesses resulted in a restatement of our previously issued annual consolidated financial statements as of and for the years ended December 31, 2020 and 2019 principally related to selling, general and administrative expenses and other long-term liabilities, and misclassifications in the balance sheets and statements of comprehensive income. These material weaknesses also resulted in immaterial adjustments recorded as of and for the year ended December 31, 2021 principally related to property, furniture and equipment, net; selling, general and administrative expenses; and misclassifications in the balance sheet and statement of cash flows. Additionally, each of the material weaknesses could result in misstatements to substantially all of our accounts or disclosures, that would result in a material misstatement to the annual or interim consolidated financial statements that would not be prevented or detected.</w:t>
      </w:r>
    </w:p>
    <w:p>
      <w:pPr>
        <w:spacing w:after="0" w:line="168" w:lineRule="exact"/>
        <w:rPr>
          <w:sz w:val="20"/>
          <w:szCs w:val="20"/>
          <w:color w:val="auto"/>
        </w:rPr>
      </w:pPr>
    </w:p>
    <w:p>
      <w:pPr>
        <w:ind w:left="660" w:right="140" w:hanging="328"/>
        <w:spacing w:after="0" w:line="291" w:lineRule="auto"/>
        <w:tabs>
          <w:tab w:leader="none" w:pos="655" w:val="left"/>
        </w:tabs>
        <w:numPr>
          <w:ilvl w:val="0"/>
          <w:numId w:val="13"/>
        </w:numPr>
        <w:rPr>
          <w:rFonts w:ascii="Arial" w:cs="Arial" w:eastAsia="Arial" w:hAnsi="Arial"/>
          <w:sz w:val="16"/>
          <w:szCs w:val="16"/>
          <w:color w:val="auto"/>
        </w:rPr>
      </w:pPr>
      <w:r>
        <w:rPr>
          <w:rFonts w:ascii="Arial" w:cs="Arial" w:eastAsia="Arial" w:hAnsi="Arial"/>
          <w:sz w:val="16"/>
          <w:szCs w:val="16"/>
          <w:color w:val="auto"/>
        </w:rPr>
        <w:t>Lastly, we did not design and maintain effective controls over information technology (“IT”), general controls for information systems that are relevant to the preparation of our financial statements. Specifically, we did not design and maintain: (i) program change management controls for financial systems to ensure that information technology program and data changes affecting financial applications and underlying accounting records are identified, tested, authorized and implemented appropriately; (ii) user access controls to ensure appropriate segregation of duties and that adequately restrict user and privileged access to financial applications, programs, and data to appropriate Company personnel; (iii) computer operations controls to ensure that critical batch jobs are monitored and data backups are authorized and monitored; and (iv) testing and approval controls for program development to ensure that new software development is aligned with business and IT requirements.</w:t>
      </w:r>
    </w:p>
    <w:p>
      <w:pPr>
        <w:spacing w:after="0" w:line="126"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These IT deficiencies did not result in material adjustments to our consolidated financial statements, however, the deficiencies, when aggregated, could impact maintaining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not be prevented or detected. Accordingly, management has determined these IT deficiencies in the aggregate constitute a material weakness.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Activities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With the oversight of senior management and our Audit Committee, we have designed and begun to implement a remediation plan which includes:</w:t>
      </w:r>
    </w:p>
    <w:p>
      <w:pPr>
        <w:spacing w:after="0" w:line="196" w:lineRule="exact"/>
        <w:rPr>
          <w:sz w:val="20"/>
          <w:szCs w:val="20"/>
          <w:color w:val="auto"/>
        </w:rPr>
      </w:pPr>
    </w:p>
    <w:p>
      <w:pPr>
        <w:ind w:left="660" w:right="260" w:hanging="328"/>
        <w:spacing w:after="0" w:line="258"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Updating our policies and procedures to establish and maintain effective segregation of duties for our finance and accounting staff in relation to journal entries, reconciliations and other applicable processes.</w:t>
      </w:r>
    </w:p>
    <w:p>
      <w:pPr>
        <w:spacing w:after="0" w:line="1" w:lineRule="exact"/>
        <w:rPr>
          <w:rFonts w:ascii="Arial" w:cs="Arial" w:eastAsia="Arial" w:hAnsi="Arial"/>
          <w:sz w:val="18"/>
          <w:szCs w:val="18"/>
          <w:color w:val="auto"/>
        </w:rPr>
      </w:pPr>
    </w:p>
    <w:p>
      <w:pPr>
        <w:jc w:val="both"/>
        <w:ind w:left="660" w:right="60" w:hanging="328"/>
        <w:spacing w:after="0" w:line="281" w:lineRule="auto"/>
        <w:tabs>
          <w:tab w:leader="none" w:pos="655" w:val="left"/>
        </w:tabs>
        <w:numPr>
          <w:ilvl w:val="0"/>
          <w:numId w:val="14"/>
        </w:numPr>
        <w:rPr>
          <w:rFonts w:ascii="Arial" w:cs="Arial" w:eastAsia="Arial" w:hAnsi="Arial"/>
          <w:sz w:val="16"/>
          <w:szCs w:val="16"/>
          <w:color w:val="auto"/>
        </w:rPr>
      </w:pPr>
      <w:r>
        <w:rPr>
          <w:rFonts w:ascii="Arial" w:cs="Arial" w:eastAsia="Arial" w:hAnsi="Arial"/>
          <w:sz w:val="16"/>
          <w:szCs w:val="16"/>
          <w:color w:val="auto"/>
        </w:rPr>
        <w:t>Designing and implementing internal financial reporting procedures and controls to improve the completeness, accuracy and timely preparation of financial reporting and disclosures inclusive of establishing an ongoing program to provide sufficient training to our finance and accounting staff.</w:t>
      </w:r>
    </w:p>
    <w:p>
      <w:pPr>
        <w:spacing w:after="0" w:line="1" w:lineRule="exact"/>
        <w:rPr>
          <w:rFonts w:ascii="Arial" w:cs="Arial" w:eastAsia="Arial" w:hAnsi="Arial"/>
          <w:sz w:val="16"/>
          <w:szCs w:val="16"/>
          <w:color w:val="auto"/>
        </w:rPr>
      </w:pPr>
    </w:p>
    <w:p>
      <w:pPr>
        <w:ind w:left="660" w:right="100" w:hanging="328"/>
        <w:spacing w:after="0" w:line="25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Enhancing the design and operation of user access control activities and procedures to ensure that access to IT applications and data is adequately restricted to appropriate personnel.</w:t>
      </w:r>
    </w:p>
    <w:p>
      <w:pPr>
        <w:ind w:left="660" w:right="220" w:hanging="328"/>
        <w:spacing w:after="0" w:line="25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Hiring additional competent and qualified technical accounting and financial reporting personnel with appropriate knowledge and experience of U.S. GAAP and SEC financial reporting requirements, including non-routine and complex transactions, to design, execute and/or provide appropriate oversight of activities related to internal control over financial reporting, or ICFR.</w:t>
      </w:r>
    </w:p>
    <w:p>
      <w:pPr>
        <w:spacing w:after="0" w:line="1" w:lineRule="exact"/>
        <w:rPr>
          <w:rFonts w:ascii="Arial" w:cs="Arial" w:eastAsia="Arial" w:hAnsi="Arial"/>
          <w:sz w:val="18"/>
          <w:szCs w:val="18"/>
          <w:color w:val="auto"/>
        </w:rPr>
      </w:pPr>
    </w:p>
    <w:p>
      <w:pPr>
        <w:ind w:left="660" w:right="220" w:hanging="328"/>
        <w:spacing w:after="0" w:line="281" w:lineRule="auto"/>
        <w:tabs>
          <w:tab w:leader="none" w:pos="655" w:val="left"/>
        </w:tabs>
        <w:numPr>
          <w:ilvl w:val="0"/>
          <w:numId w:val="14"/>
        </w:numPr>
        <w:rPr>
          <w:rFonts w:ascii="Arial" w:cs="Arial" w:eastAsia="Arial" w:hAnsi="Arial"/>
          <w:sz w:val="16"/>
          <w:szCs w:val="16"/>
          <w:color w:val="auto"/>
        </w:rPr>
      </w:pPr>
      <w:r>
        <w:rPr>
          <w:rFonts w:ascii="Arial" w:cs="Arial" w:eastAsia="Arial" w:hAnsi="Arial"/>
          <w:sz w:val="16"/>
          <w:szCs w:val="16"/>
          <w:color w:val="auto"/>
        </w:rPr>
        <w:t>Implementing additional program change management policies and procedures, control activities, and tools to ensure changes affecting key financial systems related to IT applications and underlying accounting records are identified, authorized, tested, and implemented appropriately.</w:t>
      </w:r>
    </w:p>
    <w:p>
      <w:pPr>
        <w:spacing w:after="0" w:line="1" w:lineRule="exact"/>
        <w:rPr>
          <w:rFonts w:ascii="Arial" w:cs="Arial" w:eastAsia="Arial" w:hAnsi="Arial"/>
          <w:sz w:val="16"/>
          <w:szCs w:val="16"/>
          <w:color w:val="auto"/>
        </w:rPr>
      </w:pPr>
    </w:p>
    <w:p>
      <w:pPr>
        <w:ind w:left="660" w:hanging="328"/>
        <w:spacing w:after="0" w:line="25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Designing and implementing a formal systems development lifecycle methodology and related program development controls to ensure significant IT change events are appropriately tested and approved.</w:t>
      </w:r>
    </w:p>
    <w:p>
      <w:pPr>
        <w:ind w:left="660" w:right="500" w:hanging="328"/>
        <w:spacing w:after="0" w:line="25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Enhancing the design and operation of control activities and procedures within the computer operations domain to ensure key batch jobs are monitored, processing failures are adequately resolved, and recovery capability is tested.</w:t>
      </w:r>
    </w:p>
    <w:p>
      <w:pPr>
        <w:ind w:left="660" w:hanging="328"/>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Identifying and evaluating key IT dependencies including key reports, automated application controls, interfaces, and end user computer facilities.</w:t>
      </w:r>
    </w:p>
    <w:p>
      <w:pPr>
        <w:spacing w:after="0" w:line="193"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Although we have developed and begun to implement a plan to remediate the material weaknesses and believe, based on our evaluation to date, that the material weaknesses will be remediated in a timely fashion, we cannot project a specific timeline on when the plan will be fully implemented. The material weaknesses will not be remediated until the necessary internal controls have been designed, implemented, tested and determined to be operating effectively. In addition, we may need to take additional measures to address the material weaknesses or modify the planned remediation steps, and we cannot be certain that the measures we have taken, and expect to take, to improve our internal controls will be sufficient to</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address the issues identified, to ensure that our internal controls are effective or to ensure that the identified material weaknesses will not result in a material misstatement of our consolidated financial statements. Moreover, we cannot provide assurance that we will not identify additional material weaknesses in our ICFR in the future. Until we remediate the material weaknesses, our ability to record, process and report financial information accurately, and to prepare our consolidated financial statements within the time periods specified by the rules and forms of the SEC, could be adversely affected.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9"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Other than as described above with respect to ongoing remediation efforts, there were no changes in our internal control over financial reporting as such term is defined in Exchange Act Rule 13a-15(f) during the quarter ended September 30, 2023 that have materially affected, or are reasonably likely to materially affect, our internal control over financial reporting.</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8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From time to time, we have and we may become involved in legal proceedings arising in the ordinary course of business, including claims related to our employment practices, claims of intellectual property infringement and claims related to personal injuries and product liability for the products that we sell and in the Showrooms we operate. Any claims could result in litigation against us and could result in regulatory proceedings being brought against us by various federal and state agencies that regulate our business. Defending such litigation is costly and can impose significant burdens on management and employees. Further, we could receive unfavorable preliminary or interim rulings in the course of litigation, and there can be no assurance that favorable final outcomes will be obtained.</w:t>
      </w:r>
    </w:p>
    <w:p>
      <w:pPr>
        <w:spacing w:after="0" w:line="15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are currently not a party to any legal proceedings, the outcome of which, if determined adversely to us, would individually or in the aggregate have a material adverse effect on our business, financial condition or results of operations.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There have been no material changes from the risk factors disclosed in Part I, Item 1A “Risk Factors” in our Annual Report on Form 10-K for the year ended December 31, 2022.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02"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following table contains information with respect to repurchases of shares made by the Company during the three months ended September 30, 2023. The table reflects shares delivered to the Company by employees to satisfy tax withholding obligations due upon the vesting of restricted stock. These shares were not repurchased in connection with any publicly announced share repurchase programs.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4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Approximate dollar value of</w:t>
            </w:r>
          </w:p>
        </w:tc>
      </w:tr>
      <w:tr>
        <w:trPr>
          <w:trHeight w:val="216"/>
        </w:trPr>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Total number of shares</w:t>
            </w:r>
          </w:p>
        </w:tc>
        <w:tc>
          <w:tcPr>
            <w:tcW w:w="160" w:type="dxa"/>
            <w:vAlign w:val="bottom"/>
          </w:tcPr>
          <w:p>
            <w:pPr>
              <w:spacing w:after="0"/>
              <w:rPr>
                <w:sz w:val="18"/>
                <w:szCs w:val="18"/>
                <w:color w:val="auto"/>
              </w:rPr>
            </w:pPr>
          </w:p>
        </w:tc>
        <w:tc>
          <w:tcPr>
            <w:tcW w:w="244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shares that may yet be</w:t>
            </w:r>
          </w:p>
        </w:tc>
      </w:tr>
      <w:tr>
        <w:trPr>
          <w:trHeight w:val="216"/>
        </w:trPr>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Total number of shares</w:t>
            </w:r>
          </w:p>
        </w:tc>
        <w:tc>
          <w:tcPr>
            <w:tcW w:w="140" w:type="dxa"/>
            <w:vAlign w:val="bottom"/>
          </w:tcPr>
          <w:p>
            <w:pPr>
              <w:spacing w:after="0"/>
              <w:rPr>
                <w:sz w:val="18"/>
                <w:szCs w:val="18"/>
                <w:color w:val="auto"/>
              </w:rPr>
            </w:pPr>
          </w:p>
        </w:tc>
        <w:tc>
          <w:tcPr>
            <w:tcW w:w="20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Average price paid per</w:t>
            </w:r>
          </w:p>
        </w:tc>
        <w:tc>
          <w:tcPr>
            <w:tcW w:w="22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purchased as part of</w:t>
            </w:r>
          </w:p>
        </w:tc>
        <w:tc>
          <w:tcPr>
            <w:tcW w:w="160" w:type="dxa"/>
            <w:vAlign w:val="bottom"/>
          </w:tcPr>
          <w:p>
            <w:pPr>
              <w:spacing w:after="0"/>
              <w:rPr>
                <w:sz w:val="18"/>
                <w:szCs w:val="18"/>
                <w:color w:val="auto"/>
              </w:rPr>
            </w:pPr>
          </w:p>
        </w:tc>
        <w:tc>
          <w:tcPr>
            <w:tcW w:w="244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purchased under publicly</w:t>
            </w:r>
          </w:p>
        </w:tc>
      </w:tr>
      <w:tr>
        <w:trPr>
          <w:trHeight w:val="234"/>
        </w:trPr>
        <w:tc>
          <w:tcPr>
            <w:tcW w:w="1960" w:type="dxa"/>
            <w:vAlign w:val="bottom"/>
            <w:gridSpan w:val="2"/>
          </w:tcPr>
          <w:p>
            <w:pPr>
              <w:ind w:left="20"/>
              <w:spacing w:after="0"/>
              <w:rPr>
                <w:sz w:val="20"/>
                <w:szCs w:val="20"/>
                <w:color w:val="auto"/>
              </w:rPr>
            </w:pPr>
            <w:r>
              <w:rPr>
                <w:rFonts w:ascii="Arial" w:cs="Arial" w:eastAsia="Arial" w:hAnsi="Arial"/>
                <w:sz w:val="18"/>
                <w:szCs w:val="18"/>
                <w:b w:val="1"/>
                <w:bCs w:val="1"/>
                <w:color w:val="auto"/>
              </w:rPr>
              <w:t>Period</w:t>
            </w:r>
          </w:p>
        </w:tc>
        <w:tc>
          <w:tcPr>
            <w:tcW w:w="2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purchased</w:t>
            </w:r>
          </w:p>
        </w:tc>
        <w:tc>
          <w:tcPr>
            <w:tcW w:w="140" w:type="dxa"/>
            <w:vAlign w:val="bottom"/>
          </w:tcPr>
          <w:p>
            <w:pPr>
              <w:spacing w:after="0"/>
              <w:rPr>
                <w:sz w:val="20"/>
                <w:szCs w:val="20"/>
                <w:color w:val="auto"/>
              </w:rPr>
            </w:pPr>
          </w:p>
        </w:tc>
        <w:tc>
          <w:tcPr>
            <w:tcW w:w="20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share</w:t>
            </w:r>
          </w:p>
        </w:tc>
        <w:tc>
          <w:tcPr>
            <w:tcW w:w="22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publicly announced plans</w:t>
            </w:r>
          </w:p>
        </w:tc>
        <w:tc>
          <w:tcPr>
            <w:tcW w:w="160" w:type="dxa"/>
            <w:vAlign w:val="bottom"/>
          </w:tcPr>
          <w:p>
            <w:pPr>
              <w:spacing w:after="0"/>
              <w:rPr>
                <w:sz w:val="20"/>
                <w:szCs w:val="20"/>
                <w:color w:val="auto"/>
              </w:rPr>
            </w:pPr>
          </w:p>
        </w:tc>
        <w:tc>
          <w:tcPr>
            <w:tcW w:w="244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announced plans</w:t>
            </w:r>
          </w:p>
        </w:tc>
      </w:tr>
      <w:tr>
        <w:trPr>
          <w:trHeight w:val="27"/>
        </w:trPr>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r>
      <w:tr>
        <w:trPr>
          <w:trHeight w:val="223"/>
        </w:trPr>
        <w:tc>
          <w:tcPr>
            <w:tcW w:w="1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July 2023</w:t>
            </w:r>
          </w:p>
        </w:tc>
        <w:tc>
          <w:tcPr>
            <w:tcW w:w="1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160" w:type="dxa"/>
            <w:vAlign w:val="bottom"/>
            <w:shd w:val="clear" w:color="auto" w:fill="CCEEFF"/>
          </w:tcPr>
          <w:p>
            <w:pPr>
              <w:ind w:left="19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440" w:type="dxa"/>
            <w:vAlign w:val="bottom"/>
            <w:shd w:val="clear" w:color="auto" w:fill="CCEEFF"/>
          </w:tcPr>
          <w:p>
            <w:pPr>
              <w:ind w:left="2180"/>
              <w:spacing w:after="0"/>
              <w:rPr>
                <w:sz w:val="20"/>
                <w:szCs w:val="20"/>
                <w:color w:val="auto"/>
              </w:rPr>
            </w:pPr>
            <w:r>
              <w:rPr>
                <w:rFonts w:ascii="Arial" w:cs="Arial" w:eastAsia="Arial" w:hAnsi="Arial"/>
                <w:sz w:val="18"/>
                <w:szCs w:val="18"/>
                <w:color w:val="auto"/>
              </w:rPr>
              <w:t>—</w:t>
            </w:r>
          </w:p>
        </w:tc>
      </w:tr>
      <w:tr>
        <w:trPr>
          <w:trHeight w:val="230"/>
        </w:trPr>
        <w:tc>
          <w:tcPr>
            <w:tcW w:w="1960" w:type="dxa"/>
            <w:vAlign w:val="bottom"/>
            <w:gridSpan w:val="2"/>
          </w:tcPr>
          <w:p>
            <w:pPr>
              <w:ind w:left="20"/>
              <w:spacing w:after="0"/>
              <w:rPr>
                <w:sz w:val="20"/>
                <w:szCs w:val="20"/>
                <w:color w:val="auto"/>
              </w:rPr>
            </w:pPr>
            <w:r>
              <w:rPr>
                <w:rFonts w:ascii="Arial" w:cs="Arial" w:eastAsia="Arial" w:hAnsi="Arial"/>
                <w:sz w:val="18"/>
                <w:szCs w:val="18"/>
                <w:color w:val="auto"/>
              </w:rPr>
              <w:t>August 2023</w:t>
            </w:r>
          </w:p>
        </w:tc>
        <w:tc>
          <w:tcPr>
            <w:tcW w:w="2120" w:type="dxa"/>
            <w:vAlign w:val="bottom"/>
          </w:tcPr>
          <w:p>
            <w:pPr>
              <w:jc w:val="right"/>
              <w:spacing w:after="0"/>
              <w:rPr>
                <w:sz w:val="20"/>
                <w:szCs w:val="20"/>
                <w:color w:val="auto"/>
              </w:rPr>
            </w:pPr>
            <w:r>
              <w:rPr>
                <w:rFonts w:ascii="Arial" w:cs="Arial" w:eastAsia="Arial" w:hAnsi="Arial"/>
                <w:sz w:val="18"/>
                <w:szCs w:val="18"/>
                <w:color w:val="auto"/>
              </w:rPr>
              <w:t>58,609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11.56</w:t>
            </w:r>
          </w:p>
        </w:tc>
        <w:tc>
          <w:tcPr>
            <w:tcW w:w="80" w:type="dxa"/>
            <w:vAlign w:val="bottom"/>
          </w:tcPr>
          <w:p>
            <w:pPr>
              <w:spacing w:after="0"/>
              <w:rPr>
                <w:sz w:val="19"/>
                <w:szCs w:val="19"/>
                <w:color w:val="auto"/>
              </w:rPr>
            </w:pPr>
          </w:p>
        </w:tc>
        <w:tc>
          <w:tcPr>
            <w:tcW w:w="2240" w:type="dxa"/>
            <w:vAlign w:val="bottom"/>
            <w:gridSpan w:val="2"/>
          </w:tcPr>
          <w:p>
            <w:pPr>
              <w:ind w:left="19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440" w:type="dxa"/>
            <w:vAlign w:val="bottom"/>
          </w:tcPr>
          <w:p>
            <w:pPr>
              <w:ind w:left="2180"/>
              <w:spacing w:after="0"/>
              <w:rPr>
                <w:sz w:val="20"/>
                <w:szCs w:val="20"/>
                <w:color w:val="auto"/>
              </w:rPr>
            </w:pPr>
            <w:r>
              <w:rPr>
                <w:rFonts w:ascii="Arial" w:cs="Arial" w:eastAsia="Arial" w:hAnsi="Arial"/>
                <w:sz w:val="18"/>
                <w:szCs w:val="18"/>
                <w:color w:val="auto"/>
              </w:rPr>
              <w:t>—</w:t>
            </w:r>
          </w:p>
        </w:tc>
      </w:tr>
      <w:tr>
        <w:trPr>
          <w:trHeight w:val="229"/>
        </w:trPr>
        <w:tc>
          <w:tcPr>
            <w:tcW w:w="1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September 2023</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160" w:type="dxa"/>
            <w:vAlign w:val="bottom"/>
            <w:tcBorders>
              <w:bottom w:val="single" w:sz="8" w:color="auto"/>
            </w:tcBorders>
            <w:shd w:val="clear" w:color="auto" w:fill="CCEEFF"/>
          </w:tcPr>
          <w:p>
            <w:pPr>
              <w:ind w:left="19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2440" w:type="dxa"/>
            <w:vAlign w:val="bottom"/>
            <w:tcBorders>
              <w:bottom w:val="single" w:sz="8" w:color="auto"/>
            </w:tcBorders>
            <w:shd w:val="clear" w:color="auto" w:fill="CCEEFF"/>
          </w:tcPr>
          <w:p>
            <w:pPr>
              <w:ind w:left="2180"/>
              <w:spacing w:after="0"/>
              <w:rPr>
                <w:sz w:val="20"/>
                <w:szCs w:val="20"/>
                <w:color w:val="auto"/>
              </w:rPr>
            </w:pPr>
            <w:r>
              <w:rPr>
                <w:rFonts w:ascii="Arial" w:cs="Arial" w:eastAsia="Arial" w:hAnsi="Arial"/>
                <w:sz w:val="18"/>
                <w:szCs w:val="18"/>
                <w:color w:val="auto"/>
              </w:rPr>
              <w:t>—</w:t>
            </w:r>
          </w:p>
        </w:tc>
      </w:tr>
      <w:tr>
        <w:trPr>
          <w:trHeight w:val="264"/>
        </w:trPr>
        <w:tc>
          <w:tcPr>
            <w:tcW w:w="19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120" w:type="dxa"/>
            <w:vAlign w:val="bottom"/>
          </w:tcPr>
          <w:p>
            <w:pPr>
              <w:jc w:val="right"/>
              <w:spacing w:after="0"/>
              <w:rPr>
                <w:sz w:val="20"/>
                <w:szCs w:val="20"/>
                <w:color w:val="auto"/>
              </w:rPr>
            </w:pPr>
            <w:r>
              <w:rPr>
                <w:rFonts w:ascii="Arial" w:cs="Arial" w:eastAsia="Arial" w:hAnsi="Arial"/>
                <w:sz w:val="18"/>
                <w:szCs w:val="18"/>
                <w:color w:val="auto"/>
              </w:rPr>
              <w:t>58,609</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11.56</w:t>
            </w:r>
          </w:p>
        </w:tc>
        <w:tc>
          <w:tcPr>
            <w:tcW w:w="80" w:type="dxa"/>
            <w:vAlign w:val="bottom"/>
          </w:tcPr>
          <w:p>
            <w:pPr>
              <w:spacing w:after="0"/>
              <w:rPr>
                <w:sz w:val="22"/>
                <w:szCs w:val="22"/>
                <w:color w:val="auto"/>
              </w:rPr>
            </w:pPr>
          </w:p>
        </w:tc>
        <w:tc>
          <w:tcPr>
            <w:tcW w:w="2240" w:type="dxa"/>
            <w:vAlign w:val="bottom"/>
            <w:gridSpan w:val="2"/>
          </w:tcPr>
          <w:p>
            <w:pPr>
              <w:ind w:left="19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440" w:type="dxa"/>
            <w:vAlign w:val="bottom"/>
          </w:tcPr>
          <w:p>
            <w:pPr>
              <w:ind w:left="2180"/>
              <w:spacing w:after="0"/>
              <w:rPr>
                <w:sz w:val="20"/>
                <w:szCs w:val="20"/>
                <w:color w:val="auto"/>
              </w:rPr>
            </w:pPr>
            <w:r>
              <w:rPr>
                <w:rFonts w:ascii="Arial" w:cs="Arial" w:eastAsia="Arial" w:hAnsi="Arial"/>
                <w:sz w:val="18"/>
                <w:szCs w:val="18"/>
                <w:color w:val="auto"/>
              </w:rPr>
              <w:t>—</w:t>
            </w:r>
          </w:p>
        </w:tc>
      </w:tr>
      <w:tr>
        <w:trPr>
          <w:trHeight w:val="20"/>
        </w:trPr>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40" w:type="dxa"/>
            <w:vAlign w:val="bottom"/>
            <w:tcBorders>
              <w:top w:val="single" w:sz="8" w:color="auto"/>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gridSpan w:val="7"/>
          </w:tcPr>
          <w:p>
            <w:pPr>
              <w:spacing w:after="0"/>
              <w:rPr>
                <w:sz w:val="20"/>
                <w:szCs w:val="20"/>
                <w:color w:val="auto"/>
              </w:rPr>
            </w:pPr>
            <w:r>
              <w:rPr>
                <w:rFonts w:ascii="Arial" w:cs="Arial" w:eastAsia="Arial" w:hAnsi="Arial"/>
                <w:sz w:val="18"/>
                <w:szCs w:val="18"/>
                <w:b w:val="1"/>
                <w:bCs w:val="1"/>
                <w:color w:val="auto"/>
                <w:w w:val="92"/>
              </w:rPr>
              <w:t>Item 6. Exhibits</w:t>
            </w:r>
          </w:p>
        </w:tc>
        <w:tc>
          <w:tcPr>
            <w:tcW w:w="6760" w:type="dxa"/>
            <w:vAlign w:val="bottom"/>
          </w:tcPr>
          <w:p>
            <w:pPr>
              <w:spacing w:after="0"/>
              <w:rPr>
                <w:sz w:val="20"/>
                <w:szCs w:val="20"/>
                <w:color w:val="auto"/>
              </w:rPr>
            </w:pPr>
          </w:p>
        </w:tc>
        <w:tc>
          <w:tcPr>
            <w:tcW w:w="3240" w:type="dxa"/>
            <w:vAlign w:val="bottom"/>
          </w:tcPr>
          <w:p>
            <w:pPr>
              <w:spacing w:after="0"/>
              <w:rPr>
                <w:sz w:val="20"/>
                <w:szCs w:val="20"/>
                <w:color w:val="auto"/>
              </w:rPr>
            </w:pPr>
          </w:p>
        </w:tc>
      </w:tr>
      <w:tr>
        <w:trPr>
          <w:trHeight w:val="257"/>
        </w:trPr>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6"/>
              </w:rPr>
              <w:t>Exhibit</w:t>
            </w:r>
          </w:p>
        </w:tc>
        <w:tc>
          <w:tcPr>
            <w:tcW w:w="6760" w:type="dxa"/>
            <w:vAlign w:val="bottom"/>
          </w:tcPr>
          <w:p>
            <w:pPr>
              <w:spacing w:after="0"/>
              <w:rPr>
                <w:sz w:val="22"/>
                <w:szCs w:val="22"/>
                <w:color w:val="auto"/>
              </w:rPr>
            </w:pPr>
          </w:p>
        </w:tc>
        <w:tc>
          <w:tcPr>
            <w:tcW w:w="3240" w:type="dxa"/>
            <w:vAlign w:val="bottom"/>
          </w:tcPr>
          <w:p>
            <w:pPr>
              <w:ind w:left="120"/>
              <w:spacing w:after="0"/>
              <w:rPr>
                <w:sz w:val="20"/>
                <w:szCs w:val="20"/>
                <w:color w:val="auto"/>
              </w:rPr>
            </w:pPr>
            <w:r>
              <w:rPr>
                <w:rFonts w:ascii="Arial" w:cs="Arial" w:eastAsia="Arial" w:hAnsi="Arial"/>
                <w:sz w:val="18"/>
                <w:szCs w:val="18"/>
                <w:b w:val="1"/>
                <w:bCs w:val="1"/>
                <w:color w:val="auto"/>
                <w:w w:val="91"/>
              </w:rPr>
              <w:t>Filings Referenced for Incorporation by</w:t>
            </w:r>
          </w:p>
        </w:tc>
      </w:tr>
      <w:tr>
        <w:trPr>
          <w:trHeight w:val="243"/>
        </w:trPr>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3"/>
          </w:tcPr>
          <w:p>
            <w:pPr>
              <w:jc w:val="center"/>
              <w:ind w:right="540"/>
              <w:spacing w:after="0"/>
              <w:rPr>
                <w:sz w:val="20"/>
                <w:szCs w:val="20"/>
                <w:color w:val="auto"/>
              </w:rPr>
            </w:pPr>
            <w:r>
              <w:rPr>
                <w:rFonts w:ascii="Arial" w:cs="Arial" w:eastAsia="Arial" w:hAnsi="Arial"/>
                <w:sz w:val="18"/>
                <w:szCs w:val="18"/>
                <w:b w:val="1"/>
                <w:bCs w:val="1"/>
                <w:color w:val="auto"/>
                <w:w w:val="89"/>
              </w:rPr>
              <w:t>No.</w:t>
            </w:r>
          </w:p>
        </w:tc>
        <w:tc>
          <w:tcPr>
            <w:tcW w:w="6760" w:type="dxa"/>
            <w:vAlign w:val="bottom"/>
          </w:tcPr>
          <w:p>
            <w:pPr>
              <w:ind w:left="2960"/>
              <w:spacing w:after="0"/>
              <w:rPr>
                <w:sz w:val="20"/>
                <w:szCs w:val="20"/>
                <w:color w:val="auto"/>
              </w:rPr>
            </w:pPr>
            <w:r>
              <w:rPr>
                <w:rFonts w:ascii="Arial" w:cs="Arial" w:eastAsia="Arial" w:hAnsi="Arial"/>
                <w:sz w:val="18"/>
                <w:szCs w:val="18"/>
                <w:b w:val="1"/>
                <w:bCs w:val="1"/>
                <w:color w:val="auto"/>
              </w:rPr>
              <w:t>Description</w:t>
            </w:r>
          </w:p>
        </w:tc>
        <w:tc>
          <w:tcPr>
            <w:tcW w:w="3240" w:type="dxa"/>
            <w:vAlign w:val="bottom"/>
          </w:tcPr>
          <w:p>
            <w:pPr>
              <w:ind w:left="1260"/>
              <w:spacing w:after="0"/>
              <w:rPr>
                <w:sz w:val="20"/>
                <w:szCs w:val="20"/>
                <w:color w:val="auto"/>
              </w:rPr>
            </w:pPr>
            <w:r>
              <w:rPr>
                <w:rFonts w:ascii="Arial" w:cs="Arial" w:eastAsia="Arial" w:hAnsi="Arial"/>
                <w:sz w:val="18"/>
                <w:szCs w:val="18"/>
                <w:b w:val="1"/>
                <w:bCs w:val="1"/>
                <w:color w:val="auto"/>
              </w:rPr>
              <w:t>Reference</w:t>
            </w:r>
          </w:p>
        </w:tc>
      </w:tr>
      <w:tr>
        <w:trPr>
          <w:trHeight w:val="263"/>
        </w:trPr>
        <w:tc>
          <w:tcPr>
            <w:tcW w:w="20" w:type="dxa"/>
            <w:vAlign w:val="bottom"/>
            <w:tcBorders>
              <w:top w:val="single" w:sz="8" w:color="auto"/>
            </w:tcBorders>
          </w:tcPr>
          <w:p>
            <w:pPr>
              <w:spacing w:after="0"/>
              <w:rPr>
                <w:sz w:val="22"/>
                <w:szCs w:val="22"/>
                <w:color w:val="auto"/>
              </w:rPr>
            </w:pPr>
          </w:p>
        </w:tc>
        <w:tc>
          <w:tcPr>
            <w:tcW w:w="240" w:type="dxa"/>
            <w:vAlign w:val="bottom"/>
            <w:tcBorders>
              <w:top w:val="single" w:sz="8" w:color="auto"/>
              <w:bottom w:val="single" w:sz="8" w:color="0000FF"/>
            </w:tcBorders>
          </w:tcPr>
          <w:p>
            <w:pPr>
              <w:spacing w:after="0"/>
              <w:rPr>
                <w:rFonts w:ascii="Arial" w:cs="Arial" w:eastAsia="Arial" w:hAnsi="Arial"/>
                <w:sz w:val="18"/>
                <w:szCs w:val="18"/>
                <w:color w:val="0000FF"/>
                <w:w w:val="87"/>
              </w:rPr>
            </w:pPr>
            <w:hyperlink r:id="rId85">
              <w:r>
                <w:rPr>
                  <w:rFonts w:ascii="Arial" w:cs="Arial" w:eastAsia="Arial" w:hAnsi="Arial"/>
                  <w:sz w:val="18"/>
                  <w:szCs w:val="18"/>
                  <w:color w:val="0000FF"/>
                  <w:w w:val="87"/>
                </w:rPr>
                <w:t>3.</w:t>
              </w:r>
              <w:r>
                <w:rPr>
                  <w:rFonts w:ascii="Arial" w:cs="Arial" w:eastAsia="Arial" w:hAnsi="Arial"/>
                  <w:sz w:val="18"/>
                  <w:szCs w:val="18"/>
                  <w:u w:val="single" w:color="auto"/>
                  <w:color w:val="0000FF"/>
                  <w:w w:val="87"/>
                </w:rPr>
                <w:t>1</w:t>
              </w:r>
            </w:hyperlink>
          </w:p>
        </w:tc>
        <w:tc>
          <w:tcPr>
            <w:tcW w:w="8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67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Amended and Restated Certificate of Incorporation of Arhaus, Inc.</w:t>
            </w:r>
          </w:p>
        </w:tc>
        <w:tc>
          <w:tcPr>
            <w:tcW w:w="324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w w:val="94"/>
              </w:rPr>
              <w:t>November 10, 2021 Form 8-K, Exhibit 3.1</w:t>
            </w:r>
          </w:p>
        </w:tc>
      </w:tr>
      <w:tr>
        <w:trPr>
          <w:trHeight w:val="345"/>
        </w:trPr>
        <w:tc>
          <w:tcPr>
            <w:tcW w:w="20" w:type="dxa"/>
            <w:vAlign w:val="bottom"/>
          </w:tcPr>
          <w:p>
            <w:pPr>
              <w:spacing w:after="0"/>
              <w:rPr>
                <w:sz w:val="24"/>
                <w:szCs w:val="24"/>
                <w:color w:val="auto"/>
              </w:rPr>
            </w:pPr>
          </w:p>
        </w:tc>
        <w:tc>
          <w:tcPr>
            <w:tcW w:w="240" w:type="dxa"/>
            <w:vAlign w:val="bottom"/>
            <w:tcBorders>
              <w:bottom w:val="single" w:sz="8" w:color="0000FF"/>
            </w:tcBorders>
          </w:tcPr>
          <w:p>
            <w:pPr>
              <w:spacing w:after="0"/>
              <w:rPr>
                <w:rFonts w:ascii="Arial" w:cs="Arial" w:eastAsia="Arial" w:hAnsi="Arial"/>
                <w:sz w:val="18"/>
                <w:szCs w:val="18"/>
                <w:color w:val="0000FF"/>
                <w:w w:val="87"/>
              </w:rPr>
            </w:pPr>
            <w:hyperlink r:id="rId86">
              <w:r>
                <w:rPr>
                  <w:rFonts w:ascii="Arial" w:cs="Arial" w:eastAsia="Arial" w:hAnsi="Arial"/>
                  <w:sz w:val="18"/>
                  <w:szCs w:val="18"/>
                  <w:color w:val="0000FF"/>
                  <w:w w:val="87"/>
                </w:rPr>
                <w:t>3.</w:t>
              </w:r>
              <w:r>
                <w:rPr>
                  <w:rFonts w:ascii="Arial" w:cs="Arial" w:eastAsia="Arial" w:hAnsi="Arial"/>
                  <w:sz w:val="18"/>
                  <w:szCs w:val="18"/>
                  <w:u w:val="single" w:color="auto"/>
                  <w:color w:val="0000FF"/>
                  <w:w w:val="87"/>
                </w:rPr>
                <w:t>2</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Amended and Restated Bylaws of Arhaus, Inc.</w:t>
            </w:r>
          </w:p>
        </w:tc>
        <w:tc>
          <w:tcPr>
            <w:tcW w:w="3240" w:type="dxa"/>
            <w:vAlign w:val="bottom"/>
          </w:tcPr>
          <w:p>
            <w:pPr>
              <w:ind w:left="80"/>
              <w:spacing w:after="0"/>
              <w:rPr>
                <w:sz w:val="20"/>
                <w:szCs w:val="20"/>
                <w:color w:val="auto"/>
              </w:rPr>
            </w:pPr>
            <w:r>
              <w:rPr>
                <w:rFonts w:ascii="Arial" w:cs="Arial" w:eastAsia="Arial" w:hAnsi="Arial"/>
                <w:sz w:val="18"/>
                <w:szCs w:val="18"/>
                <w:color w:val="auto"/>
                <w:w w:val="94"/>
              </w:rPr>
              <w:t>November 10, 2021 Form 8-K, Exhibit 3.2</w:t>
            </w:r>
          </w:p>
        </w:tc>
      </w:tr>
      <w:tr>
        <w:trPr>
          <w:trHeight w:val="344"/>
        </w:trPr>
        <w:tc>
          <w:tcPr>
            <w:tcW w:w="440" w:type="dxa"/>
            <w:vAlign w:val="bottom"/>
            <w:gridSpan w:val="4"/>
          </w:tcPr>
          <w:p>
            <w:pPr>
              <w:ind w:left="20"/>
              <w:spacing w:after="0"/>
              <w:rPr>
                <w:sz w:val="20"/>
                <w:szCs w:val="20"/>
                <w:color w:val="auto"/>
              </w:rPr>
            </w:pPr>
            <w:r>
              <w:rPr>
                <w:rFonts w:ascii="Arial" w:cs="Arial" w:eastAsia="Arial" w:hAnsi="Arial"/>
                <w:sz w:val="18"/>
                <w:szCs w:val="18"/>
                <w:color w:val="0000FF"/>
              </w:rPr>
              <w:t>31.</w:t>
            </w:r>
            <w:r>
              <w:rPr>
                <w:rFonts w:ascii="Arial" w:cs="Arial" w:eastAsia="Arial" w:hAnsi="Arial"/>
                <w:sz w:val="18"/>
                <w:szCs w:val="18"/>
                <w:u w:val="single" w:color="auto"/>
                <w:color w:val="0000FF"/>
              </w:rPr>
              <w:t>1</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760" w:type="dxa"/>
            <w:vAlign w:val="bottom"/>
          </w:tcPr>
          <w:p>
            <w:pPr>
              <w:spacing w:after="0"/>
              <w:rPr>
                <w:sz w:val="20"/>
                <w:szCs w:val="20"/>
                <w:color w:val="auto"/>
              </w:rPr>
            </w:pPr>
            <w:r>
              <w:rPr>
                <w:rFonts w:ascii="Arial" w:cs="Arial" w:eastAsia="Arial" w:hAnsi="Arial"/>
                <w:sz w:val="18"/>
                <w:szCs w:val="18"/>
                <w:color w:val="auto"/>
                <w:w w:val="97"/>
              </w:rPr>
              <w:t>Certificate of Chief Executive Officer Pursuant to Rules 13a-14(a) and 15d-14(a) of the</w:t>
            </w:r>
          </w:p>
        </w:tc>
        <w:tc>
          <w:tcPr>
            <w:tcW w:w="3240" w:type="dxa"/>
            <w:vAlign w:val="bottom"/>
          </w:tcPr>
          <w:p>
            <w:pPr>
              <w:ind w:left="80"/>
              <w:spacing w:after="0"/>
              <w:rPr>
                <w:sz w:val="20"/>
                <w:szCs w:val="20"/>
                <w:color w:val="auto"/>
              </w:rPr>
            </w:pPr>
            <w:r>
              <w:rPr>
                <w:rFonts w:ascii="Arial" w:cs="Arial" w:eastAsia="Arial" w:hAnsi="Arial"/>
                <w:sz w:val="18"/>
                <w:szCs w:val="18"/>
                <w:color w:val="auto"/>
              </w:rPr>
              <w:t>Filed herewith</w:t>
            </w:r>
          </w:p>
        </w:tc>
      </w:tr>
      <w:tr>
        <w:trPr>
          <w:trHeight w:val="195"/>
        </w:trPr>
        <w:tc>
          <w:tcPr>
            <w:tcW w:w="20" w:type="dxa"/>
            <w:vAlign w:val="bottom"/>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760" w:type="dxa"/>
            <w:vAlign w:val="bottom"/>
          </w:tcPr>
          <w:p>
            <w:pPr>
              <w:spacing w:after="0" w:line="195" w:lineRule="exact"/>
              <w:rPr>
                <w:sz w:val="20"/>
                <w:szCs w:val="20"/>
                <w:color w:val="auto"/>
              </w:rPr>
            </w:pPr>
            <w:r>
              <w:rPr>
                <w:rFonts w:ascii="Arial" w:cs="Arial" w:eastAsia="Arial" w:hAnsi="Arial"/>
                <w:sz w:val="18"/>
                <w:szCs w:val="18"/>
                <w:color w:val="auto"/>
                <w:w w:val="90"/>
              </w:rPr>
              <w:t>Securities Exchange Act of 1934, as Adopted Pursuant to Section 302 of the Sarbanes-Oxley</w:t>
            </w:r>
          </w:p>
        </w:tc>
        <w:tc>
          <w:tcPr>
            <w:tcW w:w="3240" w:type="dxa"/>
            <w:vAlign w:val="bottom"/>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Act of 2002</w:t>
            </w:r>
          </w:p>
        </w:tc>
        <w:tc>
          <w:tcPr>
            <w:tcW w:w="3240" w:type="dxa"/>
            <w:vAlign w:val="bottom"/>
          </w:tcPr>
          <w:p>
            <w:pPr>
              <w:spacing w:after="0"/>
              <w:rPr>
                <w:sz w:val="20"/>
                <w:szCs w:val="20"/>
                <w:color w:val="auto"/>
              </w:rPr>
            </w:pPr>
          </w:p>
        </w:tc>
      </w:tr>
      <w:tr>
        <w:trPr>
          <w:trHeight w:val="324"/>
        </w:trPr>
        <w:tc>
          <w:tcPr>
            <w:tcW w:w="440" w:type="dxa"/>
            <w:vAlign w:val="bottom"/>
            <w:gridSpan w:val="4"/>
          </w:tcPr>
          <w:p>
            <w:pPr>
              <w:ind w:left="20"/>
              <w:spacing w:after="0"/>
              <w:rPr>
                <w:sz w:val="20"/>
                <w:szCs w:val="20"/>
                <w:color w:val="auto"/>
              </w:rPr>
            </w:pPr>
            <w:r>
              <w:rPr>
                <w:rFonts w:ascii="Arial" w:cs="Arial" w:eastAsia="Arial" w:hAnsi="Arial"/>
                <w:sz w:val="18"/>
                <w:szCs w:val="18"/>
                <w:color w:val="0000FF"/>
              </w:rPr>
              <w:t>31.</w:t>
            </w:r>
            <w:r>
              <w:rPr>
                <w:rFonts w:ascii="Arial" w:cs="Arial" w:eastAsia="Arial" w:hAnsi="Arial"/>
                <w:sz w:val="18"/>
                <w:szCs w:val="18"/>
                <w:u w:val="single" w:color="auto"/>
                <w:color w:val="0000FF"/>
              </w:rPr>
              <w:t>2</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760" w:type="dxa"/>
            <w:vAlign w:val="bottom"/>
          </w:tcPr>
          <w:p>
            <w:pPr>
              <w:spacing w:after="0"/>
              <w:rPr>
                <w:sz w:val="20"/>
                <w:szCs w:val="20"/>
                <w:color w:val="auto"/>
              </w:rPr>
            </w:pPr>
            <w:r>
              <w:rPr>
                <w:rFonts w:ascii="Arial" w:cs="Arial" w:eastAsia="Arial" w:hAnsi="Arial"/>
                <w:sz w:val="18"/>
                <w:szCs w:val="18"/>
                <w:color w:val="auto"/>
                <w:w w:val="98"/>
              </w:rPr>
              <w:t>Certificate of Chief Financial Officer Pursuant to Rules 13a-14(a) and 15d-14(a) of the</w:t>
            </w:r>
          </w:p>
        </w:tc>
        <w:tc>
          <w:tcPr>
            <w:tcW w:w="3240" w:type="dxa"/>
            <w:vAlign w:val="bottom"/>
          </w:tcPr>
          <w:p>
            <w:pPr>
              <w:ind w:left="80"/>
              <w:spacing w:after="0"/>
              <w:rPr>
                <w:sz w:val="20"/>
                <w:szCs w:val="20"/>
                <w:color w:val="auto"/>
              </w:rPr>
            </w:pPr>
            <w:r>
              <w:rPr>
                <w:rFonts w:ascii="Arial" w:cs="Arial" w:eastAsia="Arial" w:hAnsi="Arial"/>
                <w:sz w:val="18"/>
                <w:szCs w:val="18"/>
                <w:color w:val="auto"/>
              </w:rPr>
              <w:t>Filed herewith</w:t>
            </w:r>
          </w:p>
        </w:tc>
      </w:tr>
      <w:tr>
        <w:trPr>
          <w:trHeight w:val="195"/>
        </w:trPr>
        <w:tc>
          <w:tcPr>
            <w:tcW w:w="20" w:type="dxa"/>
            <w:vAlign w:val="bottom"/>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760" w:type="dxa"/>
            <w:vAlign w:val="bottom"/>
          </w:tcPr>
          <w:p>
            <w:pPr>
              <w:spacing w:after="0" w:line="195" w:lineRule="exact"/>
              <w:rPr>
                <w:sz w:val="20"/>
                <w:szCs w:val="20"/>
                <w:color w:val="auto"/>
              </w:rPr>
            </w:pPr>
            <w:r>
              <w:rPr>
                <w:rFonts w:ascii="Arial" w:cs="Arial" w:eastAsia="Arial" w:hAnsi="Arial"/>
                <w:sz w:val="18"/>
                <w:szCs w:val="18"/>
                <w:color w:val="auto"/>
                <w:w w:val="90"/>
              </w:rPr>
              <w:t>Securities Exchange Act of 1934, as Adopted Pursuant to Section 302 of the Sarbanes-Oxley</w:t>
            </w:r>
          </w:p>
        </w:tc>
        <w:tc>
          <w:tcPr>
            <w:tcW w:w="3240" w:type="dxa"/>
            <w:vAlign w:val="bottom"/>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Act of 2002</w:t>
            </w:r>
          </w:p>
        </w:tc>
        <w:tc>
          <w:tcPr>
            <w:tcW w:w="3240" w:type="dxa"/>
            <w:vAlign w:val="bottom"/>
          </w:tcPr>
          <w:p>
            <w:pPr>
              <w:spacing w:after="0"/>
              <w:rPr>
                <w:sz w:val="20"/>
                <w:szCs w:val="20"/>
                <w:color w:val="auto"/>
              </w:rPr>
            </w:pPr>
          </w:p>
        </w:tc>
      </w:tr>
      <w:tr>
        <w:trPr>
          <w:trHeight w:val="324"/>
        </w:trPr>
        <w:tc>
          <w:tcPr>
            <w:tcW w:w="1120" w:type="dxa"/>
            <w:vAlign w:val="bottom"/>
            <w:gridSpan w:val="5"/>
          </w:tcPr>
          <w:p>
            <w:pPr>
              <w:ind w:left="20"/>
              <w:spacing w:after="0"/>
              <w:rPr>
                <w:sz w:val="20"/>
                <w:szCs w:val="20"/>
                <w:color w:val="auto"/>
              </w:rPr>
            </w:pPr>
            <w:r>
              <w:rPr>
                <w:rFonts w:ascii="Arial" w:cs="Arial" w:eastAsia="Arial" w:hAnsi="Arial"/>
                <w:sz w:val="18"/>
                <w:szCs w:val="18"/>
                <w:color w:val="0000FF"/>
              </w:rPr>
              <w:t>32.</w:t>
            </w:r>
            <w:r>
              <w:rPr>
                <w:rFonts w:ascii="Arial" w:cs="Arial" w:eastAsia="Arial" w:hAnsi="Arial"/>
                <w:sz w:val="18"/>
                <w:szCs w:val="18"/>
                <w:u w:val="single" w:color="auto"/>
                <w:color w:val="0000FF"/>
              </w:rPr>
              <w:t>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760" w:type="dxa"/>
            <w:vAlign w:val="bottom"/>
          </w:tcPr>
          <w:p>
            <w:pPr>
              <w:spacing w:after="0"/>
              <w:rPr>
                <w:sz w:val="20"/>
                <w:szCs w:val="20"/>
                <w:color w:val="auto"/>
              </w:rPr>
            </w:pPr>
            <w:r>
              <w:rPr>
                <w:rFonts w:ascii="Arial" w:cs="Arial" w:eastAsia="Arial" w:hAnsi="Arial"/>
                <w:sz w:val="18"/>
                <w:szCs w:val="18"/>
                <w:color w:val="auto"/>
                <w:w w:val="97"/>
              </w:rPr>
              <w:t>Certification of Chief Executive Officer Pursuant to 18 U.S.C. Section 1350, as Adopted</w:t>
            </w:r>
          </w:p>
        </w:tc>
        <w:tc>
          <w:tcPr>
            <w:tcW w:w="3240" w:type="dxa"/>
            <w:vAlign w:val="bottom"/>
          </w:tcPr>
          <w:p>
            <w:pPr>
              <w:ind w:left="80"/>
              <w:spacing w:after="0"/>
              <w:rPr>
                <w:sz w:val="20"/>
                <w:szCs w:val="20"/>
                <w:color w:val="auto"/>
              </w:rPr>
            </w:pPr>
            <w:r>
              <w:rPr>
                <w:rFonts w:ascii="Arial" w:cs="Arial" w:eastAsia="Arial" w:hAnsi="Arial"/>
                <w:sz w:val="18"/>
                <w:szCs w:val="18"/>
                <w:color w:val="auto"/>
              </w:rPr>
              <w:t>Furnished herewith</w:t>
            </w:r>
          </w:p>
        </w:tc>
      </w:tr>
      <w:tr>
        <w:trPr>
          <w:trHeight w:val="223"/>
        </w:trPr>
        <w:tc>
          <w:tcPr>
            <w:tcW w:w="20" w:type="dxa"/>
            <w:vAlign w:val="bottom"/>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Pursuant to Section 906 of the Sarbanes-Oxley Act of 2002</w:t>
            </w:r>
          </w:p>
        </w:tc>
        <w:tc>
          <w:tcPr>
            <w:tcW w:w="3240" w:type="dxa"/>
            <w:vAlign w:val="bottom"/>
          </w:tcPr>
          <w:p>
            <w:pPr>
              <w:spacing w:after="0"/>
              <w:rPr>
                <w:sz w:val="19"/>
                <w:szCs w:val="19"/>
                <w:color w:val="auto"/>
              </w:rPr>
            </w:pPr>
          </w:p>
        </w:tc>
      </w:tr>
      <w:tr>
        <w:trPr>
          <w:trHeight w:val="324"/>
        </w:trPr>
        <w:tc>
          <w:tcPr>
            <w:tcW w:w="1120" w:type="dxa"/>
            <w:vAlign w:val="bottom"/>
            <w:gridSpan w:val="5"/>
          </w:tcPr>
          <w:p>
            <w:pPr>
              <w:ind w:left="20"/>
              <w:spacing w:after="0"/>
              <w:rPr>
                <w:sz w:val="20"/>
                <w:szCs w:val="20"/>
                <w:color w:val="auto"/>
              </w:rPr>
            </w:pPr>
            <w:r>
              <w:rPr>
                <w:rFonts w:ascii="Arial" w:cs="Arial" w:eastAsia="Arial" w:hAnsi="Arial"/>
                <w:sz w:val="18"/>
                <w:szCs w:val="18"/>
                <w:color w:val="0000FF"/>
              </w:rPr>
              <w:t>32.</w:t>
            </w:r>
            <w:r>
              <w:rPr>
                <w:rFonts w:ascii="Arial" w:cs="Arial" w:eastAsia="Arial" w:hAnsi="Arial"/>
                <w:sz w:val="18"/>
                <w:szCs w:val="18"/>
                <w:u w:val="single" w:color="auto"/>
                <w:color w:val="0000FF"/>
              </w:rPr>
              <w:t>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760" w:type="dxa"/>
            <w:vAlign w:val="bottom"/>
          </w:tcPr>
          <w:p>
            <w:pPr>
              <w:spacing w:after="0"/>
              <w:rPr>
                <w:sz w:val="20"/>
                <w:szCs w:val="20"/>
                <w:color w:val="auto"/>
              </w:rPr>
            </w:pPr>
            <w:r>
              <w:rPr>
                <w:rFonts w:ascii="Arial" w:cs="Arial" w:eastAsia="Arial" w:hAnsi="Arial"/>
                <w:sz w:val="18"/>
                <w:szCs w:val="18"/>
                <w:color w:val="auto"/>
                <w:w w:val="97"/>
              </w:rPr>
              <w:t>Certification of Chief Financial Officer Pursuant to 18 U.S.C. Section 1350, as Adopted</w:t>
            </w:r>
          </w:p>
        </w:tc>
        <w:tc>
          <w:tcPr>
            <w:tcW w:w="3240" w:type="dxa"/>
            <w:vAlign w:val="bottom"/>
          </w:tcPr>
          <w:p>
            <w:pPr>
              <w:ind w:left="80"/>
              <w:spacing w:after="0"/>
              <w:rPr>
                <w:sz w:val="20"/>
                <w:szCs w:val="20"/>
                <w:color w:val="auto"/>
              </w:rPr>
            </w:pPr>
            <w:r>
              <w:rPr>
                <w:rFonts w:ascii="Arial" w:cs="Arial" w:eastAsia="Arial" w:hAnsi="Arial"/>
                <w:sz w:val="18"/>
                <w:szCs w:val="18"/>
                <w:color w:val="auto"/>
              </w:rPr>
              <w:t>Furnished herewith</w:t>
            </w:r>
          </w:p>
        </w:tc>
      </w:tr>
      <w:tr>
        <w:trPr>
          <w:trHeight w:val="223"/>
        </w:trPr>
        <w:tc>
          <w:tcPr>
            <w:tcW w:w="20" w:type="dxa"/>
            <w:vAlign w:val="bottom"/>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Pursuant to Section 906 of the Sarbanes-Oxley Act of 2002</w:t>
            </w:r>
          </w:p>
        </w:tc>
        <w:tc>
          <w:tcPr>
            <w:tcW w:w="3240" w:type="dxa"/>
            <w:vAlign w:val="bottom"/>
          </w:tcPr>
          <w:p>
            <w:pPr>
              <w:spacing w:after="0"/>
              <w:rPr>
                <w:sz w:val="19"/>
                <w:szCs w:val="19"/>
                <w:color w:val="auto"/>
              </w:rPr>
            </w:pPr>
          </w:p>
        </w:tc>
      </w:tr>
      <w:tr>
        <w:trPr>
          <w:trHeight w:val="337"/>
        </w:trPr>
        <w:tc>
          <w:tcPr>
            <w:tcW w:w="20" w:type="dxa"/>
            <w:vAlign w:val="bottom"/>
          </w:tcPr>
          <w:p>
            <w:pPr>
              <w:spacing w:after="0"/>
              <w:rPr>
                <w:sz w:val="24"/>
                <w:szCs w:val="24"/>
                <w:color w:val="auto"/>
              </w:rPr>
            </w:pPr>
          </w:p>
        </w:tc>
        <w:tc>
          <w:tcPr>
            <w:tcW w:w="1220" w:type="dxa"/>
            <w:vAlign w:val="bottom"/>
            <w:gridSpan w:val="6"/>
          </w:tcPr>
          <w:p>
            <w:pPr>
              <w:spacing w:after="0"/>
              <w:rPr>
                <w:sz w:val="20"/>
                <w:szCs w:val="20"/>
                <w:color w:val="auto"/>
              </w:rPr>
            </w:pPr>
            <w:r>
              <w:rPr>
                <w:rFonts w:ascii="Arial" w:cs="Arial" w:eastAsia="Arial" w:hAnsi="Arial"/>
                <w:sz w:val="18"/>
                <w:szCs w:val="18"/>
                <w:color w:val="auto"/>
              </w:rPr>
              <w:t>101.INS</w:t>
            </w:r>
          </w:p>
        </w:tc>
        <w:tc>
          <w:tcPr>
            <w:tcW w:w="10000" w:type="dxa"/>
            <w:vAlign w:val="bottom"/>
            <w:gridSpan w:val="2"/>
          </w:tcPr>
          <w:p>
            <w:pPr>
              <w:spacing w:after="0"/>
              <w:rPr>
                <w:sz w:val="20"/>
                <w:szCs w:val="20"/>
                <w:color w:val="auto"/>
              </w:rPr>
            </w:pPr>
            <w:r>
              <w:rPr>
                <w:rFonts w:ascii="Arial" w:cs="Arial" w:eastAsia="Arial" w:hAnsi="Arial"/>
                <w:sz w:val="18"/>
                <w:szCs w:val="18"/>
                <w:color w:val="auto"/>
              </w:rPr>
              <w:t>XBRL Instance Document (the instance document does not appear in the Interactive Data File Filed herewith</w:t>
            </w:r>
          </w:p>
        </w:tc>
      </w:tr>
      <w:tr>
        <w:trPr>
          <w:trHeight w:val="230"/>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because its XBRL tags are embedded within the Inline XBRL document)</w:t>
            </w:r>
          </w:p>
        </w:tc>
        <w:tc>
          <w:tcPr>
            <w:tcW w:w="3240" w:type="dxa"/>
            <w:vAlign w:val="bottom"/>
          </w:tcPr>
          <w:p>
            <w:pPr>
              <w:spacing w:after="0"/>
              <w:rPr>
                <w:sz w:val="20"/>
                <w:szCs w:val="20"/>
                <w:color w:val="auto"/>
              </w:rPr>
            </w:pPr>
          </w:p>
        </w:tc>
      </w:tr>
      <w:tr>
        <w:trPr>
          <w:trHeight w:val="365"/>
        </w:trPr>
        <w:tc>
          <w:tcPr>
            <w:tcW w:w="20" w:type="dxa"/>
            <w:vAlign w:val="bottom"/>
          </w:tcPr>
          <w:p>
            <w:pPr>
              <w:spacing w:after="0"/>
              <w:rPr>
                <w:sz w:val="24"/>
                <w:szCs w:val="24"/>
                <w:color w:val="auto"/>
              </w:rPr>
            </w:pPr>
          </w:p>
        </w:tc>
        <w:tc>
          <w:tcPr>
            <w:tcW w:w="1220" w:type="dxa"/>
            <w:vAlign w:val="bottom"/>
            <w:gridSpan w:val="6"/>
          </w:tcPr>
          <w:p>
            <w:pPr>
              <w:spacing w:after="0"/>
              <w:rPr>
                <w:sz w:val="20"/>
                <w:szCs w:val="20"/>
                <w:color w:val="auto"/>
              </w:rPr>
            </w:pPr>
            <w:r>
              <w:rPr>
                <w:rFonts w:ascii="Arial" w:cs="Arial" w:eastAsia="Arial" w:hAnsi="Arial"/>
                <w:sz w:val="18"/>
                <w:szCs w:val="18"/>
                <w:color w:val="auto"/>
              </w:rPr>
              <w:t>101.SCH</w:t>
            </w:r>
          </w:p>
        </w:tc>
        <w:tc>
          <w:tcPr>
            <w:tcW w:w="6760" w:type="dxa"/>
            <w:vAlign w:val="bottom"/>
          </w:tcPr>
          <w:p>
            <w:pPr>
              <w:spacing w:after="0"/>
              <w:rPr>
                <w:sz w:val="20"/>
                <w:szCs w:val="20"/>
                <w:color w:val="auto"/>
              </w:rPr>
            </w:pPr>
            <w:r>
              <w:rPr>
                <w:rFonts w:ascii="Arial" w:cs="Arial" w:eastAsia="Arial" w:hAnsi="Arial"/>
                <w:sz w:val="18"/>
                <w:szCs w:val="18"/>
                <w:color w:val="auto"/>
              </w:rPr>
              <w:t>Inline XBRL Taxonomy Extension Schema Document</w:t>
            </w:r>
          </w:p>
        </w:tc>
        <w:tc>
          <w:tcPr>
            <w:tcW w:w="3240" w:type="dxa"/>
            <w:vAlign w:val="bottom"/>
          </w:tcPr>
          <w:p>
            <w:pPr>
              <w:ind w:left="80"/>
              <w:spacing w:after="0"/>
              <w:rPr>
                <w:sz w:val="20"/>
                <w:szCs w:val="20"/>
                <w:color w:val="auto"/>
              </w:rPr>
            </w:pPr>
            <w:r>
              <w:rPr>
                <w:rFonts w:ascii="Arial" w:cs="Arial" w:eastAsia="Arial" w:hAnsi="Arial"/>
                <w:sz w:val="18"/>
                <w:szCs w:val="18"/>
                <w:color w:val="auto"/>
              </w:rPr>
              <w:t>Filed herewith</w:t>
            </w:r>
          </w:p>
        </w:tc>
      </w:tr>
      <w:tr>
        <w:trPr>
          <w:trHeight w:val="364"/>
        </w:trPr>
        <w:tc>
          <w:tcPr>
            <w:tcW w:w="20" w:type="dxa"/>
            <w:vAlign w:val="bottom"/>
          </w:tcPr>
          <w:p>
            <w:pPr>
              <w:spacing w:after="0"/>
              <w:rPr>
                <w:sz w:val="24"/>
                <w:szCs w:val="24"/>
                <w:color w:val="auto"/>
              </w:rPr>
            </w:pPr>
          </w:p>
        </w:tc>
        <w:tc>
          <w:tcPr>
            <w:tcW w:w="1220" w:type="dxa"/>
            <w:vAlign w:val="bottom"/>
            <w:gridSpan w:val="6"/>
          </w:tcPr>
          <w:p>
            <w:pPr>
              <w:spacing w:after="0"/>
              <w:rPr>
                <w:sz w:val="20"/>
                <w:szCs w:val="20"/>
                <w:color w:val="auto"/>
              </w:rPr>
            </w:pPr>
            <w:r>
              <w:rPr>
                <w:rFonts w:ascii="Arial" w:cs="Arial" w:eastAsia="Arial" w:hAnsi="Arial"/>
                <w:sz w:val="18"/>
                <w:szCs w:val="18"/>
                <w:color w:val="auto"/>
              </w:rPr>
              <w:t>101.CAL</w:t>
            </w:r>
          </w:p>
        </w:tc>
        <w:tc>
          <w:tcPr>
            <w:tcW w:w="6760" w:type="dxa"/>
            <w:vAlign w:val="bottom"/>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3240" w:type="dxa"/>
            <w:vAlign w:val="bottom"/>
          </w:tcPr>
          <w:p>
            <w:pPr>
              <w:ind w:left="80"/>
              <w:spacing w:after="0"/>
              <w:rPr>
                <w:sz w:val="20"/>
                <w:szCs w:val="20"/>
                <w:color w:val="auto"/>
              </w:rPr>
            </w:pPr>
            <w:r>
              <w:rPr>
                <w:rFonts w:ascii="Arial" w:cs="Arial" w:eastAsia="Arial" w:hAnsi="Arial"/>
                <w:sz w:val="18"/>
                <w:szCs w:val="18"/>
                <w:color w:val="auto"/>
              </w:rPr>
              <w:t>Filed herewith</w:t>
            </w:r>
          </w:p>
        </w:tc>
      </w:tr>
      <w:tr>
        <w:trPr>
          <w:trHeight w:val="365"/>
        </w:trPr>
        <w:tc>
          <w:tcPr>
            <w:tcW w:w="20" w:type="dxa"/>
            <w:vAlign w:val="bottom"/>
          </w:tcPr>
          <w:p>
            <w:pPr>
              <w:spacing w:after="0"/>
              <w:rPr>
                <w:sz w:val="24"/>
                <w:szCs w:val="24"/>
                <w:color w:val="auto"/>
              </w:rPr>
            </w:pPr>
          </w:p>
        </w:tc>
        <w:tc>
          <w:tcPr>
            <w:tcW w:w="1220" w:type="dxa"/>
            <w:vAlign w:val="bottom"/>
            <w:gridSpan w:val="6"/>
          </w:tcPr>
          <w:p>
            <w:pPr>
              <w:spacing w:after="0"/>
              <w:rPr>
                <w:sz w:val="20"/>
                <w:szCs w:val="20"/>
                <w:color w:val="auto"/>
              </w:rPr>
            </w:pPr>
            <w:r>
              <w:rPr>
                <w:rFonts w:ascii="Arial" w:cs="Arial" w:eastAsia="Arial" w:hAnsi="Arial"/>
                <w:sz w:val="18"/>
                <w:szCs w:val="18"/>
                <w:color w:val="auto"/>
              </w:rPr>
              <w:t>101.DEF</w:t>
            </w:r>
          </w:p>
        </w:tc>
        <w:tc>
          <w:tcPr>
            <w:tcW w:w="6760" w:type="dxa"/>
            <w:vAlign w:val="bottom"/>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3240" w:type="dxa"/>
            <w:vAlign w:val="bottom"/>
          </w:tcPr>
          <w:p>
            <w:pPr>
              <w:ind w:left="80"/>
              <w:spacing w:after="0"/>
              <w:rPr>
                <w:sz w:val="20"/>
                <w:szCs w:val="20"/>
                <w:color w:val="auto"/>
              </w:rPr>
            </w:pPr>
            <w:r>
              <w:rPr>
                <w:rFonts w:ascii="Arial" w:cs="Arial" w:eastAsia="Arial" w:hAnsi="Arial"/>
                <w:sz w:val="18"/>
                <w:szCs w:val="18"/>
                <w:color w:val="auto"/>
              </w:rPr>
              <w:t>Filed herewith</w:t>
            </w:r>
          </w:p>
        </w:tc>
      </w:tr>
      <w:tr>
        <w:trPr>
          <w:trHeight w:val="364"/>
        </w:trPr>
        <w:tc>
          <w:tcPr>
            <w:tcW w:w="20" w:type="dxa"/>
            <w:vAlign w:val="bottom"/>
          </w:tcPr>
          <w:p>
            <w:pPr>
              <w:spacing w:after="0"/>
              <w:rPr>
                <w:sz w:val="24"/>
                <w:szCs w:val="24"/>
                <w:color w:val="auto"/>
              </w:rPr>
            </w:pPr>
          </w:p>
        </w:tc>
        <w:tc>
          <w:tcPr>
            <w:tcW w:w="1220" w:type="dxa"/>
            <w:vAlign w:val="bottom"/>
            <w:gridSpan w:val="6"/>
          </w:tcPr>
          <w:p>
            <w:pPr>
              <w:spacing w:after="0"/>
              <w:rPr>
                <w:sz w:val="20"/>
                <w:szCs w:val="20"/>
                <w:color w:val="auto"/>
              </w:rPr>
            </w:pPr>
            <w:r>
              <w:rPr>
                <w:rFonts w:ascii="Arial" w:cs="Arial" w:eastAsia="Arial" w:hAnsi="Arial"/>
                <w:sz w:val="18"/>
                <w:szCs w:val="18"/>
                <w:color w:val="auto"/>
              </w:rPr>
              <w:t>101.LAB</w:t>
            </w:r>
          </w:p>
        </w:tc>
        <w:tc>
          <w:tcPr>
            <w:tcW w:w="6760" w:type="dxa"/>
            <w:vAlign w:val="bottom"/>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3240" w:type="dxa"/>
            <w:vAlign w:val="bottom"/>
          </w:tcPr>
          <w:p>
            <w:pPr>
              <w:ind w:left="80"/>
              <w:spacing w:after="0"/>
              <w:rPr>
                <w:sz w:val="20"/>
                <w:szCs w:val="20"/>
                <w:color w:val="auto"/>
              </w:rPr>
            </w:pPr>
            <w:r>
              <w:rPr>
                <w:rFonts w:ascii="Arial" w:cs="Arial" w:eastAsia="Arial" w:hAnsi="Arial"/>
                <w:sz w:val="18"/>
                <w:szCs w:val="18"/>
                <w:color w:val="auto"/>
              </w:rPr>
              <w:t>Filed herewith</w:t>
            </w:r>
          </w:p>
        </w:tc>
      </w:tr>
      <w:tr>
        <w:trPr>
          <w:trHeight w:val="365"/>
        </w:trPr>
        <w:tc>
          <w:tcPr>
            <w:tcW w:w="20" w:type="dxa"/>
            <w:vAlign w:val="bottom"/>
          </w:tcPr>
          <w:p>
            <w:pPr>
              <w:spacing w:after="0"/>
              <w:rPr>
                <w:sz w:val="24"/>
                <w:szCs w:val="24"/>
                <w:color w:val="auto"/>
              </w:rPr>
            </w:pPr>
          </w:p>
        </w:tc>
        <w:tc>
          <w:tcPr>
            <w:tcW w:w="1220" w:type="dxa"/>
            <w:vAlign w:val="bottom"/>
            <w:gridSpan w:val="6"/>
          </w:tcPr>
          <w:p>
            <w:pPr>
              <w:spacing w:after="0"/>
              <w:rPr>
                <w:sz w:val="20"/>
                <w:szCs w:val="20"/>
                <w:color w:val="auto"/>
              </w:rPr>
            </w:pPr>
            <w:r>
              <w:rPr>
                <w:rFonts w:ascii="Arial" w:cs="Arial" w:eastAsia="Arial" w:hAnsi="Arial"/>
                <w:sz w:val="18"/>
                <w:szCs w:val="18"/>
                <w:color w:val="auto"/>
              </w:rPr>
              <w:t>101.PRE</w:t>
            </w:r>
          </w:p>
        </w:tc>
        <w:tc>
          <w:tcPr>
            <w:tcW w:w="6760" w:type="dxa"/>
            <w:vAlign w:val="bottom"/>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3240" w:type="dxa"/>
            <w:vAlign w:val="bottom"/>
          </w:tcPr>
          <w:p>
            <w:pPr>
              <w:ind w:left="80"/>
              <w:spacing w:after="0"/>
              <w:rPr>
                <w:sz w:val="20"/>
                <w:szCs w:val="20"/>
                <w:color w:val="auto"/>
              </w:rPr>
            </w:pPr>
            <w:r>
              <w:rPr>
                <w:rFonts w:ascii="Arial" w:cs="Arial" w:eastAsia="Arial" w:hAnsi="Arial"/>
                <w:sz w:val="18"/>
                <w:szCs w:val="18"/>
                <w:color w:val="auto"/>
              </w:rPr>
              <w:t>Filed herewith</w:t>
            </w:r>
          </w:p>
        </w:tc>
      </w:tr>
      <w:tr>
        <w:trPr>
          <w:trHeight w:val="337"/>
        </w:trPr>
        <w:tc>
          <w:tcPr>
            <w:tcW w:w="340" w:type="dxa"/>
            <w:vAlign w:val="bottom"/>
            <w:gridSpan w:val="3"/>
          </w:tcPr>
          <w:p>
            <w:pPr>
              <w:ind w:left="20"/>
              <w:spacing w:after="0"/>
              <w:rPr>
                <w:sz w:val="20"/>
                <w:szCs w:val="20"/>
                <w:color w:val="auto"/>
              </w:rPr>
            </w:pPr>
            <w:r>
              <w:rPr>
                <w:rFonts w:ascii="Arial" w:cs="Arial" w:eastAsia="Arial" w:hAnsi="Arial"/>
                <w:sz w:val="18"/>
                <w:szCs w:val="18"/>
                <w:color w:val="auto"/>
                <w:w w:val="99"/>
              </w:rPr>
              <w:t>104</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760" w:type="dxa"/>
            <w:vAlign w:val="bottom"/>
          </w:tcPr>
          <w:p>
            <w:pPr>
              <w:spacing w:after="0"/>
              <w:rPr>
                <w:sz w:val="20"/>
                <w:szCs w:val="20"/>
                <w:color w:val="auto"/>
              </w:rPr>
            </w:pPr>
            <w:r>
              <w:rPr>
                <w:rFonts w:ascii="Arial" w:cs="Arial" w:eastAsia="Arial" w:hAnsi="Arial"/>
                <w:sz w:val="18"/>
                <w:szCs w:val="18"/>
                <w:color w:val="auto"/>
                <w:w w:val="94"/>
              </w:rPr>
              <w:t>Cover Page with Interactive Data File (formatted as Inline XBRL with applicable taxonomy</w:t>
            </w:r>
          </w:p>
        </w:tc>
        <w:tc>
          <w:tcPr>
            <w:tcW w:w="3240" w:type="dxa"/>
            <w:vAlign w:val="bottom"/>
          </w:tcPr>
          <w:p>
            <w:pPr>
              <w:ind w:left="80"/>
              <w:spacing w:after="0"/>
              <w:rPr>
                <w:sz w:val="20"/>
                <w:szCs w:val="20"/>
                <w:color w:val="auto"/>
              </w:rPr>
            </w:pPr>
            <w:r>
              <w:rPr>
                <w:rFonts w:ascii="Arial" w:cs="Arial" w:eastAsia="Arial" w:hAnsi="Arial"/>
                <w:sz w:val="18"/>
                <w:szCs w:val="18"/>
                <w:color w:val="auto"/>
              </w:rPr>
              <w:t>Filed herewith</w:t>
            </w:r>
          </w:p>
        </w:tc>
      </w:tr>
      <w:tr>
        <w:trPr>
          <w:trHeight w:val="230"/>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extension information contained in Exhibits 101)</w:t>
            </w:r>
          </w:p>
        </w:tc>
        <w:tc>
          <w:tcPr>
            <w:tcW w:w="32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84836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848360" cy="8890"/>
                    </a:xfrm>
                    <a:prstGeom prst="rect">
                      <a:avLst/>
                    </a:prstGeom>
                    <a:noFill/>
                  </pic:spPr>
                </pic:pic>
              </a:graphicData>
            </a:graphic>
          </wp:anchor>
        </w:drawing>
      </w:r>
    </w:p>
    <w:p>
      <w:pPr>
        <w:spacing w:after="0" w:line="272" w:lineRule="exact"/>
        <w:rPr>
          <w:sz w:val="20"/>
          <w:szCs w:val="20"/>
          <w:color w:val="auto"/>
        </w:rPr>
      </w:pPr>
    </w:p>
    <w:p>
      <w:pPr>
        <w:ind w:left="420" w:right="220" w:hanging="412"/>
        <w:spacing w:after="0" w:line="273" w:lineRule="auto"/>
        <w:tabs>
          <w:tab w:leader="none" w:pos="231" w:val="left"/>
        </w:tabs>
        <w:numPr>
          <w:ilvl w:val="0"/>
          <w:numId w:val="15"/>
        </w:numPr>
        <w:rPr>
          <w:rFonts w:ascii="Arial" w:cs="Arial" w:eastAsia="Arial" w:hAnsi="Arial"/>
          <w:sz w:val="14"/>
          <w:szCs w:val="14"/>
          <w:i w:val="1"/>
          <w:iCs w:val="1"/>
          <w:color w:val="auto"/>
        </w:rPr>
      </w:pPr>
      <w:r>
        <w:rPr>
          <w:rFonts w:ascii="Arial" w:cs="Arial" w:eastAsia="Arial" w:hAnsi="Arial"/>
          <w:sz w:val="14"/>
          <w:szCs w:val="14"/>
          <w:color w:val="auto"/>
        </w:rPr>
        <w:t>The certifications furnished in Exhibit 32.1 and 32.2 hereto are deemed to accompany this Quarterly Report on Form 10-Q and will not be deemed “filed” for purposes of Section 18 of the Securities Exchange Act of 1934, as amended, except to the extent that the registrant specifically incorporates them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this 2nd day of November, 2023.</w:t>
      </w:r>
    </w:p>
    <w:p>
      <w:pPr>
        <w:spacing w:after="0" w:line="166" w:lineRule="exact"/>
        <w:rPr>
          <w:sz w:val="20"/>
          <w:szCs w:val="20"/>
          <w:color w:val="auto"/>
        </w:rPr>
      </w:pPr>
    </w:p>
    <w:p>
      <w:pPr>
        <w:jc w:val="center"/>
        <w:ind w:left="440"/>
        <w:spacing w:after="0"/>
        <w:rPr>
          <w:sz w:val="20"/>
          <w:szCs w:val="20"/>
          <w:color w:val="auto"/>
        </w:rPr>
      </w:pPr>
      <w:r>
        <w:rPr>
          <w:rFonts w:ascii="Arial" w:cs="Arial" w:eastAsia="Arial" w:hAnsi="Arial"/>
          <w:sz w:val="18"/>
          <w:szCs w:val="18"/>
          <w:b w:val="1"/>
          <w:bCs w:val="1"/>
          <w:color w:val="auto"/>
        </w:rPr>
        <w:t>ARHAUS, INC.</w:t>
      </w:r>
    </w:p>
    <w:p>
      <w:pPr>
        <w:spacing w:after="0" w:line="297" w:lineRule="exact"/>
        <w:rPr>
          <w:sz w:val="20"/>
          <w:szCs w:val="20"/>
          <w:color w:val="auto"/>
        </w:rPr>
      </w:pPr>
    </w:p>
    <w:tbl>
      <w:tblPr>
        <w:tblLayout w:type="fixed"/>
        <w:tblInd w:w="524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Dawn Phillipson</w:t>
            </w:r>
          </w:p>
        </w:tc>
      </w:tr>
      <w:tr>
        <w:trPr>
          <w:trHeight w:val="222"/>
        </w:trPr>
        <w:tc>
          <w:tcPr>
            <w:tcW w:w="800" w:type="dxa"/>
            <w:vAlign w:val="bottom"/>
          </w:tcPr>
          <w:p>
            <w:pPr>
              <w:spacing w:after="0"/>
              <w:rPr>
                <w:sz w:val="20"/>
                <w:szCs w:val="20"/>
                <w:color w:val="auto"/>
              </w:rPr>
            </w:pPr>
            <w:r>
              <w:rPr>
                <w:rFonts w:ascii="Arial" w:cs="Arial" w:eastAsia="Arial" w:hAnsi="Arial"/>
                <w:sz w:val="18"/>
                <w:szCs w:val="18"/>
                <w:color w:val="auto"/>
              </w:rPr>
              <w:t>Name:</w:t>
            </w:r>
          </w:p>
        </w:tc>
        <w:tc>
          <w:tcPr>
            <w:tcW w:w="4540" w:type="dxa"/>
            <w:vAlign w:val="bottom"/>
          </w:tcPr>
          <w:p>
            <w:pPr>
              <w:ind w:left="20"/>
              <w:spacing w:after="0"/>
              <w:rPr>
                <w:sz w:val="20"/>
                <w:szCs w:val="20"/>
                <w:color w:val="auto"/>
              </w:rPr>
            </w:pPr>
            <w:r>
              <w:rPr>
                <w:rFonts w:ascii="Arial" w:cs="Arial" w:eastAsia="Arial" w:hAnsi="Arial"/>
                <w:sz w:val="18"/>
                <w:szCs w:val="18"/>
                <w:color w:val="auto"/>
              </w:rPr>
              <w:t>Dawn Phillipson</w:t>
            </w: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Title:</w:t>
            </w:r>
          </w:p>
        </w:tc>
        <w:tc>
          <w:tcPr>
            <w:tcW w:w="45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0"/>
        </w:trPr>
        <w:tc>
          <w:tcPr>
            <w:tcW w:w="800" w:type="dxa"/>
            <w:vAlign w:val="bottom"/>
          </w:tcPr>
          <w:p>
            <w:pPr>
              <w:spacing w:after="0"/>
              <w:rPr>
                <w:sz w:val="20"/>
                <w:szCs w:val="20"/>
                <w:color w:val="auto"/>
              </w:rPr>
            </w:pPr>
          </w:p>
        </w:tc>
        <w:tc>
          <w:tcPr>
            <w:tcW w:w="454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r>
        <w:trPr>
          <w:trHeight w:val="905"/>
        </w:trPr>
        <w:tc>
          <w:tcPr>
            <w:tcW w:w="800" w:type="dxa"/>
            <w:vAlign w:val="bottom"/>
          </w:tcPr>
          <w:p>
            <w:pPr>
              <w:jc w:val="right"/>
              <w:ind w:right="230"/>
              <w:spacing w:after="0"/>
              <w:rPr>
                <w:sz w:val="20"/>
                <w:szCs w:val="20"/>
                <w:color w:val="auto"/>
              </w:rPr>
            </w:pPr>
            <w:r>
              <w:rPr>
                <w:rFonts w:ascii="Arial" w:cs="Arial" w:eastAsia="Arial" w:hAnsi="Arial"/>
                <w:sz w:val="18"/>
                <w:szCs w:val="18"/>
                <w:color w:val="auto"/>
              </w:rPr>
              <w:t>33</w:t>
            </w:r>
          </w:p>
        </w:tc>
        <w:tc>
          <w:tcPr>
            <w:tcW w:w="4540" w:type="dxa"/>
            <w:vAlign w:val="bottom"/>
          </w:tcPr>
          <w:p>
            <w:pPr>
              <w:spacing w:after="0"/>
              <w:rPr>
                <w:sz w:val="24"/>
                <w:szCs w:val="24"/>
                <w:color w:val="auto"/>
              </w:rPr>
            </w:pPr>
          </w:p>
        </w:tc>
      </w:tr>
    </w:tbl>
    <w:p>
      <w:pPr>
        <w:sectPr>
          <w:pgSz w:w="11900" w:h="16838" w:orient="portrait"/>
          <w:cols w:equalWidth="0" w:num="1">
            <w:col w:w="11200"/>
          </w:cols>
          <w:pgMar w:left="320" w:top="121" w:right="37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1F4742"/>
        </w:rPr>
        <w:t>Exhibit 31.1</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 UNDER SECTION 302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John Reed, certify that:</w:t>
      </w:r>
    </w:p>
    <w:p>
      <w:pPr>
        <w:spacing w:after="0" w:line="198"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Arhaus, Inc.;</w:t>
      </w:r>
    </w:p>
    <w:p>
      <w:pPr>
        <w:spacing w:after="0" w:line="184"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7"/>
          <w:szCs w:val="17"/>
          <w:color w:val="auto"/>
        </w:rPr>
      </w:pPr>
    </w:p>
    <w:p>
      <w:pPr>
        <w:jc w:val="both"/>
        <w:ind w:left="660" w:right="120" w:hanging="328"/>
        <w:spacing w:after="0" w:line="263"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ind w:left="1300" w:right="120" w:hanging="320"/>
        <w:spacing w:after="0" w:line="263" w:lineRule="auto"/>
        <w:tabs>
          <w:tab w:leader="none" w:pos="129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ind w:left="1300" w:right="40" w:hanging="320"/>
        <w:spacing w:after="0" w:line="263"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6" w:lineRule="exact"/>
        <w:rPr>
          <w:rFonts w:ascii="Arial" w:cs="Arial" w:eastAsia="Arial" w:hAnsi="Arial"/>
          <w:sz w:val="18"/>
          <w:szCs w:val="18"/>
          <w:color w:val="auto"/>
        </w:rPr>
      </w:pPr>
    </w:p>
    <w:p>
      <w:pPr>
        <w:jc w:val="both"/>
        <w:ind w:left="1300" w:right="220" w:hanging="320"/>
        <w:spacing w:after="0" w:line="342" w:lineRule="auto"/>
        <w:tabs>
          <w:tab w:leader="none" w:pos="129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300" w:right="240" w:hanging="320"/>
        <w:spacing w:after="0" w:line="263"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660" w:right="100" w:hanging="328"/>
        <w:spacing w:after="0" w:line="342"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6" w:lineRule="exact"/>
        <w:rPr>
          <w:rFonts w:ascii="Arial" w:cs="Arial" w:eastAsia="Arial" w:hAnsi="Arial"/>
          <w:sz w:val="16"/>
          <w:szCs w:val="16"/>
          <w:color w:val="auto"/>
        </w:rPr>
      </w:pPr>
    </w:p>
    <w:p>
      <w:pPr>
        <w:ind w:left="1300" w:right="460" w:hanging="320"/>
        <w:spacing w:after="0" w:line="342" w:lineRule="auto"/>
        <w:tabs>
          <w:tab w:leader="none" w:pos="129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1300" w:right="160" w:hanging="320"/>
        <w:spacing w:after="0" w:line="277"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20"/>
        <w:spacing w:after="0"/>
        <w:tabs>
          <w:tab w:leader="none" w:pos="640" w:val="left"/>
        </w:tabs>
        <w:rPr>
          <w:sz w:val="20"/>
          <w:szCs w:val="20"/>
          <w:color w:val="auto"/>
        </w:rPr>
      </w:pPr>
      <w:r>
        <w:rPr>
          <w:rFonts w:ascii="Arial" w:cs="Arial" w:eastAsia="Arial" w:hAnsi="Arial"/>
          <w:sz w:val="18"/>
          <w:szCs w:val="18"/>
          <w:color w:val="auto"/>
        </w:rPr>
        <w:t>Date:</w:t>
        <w:tab/>
        <w:t>November 2, 2023</w:t>
      </w:r>
    </w:p>
    <w:p>
      <w:pPr>
        <w:spacing w:after="0" w:line="200" w:lineRule="exact"/>
        <w:rPr>
          <w:sz w:val="20"/>
          <w:szCs w:val="20"/>
          <w:color w:val="auto"/>
        </w:rPr>
      </w:pPr>
    </w:p>
    <w:p>
      <w:pPr>
        <w:spacing w:after="0" w:line="3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John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06895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306895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John Reed</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364"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31.2</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 UNDER SECTION 302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Dawn Phillipson, certify that:</w:t>
      </w:r>
    </w:p>
    <w:p>
      <w:pPr>
        <w:spacing w:after="0" w:line="198"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Arhaus, Inc.;</w:t>
      </w:r>
    </w:p>
    <w:p>
      <w:pPr>
        <w:spacing w:after="0" w:line="184"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7"/>
          <w:szCs w:val="17"/>
          <w:color w:val="auto"/>
        </w:rPr>
      </w:pPr>
    </w:p>
    <w:p>
      <w:pPr>
        <w:jc w:val="both"/>
        <w:ind w:left="660" w:right="120" w:hanging="328"/>
        <w:spacing w:after="0" w:line="263"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ind w:left="1300" w:right="120" w:hanging="320"/>
        <w:spacing w:after="0" w:line="263" w:lineRule="auto"/>
        <w:tabs>
          <w:tab w:leader="none" w:pos="129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ind w:left="1300" w:right="40" w:hanging="320"/>
        <w:spacing w:after="0" w:line="263"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6" w:lineRule="exact"/>
        <w:rPr>
          <w:rFonts w:ascii="Arial" w:cs="Arial" w:eastAsia="Arial" w:hAnsi="Arial"/>
          <w:sz w:val="18"/>
          <w:szCs w:val="18"/>
          <w:color w:val="auto"/>
        </w:rPr>
      </w:pPr>
    </w:p>
    <w:p>
      <w:pPr>
        <w:jc w:val="both"/>
        <w:ind w:left="1300" w:right="220" w:hanging="320"/>
        <w:spacing w:after="0" w:line="342" w:lineRule="auto"/>
        <w:tabs>
          <w:tab w:leader="none" w:pos="129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300" w:right="240" w:hanging="320"/>
        <w:spacing w:after="0" w:line="263"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660" w:right="100" w:hanging="328"/>
        <w:spacing w:after="0" w:line="342"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6" w:lineRule="exact"/>
        <w:rPr>
          <w:rFonts w:ascii="Arial" w:cs="Arial" w:eastAsia="Arial" w:hAnsi="Arial"/>
          <w:sz w:val="16"/>
          <w:szCs w:val="16"/>
          <w:color w:val="auto"/>
        </w:rPr>
      </w:pPr>
    </w:p>
    <w:p>
      <w:pPr>
        <w:ind w:left="1300" w:right="460" w:hanging="320"/>
        <w:spacing w:after="0" w:line="342" w:lineRule="auto"/>
        <w:tabs>
          <w:tab w:leader="none" w:pos="1290" w:val="left"/>
        </w:tabs>
        <w:numPr>
          <w:ilvl w:val="1"/>
          <w:numId w:val="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1300" w:right="160" w:hanging="320"/>
        <w:spacing w:after="0" w:line="277"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20"/>
        <w:spacing w:after="0"/>
        <w:tabs>
          <w:tab w:leader="none" w:pos="640" w:val="left"/>
        </w:tabs>
        <w:rPr>
          <w:sz w:val="20"/>
          <w:szCs w:val="20"/>
          <w:color w:val="auto"/>
        </w:rPr>
      </w:pPr>
      <w:r>
        <w:rPr>
          <w:rFonts w:ascii="Arial" w:cs="Arial" w:eastAsia="Arial" w:hAnsi="Arial"/>
          <w:sz w:val="18"/>
          <w:szCs w:val="18"/>
          <w:color w:val="auto"/>
        </w:rPr>
        <w:t>Date:</w:t>
        <w:tab/>
        <w:t>November 2, 2023</w:t>
      </w:r>
    </w:p>
    <w:p>
      <w:pPr>
        <w:spacing w:after="0" w:line="200" w:lineRule="exact"/>
        <w:rPr>
          <w:sz w:val="20"/>
          <w:szCs w:val="20"/>
          <w:color w:val="auto"/>
        </w:rPr>
      </w:pPr>
    </w:p>
    <w:p>
      <w:pPr>
        <w:spacing w:after="0" w:line="3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Dawn Phillipson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06895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306895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Dawn Phillipson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40"/>
          </w:cols>
          <w:pgMar w:left="320" w:top="135" w:right="339" w:bottom="1440" w:gutter="0" w:footer="0" w:header="0"/>
        </w:sectPr>
      </w:pPr>
    </w:p>
    <w:bookmarkStart w:id="37" w:name="page38"/>
    <w:bookmarkEnd w:id="37"/>
    <w:p>
      <w:pPr>
        <w:ind w:left="10320"/>
        <w:spacing w:after="0"/>
        <w:rPr>
          <w:sz w:val="20"/>
          <w:szCs w:val="20"/>
          <w:color w:val="auto"/>
        </w:rPr>
      </w:pPr>
      <w:r>
        <w:rPr>
          <w:rFonts w:ascii="Arial" w:cs="Arial" w:eastAsia="Arial" w:hAnsi="Arial"/>
          <w:sz w:val="16"/>
          <w:szCs w:val="16"/>
          <w:b w:val="1"/>
          <w:bCs w:val="1"/>
          <w:color w:val="auto"/>
        </w:rPr>
        <w:t>Exhibit 32.1</w:t>
      </w:r>
    </w:p>
    <w:p>
      <w:pPr>
        <w:spacing w:after="0" w:line="289" w:lineRule="exact"/>
        <w:rPr>
          <w:sz w:val="20"/>
          <w:szCs w:val="20"/>
          <w:color w:val="auto"/>
        </w:rPr>
      </w:pPr>
    </w:p>
    <w:p>
      <w:pPr>
        <w:jc w:val="center"/>
        <w:spacing w:after="0" w:line="237"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378"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In connection with the Quarterly Report of Arhaus, Inc. (the “Company”) on Form 10-Q for the quarter ended September 30, 2023 as filed with the Securities and Exchange Commission on the date hereof (the “Report”), I, John Reed, Chief Executive Officer of the Company, hereby certify, pursuant to</w:t>
      </w:r>
    </w:p>
    <w:p>
      <w:pPr>
        <w:spacing w:after="0"/>
        <w:rPr>
          <w:sz w:val="20"/>
          <w:szCs w:val="20"/>
          <w:color w:val="auto"/>
        </w:rPr>
      </w:pPr>
      <w:r>
        <w:rPr>
          <w:rFonts w:ascii="Arial" w:cs="Arial" w:eastAsia="Arial" w:hAnsi="Arial"/>
          <w:sz w:val="18"/>
          <w:szCs w:val="18"/>
          <w:color w:val="auto"/>
        </w:rPr>
        <w:t>18 U.S.C. Section 1350, as adopted pursuant to Section 906 of the Sarbanes-Oxley Act of 2002, to the best of my knowledge, that:</w:t>
      </w:r>
    </w:p>
    <w:p>
      <w:pPr>
        <w:spacing w:after="0" w:line="128" w:lineRule="exact"/>
        <w:rPr>
          <w:sz w:val="20"/>
          <w:szCs w:val="20"/>
          <w:color w:val="auto"/>
        </w:rPr>
      </w:pPr>
    </w:p>
    <w:p>
      <w:pPr>
        <w:ind w:left="640" w:hanging="308"/>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7" w:lineRule="exact"/>
        <w:rPr>
          <w:rFonts w:ascii="Arial" w:cs="Arial" w:eastAsia="Arial" w:hAnsi="Arial"/>
          <w:sz w:val="18"/>
          <w:szCs w:val="18"/>
          <w:color w:val="auto"/>
        </w:rPr>
      </w:pPr>
    </w:p>
    <w:p>
      <w:pPr>
        <w:ind w:left="660" w:hanging="328"/>
        <w:spacing w:after="0" w:line="235" w:lineRule="auto"/>
        <w:tabs>
          <w:tab w:leader="none" w:pos="654"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dates and periods covered by the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John Reed</w:t>
      </w:r>
    </w:p>
    <w:p>
      <w:pPr>
        <w:spacing w:after="0" w:line="203" w:lineRule="auto"/>
        <w:rPr>
          <w:sz w:val="20"/>
          <w:szCs w:val="20"/>
          <w:color w:val="auto"/>
        </w:rPr>
      </w:pPr>
      <w:r>
        <w:rPr>
          <w:rFonts w:ascii="Arial" w:cs="Arial" w:eastAsia="Arial" w:hAnsi="Arial"/>
          <w:sz w:val="18"/>
          <w:szCs w:val="18"/>
          <w:color w:val="auto"/>
        </w:rPr>
        <w:t>John Reed</w:t>
      </w:r>
    </w:p>
    <w:p>
      <w:pPr>
        <w:spacing w:after="0" w:line="219"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2023</w:t>
      </w:r>
    </w:p>
    <w:p>
      <w:pPr>
        <w:spacing w:after="0" w:line="158"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A signed original of this written statement required by Section 906 has been provided to, and will be retained by, Arhaus, Inc. and furnished to the Securities and Exchange Commission or its staff upon request.</w:t>
      </w:r>
    </w:p>
    <w:p>
      <w:pPr>
        <w:sectPr>
          <w:pgSz w:w="11900" w:h="16838" w:orient="portrait"/>
          <w:cols w:equalWidth="0" w:num="1">
            <w:col w:w="11240"/>
          </w:cols>
          <w:pgMar w:left="320" w:top="121" w:right="339" w:bottom="1440" w:gutter="0" w:footer="0" w:header="0"/>
        </w:sectPr>
      </w:pPr>
    </w:p>
    <w:bookmarkStart w:id="38" w:name="page39"/>
    <w:bookmarkEnd w:id="38"/>
    <w:p>
      <w:pPr>
        <w:ind w:left="10320"/>
        <w:spacing w:after="0"/>
        <w:rPr>
          <w:sz w:val="20"/>
          <w:szCs w:val="20"/>
          <w:color w:val="auto"/>
        </w:rPr>
      </w:pPr>
      <w:r>
        <w:rPr>
          <w:rFonts w:ascii="Arial" w:cs="Arial" w:eastAsia="Arial" w:hAnsi="Arial"/>
          <w:sz w:val="16"/>
          <w:szCs w:val="16"/>
          <w:b w:val="1"/>
          <w:bCs w:val="1"/>
          <w:color w:val="auto"/>
        </w:rPr>
        <w:t>Exhibit 32.2</w:t>
      </w:r>
    </w:p>
    <w:p>
      <w:pPr>
        <w:spacing w:after="0" w:line="289" w:lineRule="exact"/>
        <w:rPr>
          <w:sz w:val="20"/>
          <w:szCs w:val="20"/>
          <w:color w:val="auto"/>
        </w:rPr>
      </w:pPr>
    </w:p>
    <w:p>
      <w:pPr>
        <w:jc w:val="center"/>
        <w:spacing w:after="0" w:line="237"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378"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In connection with the Quarterly Report of Arhaus, Inc. (the “Company”) on Form 10-Q for the quarter ended September 30, 2023 as filed with the Securities and Exchange Commission on the date hereof (the “Report”), I, Dawn Phillipson, Chief Financial Officer of the Company, hereby certify,</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pursuant to 18 U.S.C. Section 1350, as adopted pursuant to Section 906 of the Sarbanes-Oxley Act of 2002, to the best of my knowledge, that:</w:t>
      </w:r>
    </w:p>
    <w:p>
      <w:pPr>
        <w:spacing w:after="0" w:line="140" w:lineRule="exact"/>
        <w:rPr>
          <w:sz w:val="20"/>
          <w:szCs w:val="20"/>
          <w:color w:val="auto"/>
        </w:rPr>
      </w:pPr>
    </w:p>
    <w:p>
      <w:pPr>
        <w:ind w:left="640" w:hanging="308"/>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7" w:lineRule="exact"/>
        <w:rPr>
          <w:rFonts w:ascii="Arial" w:cs="Arial" w:eastAsia="Arial" w:hAnsi="Arial"/>
          <w:sz w:val="18"/>
          <w:szCs w:val="18"/>
          <w:color w:val="auto"/>
        </w:rPr>
      </w:pPr>
    </w:p>
    <w:p>
      <w:pPr>
        <w:ind w:left="660" w:hanging="328"/>
        <w:spacing w:after="0" w:line="235" w:lineRule="auto"/>
        <w:tabs>
          <w:tab w:leader="none" w:pos="654"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dates and periods covered by the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Dawn Phillipson</w:t>
      </w:r>
    </w:p>
    <w:p>
      <w:pPr>
        <w:spacing w:after="0" w:line="203" w:lineRule="auto"/>
        <w:rPr>
          <w:sz w:val="20"/>
          <w:szCs w:val="20"/>
          <w:color w:val="auto"/>
        </w:rPr>
      </w:pPr>
      <w:r>
        <w:rPr>
          <w:rFonts w:ascii="Arial" w:cs="Arial" w:eastAsia="Arial" w:hAnsi="Arial"/>
          <w:sz w:val="18"/>
          <w:szCs w:val="18"/>
          <w:color w:val="auto"/>
        </w:rPr>
        <w:t>Dawn Phillipson</w:t>
      </w:r>
    </w:p>
    <w:p>
      <w:pPr>
        <w:spacing w:after="0" w:line="219"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and Accounting Officer)</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2023</w:t>
      </w:r>
    </w:p>
    <w:p>
      <w:pPr>
        <w:spacing w:after="0" w:line="158"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A signed original of this written statement required by Section 906 has been provided to, and will be retained by, Arhaus, Inc. and furnished to the Securities and Exchange Commission or its staff upon request.</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1."/>
      <w:numFmt w:val="decimal"/>
      <w:start w:val="1"/>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1)"/>
      <w:numFmt w:val="decimal"/>
      <w:start w:val="1"/>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1)"/>
      <w:numFmt w:val="decimal"/>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1)"/>
      <w:numFmt w:val="decimal"/>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85" Type="http://schemas.openxmlformats.org/officeDocument/2006/relationships/hyperlink" Target="https://www.sec.gov/Archives/edgar/data/1875444/000187544421000004/exhibit31-arcertificateo.htm" TargetMode="External"/><Relationship Id="rId86" Type="http://schemas.openxmlformats.org/officeDocument/2006/relationships/hyperlink" Target="https://www.sec.gov/Archives/edgar/data/1875444/000187544421000004/exhibit32-arbylawsofarh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2023-11-02T05:58:16Z</dcterms:created>
  <dcterms:modified xsi:type="dcterms:W3CDTF">2023-11-02T05:58:16Z</dcterms:modified>
</cp:coreProperties>
</file>