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4" w:lineRule="exact"/>
        <w:rPr>
          <w:sz w:val="24"/>
          <w:szCs w:val="24"/>
          <w:color w:val="auto"/>
        </w:rPr>
      </w:pPr>
    </w:p>
    <w:p>
      <w:pPr>
        <w:ind w:left="520" w:hanging="361"/>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4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5" w:lineRule="exact"/>
        <w:rPr>
          <w:sz w:val="24"/>
          <w:szCs w:val="24"/>
          <w:color w:val="auto"/>
        </w:rPr>
      </w:pPr>
    </w:p>
    <w:p>
      <w:pPr>
        <w:ind w:left="100"/>
        <w:spacing w:after="0" w:line="171" w:lineRule="exact"/>
        <w:rPr>
          <w:sz w:val="20"/>
          <w:szCs w:val="20"/>
          <w:color w:val="auto"/>
        </w:rPr>
      </w:pPr>
      <w:r>
        <w:rPr>
          <w:rFonts w:ascii="MS PGothic" w:cs="MS PGothic" w:eastAsia="MS PGothic" w:hAnsi="MS PGothic"/>
          <w:sz w:val="17"/>
          <w:szCs w:val="17"/>
          <w:color w:val="auto"/>
        </w:rPr>
        <w:t>☐</w:t>
      </w:r>
    </w:p>
    <w:p>
      <w:pPr>
        <w:spacing w:after="0" w:line="11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Commission file number: 001-41009</w:t>
            </w:r>
          </w:p>
        </w:tc>
        <w:tc>
          <w:tcPr>
            <w:tcW w:w="4080" w:type="dxa"/>
            <w:vAlign w:val="bottom"/>
          </w:tcPr>
          <w:p>
            <w:pPr>
              <w:spacing w:after="0"/>
              <w:rPr>
                <w:sz w:val="16"/>
                <w:szCs w:val="16"/>
                <w:color w:val="auto"/>
              </w:rPr>
            </w:pPr>
          </w:p>
        </w:tc>
      </w:tr>
      <w:tr>
        <w:trPr>
          <w:trHeight w:val="432"/>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center"/>
              <w:ind w:left="263"/>
              <w:spacing w:after="0"/>
              <w:rPr>
                <w:sz w:val="20"/>
                <w:szCs w:val="20"/>
                <w:color w:val="auto"/>
              </w:rPr>
            </w:pPr>
            <w:r>
              <w:rPr>
                <w:rFonts w:ascii="Times New Roman" w:cs="Times New Roman" w:eastAsia="Times New Roman" w:hAnsi="Times New Roman"/>
                <w:sz w:val="25"/>
                <w:szCs w:val="25"/>
                <w:b w:val="1"/>
                <w:bCs w:val="1"/>
                <w:color w:val="auto"/>
              </w:rPr>
              <w:t>Arhaus, Inc.</w:t>
            </w:r>
          </w:p>
        </w:tc>
        <w:tc>
          <w:tcPr>
            <w:tcW w:w="4080" w:type="dxa"/>
            <w:vAlign w:val="bottom"/>
          </w:tcPr>
          <w:p>
            <w:pPr>
              <w:spacing w:after="0"/>
              <w:rPr>
                <w:sz w:val="24"/>
                <w:szCs w:val="24"/>
                <w:color w:val="auto"/>
              </w:rPr>
            </w:pPr>
          </w:p>
        </w:tc>
      </w:tr>
      <w:tr>
        <w:trPr>
          <w:trHeight w:val="223"/>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gridSpan w:val="3"/>
          </w:tcPr>
          <w:p>
            <w:pPr>
              <w:jc w:val="center"/>
              <w:ind w:right="366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332"/>
        </w:trPr>
        <w:tc>
          <w:tcPr>
            <w:tcW w:w="3720" w:type="dxa"/>
            <w:vAlign w:val="bottom"/>
            <w:gridSpan w:val="2"/>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87-1729256</w:t>
            </w:r>
          </w:p>
        </w:tc>
      </w:tr>
      <w:tr>
        <w:trPr>
          <w:trHeight w:val="223"/>
        </w:trPr>
        <w:tc>
          <w:tcPr>
            <w:tcW w:w="3720" w:type="dxa"/>
            <w:vAlign w:val="bottom"/>
            <w:gridSpan w:val="2"/>
          </w:tcPr>
          <w:p>
            <w:pPr>
              <w:jc w:val="center"/>
              <w:ind w:left="18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(I.R.S. Employer</w:t>
            </w:r>
          </w:p>
        </w:tc>
      </w:tr>
      <w:tr>
        <w:trPr>
          <w:trHeight w:val="202"/>
        </w:trPr>
        <w:tc>
          <w:tcPr>
            <w:tcW w:w="3720" w:type="dxa"/>
            <w:vAlign w:val="bottom"/>
            <w:gridSpan w:val="2"/>
          </w:tcPr>
          <w:p>
            <w:pPr>
              <w:jc w:val="center"/>
              <w:ind w:left="18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80" w:type="dxa"/>
            <w:vAlign w:val="bottom"/>
          </w:tcPr>
          <w:p>
            <w:pPr>
              <w:jc w:val="center"/>
              <w:ind w:right="11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00"/>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51 E. Hines Hill Road, Boston Heights, Ohio</w:t>
            </w:r>
          </w:p>
        </w:tc>
        <w:tc>
          <w:tcPr>
            <w:tcW w:w="4080" w:type="dxa"/>
            <w:vAlign w:val="bottom"/>
          </w:tcPr>
          <w:p>
            <w:pPr>
              <w:spacing w:after="0"/>
              <w:rPr>
                <w:sz w:val="24"/>
                <w:szCs w:val="24"/>
                <w:color w:val="auto"/>
              </w:rPr>
            </w:pPr>
          </w:p>
        </w:tc>
      </w:tr>
      <w:tr>
        <w:trPr>
          <w:trHeight w:val="184"/>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80" w:type="dxa"/>
            <w:vAlign w:val="bottom"/>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44236</w:t>
            </w:r>
          </w:p>
        </w:tc>
        <w:tc>
          <w:tcPr>
            <w:tcW w:w="126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2"/>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(Zip Code)</w:t>
            </w:r>
          </w:p>
        </w:tc>
        <w:tc>
          <w:tcPr>
            <w:tcW w:w="4080" w:type="dxa"/>
            <w:vAlign w:val="bottom"/>
          </w:tcPr>
          <w:p>
            <w:pPr>
              <w:spacing w:after="0"/>
              <w:rPr>
                <w:sz w:val="17"/>
                <w:szCs w:val="17"/>
                <w:color w:val="auto"/>
              </w:rPr>
            </w:pPr>
          </w:p>
        </w:tc>
      </w:tr>
      <w:tr>
        <w:trPr>
          <w:trHeight w:val="293"/>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(440) 439-7700</w:t>
            </w:r>
          </w:p>
        </w:tc>
        <w:tc>
          <w:tcPr>
            <w:tcW w:w="4080" w:type="dxa"/>
            <w:vAlign w:val="bottom"/>
          </w:tcPr>
          <w:p>
            <w:pPr>
              <w:spacing w:after="0"/>
              <w:rPr>
                <w:sz w:val="24"/>
                <w:szCs w:val="24"/>
                <w:color w:val="auto"/>
              </w:rPr>
            </w:pPr>
          </w:p>
        </w:tc>
      </w:tr>
      <w:tr>
        <w:trPr>
          <w:trHeight w:val="184"/>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80" w:type="dxa"/>
            <w:vAlign w:val="bottom"/>
          </w:tcPr>
          <w:p>
            <w:pPr>
              <w:spacing w:after="0"/>
              <w:rPr>
                <w:sz w:val="16"/>
                <w:szCs w:val="16"/>
                <w:color w:val="auto"/>
              </w:rPr>
            </w:pPr>
          </w:p>
        </w:tc>
      </w:tr>
      <w:tr>
        <w:trPr>
          <w:trHeight w:val="31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r>
      <w:tr>
        <w:trPr>
          <w:trHeight w:val="171"/>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260" w:type="dxa"/>
            <w:vAlign w:val="bottom"/>
            <w:tcBorders>
              <w:bottom w:val="single" w:sz="8" w:color="auto"/>
            </w:tcBorders>
          </w:tcPr>
          <w:p>
            <w:pPr>
              <w:spacing w:after="0"/>
              <w:rPr>
                <w:sz w:val="14"/>
                <w:szCs w:val="14"/>
                <w:color w:val="auto"/>
              </w:rPr>
            </w:pPr>
          </w:p>
        </w:tc>
        <w:tc>
          <w:tcPr>
            <w:tcW w:w="4080" w:type="dxa"/>
            <w:vAlign w:val="bottom"/>
            <w:tcBorders>
              <w:bottom w:val="single" w:sz="8" w:color="auto"/>
              <w:right w:val="single" w:sz="8" w:color="auto"/>
            </w:tcBorders>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4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right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4"/>
                <w:szCs w:val="14"/>
                <w:color w:val="auto"/>
              </w:rPr>
              <w:t>ARHS</w:t>
            </w:r>
          </w:p>
        </w:tc>
        <w:tc>
          <w:tcPr>
            <w:tcW w:w="126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right w:val="single" w:sz="8" w:color="auto"/>
            </w:tcBorders>
            <w:shd w:val="clear" w:color="auto" w:fill="CCEEFF"/>
          </w:tcPr>
          <w:p>
            <w:pPr>
              <w:jc w:val="center"/>
              <w:ind w:right="1209"/>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98" w:lineRule="exact"/>
        <w:rPr>
          <w:sz w:val="24"/>
          <w:szCs w:val="24"/>
          <w:color w:val="auto"/>
        </w:rPr>
      </w:pPr>
    </w:p>
    <w:p>
      <w:pPr>
        <w:ind w:right="14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34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vMerge w:val="restart"/>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vMerge w:val="restart"/>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1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40"/>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30, 2024 the registrant had 53,241,316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648970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840" w:type="dxa"/>
            <w:vAlign w:val="bottom"/>
            <w:tcBorders>
              <w:left w:val="single" w:sz="8" w:color="CCEEFF"/>
              <w:bottom w:val="single" w:sz="8" w:color="0000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8640" w:type="dxa"/>
            <w:vAlign w:val="bottom"/>
            <w:tcBorders>
              <w:bottom w:val="single" w:sz="8" w:color="CCEEFF"/>
            </w:tcBorders>
            <w:gridSpan w:val="14"/>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600" w:type="dxa"/>
            <w:vAlign w:val="bottom"/>
            <w:gridSpan w:val="3"/>
          </w:tcPr>
          <w:p>
            <w:pPr>
              <w:spacing w:after="0"/>
              <w:rPr>
                <w:sz w:val="13"/>
                <w:szCs w:val="13"/>
                <w:color w:val="auto"/>
              </w:rPr>
            </w:pPr>
          </w:p>
        </w:tc>
        <w:tc>
          <w:tcPr>
            <w:tcW w:w="304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of Arhaus, Inc. and Subsidiaries</w:t>
            </w:r>
          </w:p>
        </w:tc>
        <w:tc>
          <w:tcPr>
            <w:tcW w:w="6420" w:type="dxa"/>
            <w:vAlign w:val="bottom"/>
            <w:gridSpan w:val="8"/>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6460" w:type="dxa"/>
            <w:vAlign w:val="bottom"/>
            <w:tcBorders>
              <w:bottom w:val="single" w:sz="8" w:color="CCEEFF"/>
            </w:tcBorders>
            <w:gridSpan w:val="9"/>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r>
      <w:tr>
        <w:trPr>
          <w:trHeight w:val="154"/>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00" w:type="dxa"/>
            <w:vAlign w:val="bottom"/>
            <w:tcBorders>
              <w:bottom w:val="single" w:sz="8" w:color="0000FF"/>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(unaudited)</w:t>
            </w:r>
          </w:p>
        </w:tc>
        <w:tc>
          <w:tcPr>
            <w:tcW w:w="5160" w:type="dxa"/>
            <w:vAlign w:val="bottom"/>
            <w:gridSpan w:val="3"/>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4820" w:type="dxa"/>
            <w:vAlign w:val="bottom"/>
            <w:tcBorders>
              <w:bottom w:val="single" w:sz="8" w:color="0000FF"/>
            </w:tcBorders>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Changes in Stockholders’ Equity (unaudited)</w:t>
            </w:r>
          </w:p>
        </w:tc>
        <w:tc>
          <w:tcPr>
            <w:tcW w:w="464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r>
      <w:tr>
        <w:trPr>
          <w:trHeight w:val="154"/>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20" w:type="dxa"/>
            <w:vAlign w:val="bottom"/>
            <w:tcBorders>
              <w:bottom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5840" w:type="dxa"/>
            <w:vAlign w:val="bottom"/>
            <w:gridSpan w:val="5"/>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840" w:type="dxa"/>
            <w:vAlign w:val="bottom"/>
            <w:tcBorders>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62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r>
      <w:tr>
        <w:trPr>
          <w:trHeight w:val="154"/>
        </w:trPr>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2.</w:t>
            </w:r>
          </w:p>
        </w:tc>
        <w:tc>
          <w:tcPr>
            <w:tcW w:w="600" w:type="dxa"/>
            <w:vAlign w:val="bottom"/>
            <w:gridSpan w:val="3"/>
          </w:tcPr>
          <w:p>
            <w:pPr>
              <w:spacing w:after="0"/>
              <w:rPr>
                <w:sz w:val="13"/>
                <w:szCs w:val="13"/>
                <w:color w:val="auto"/>
              </w:rPr>
            </w:pPr>
          </w:p>
        </w:tc>
        <w:tc>
          <w:tcPr>
            <w:tcW w:w="946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66"/>
        </w:trPr>
        <w:tc>
          <w:tcPr>
            <w:tcW w:w="420" w:type="dxa"/>
            <w:vAlign w:val="bottom"/>
            <w:tcBorders>
              <w:top w:val="single" w:sz="8" w:color="0000FF"/>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3.</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3440" w:type="dxa"/>
            <w:vAlign w:val="bottom"/>
            <w:tcBorders>
              <w:top w:val="single" w:sz="8" w:color="0000FF"/>
              <w:bottom w:val="single" w:sz="8" w:color="0000FF"/>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4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600" w:type="dxa"/>
            <w:vAlign w:val="bottom"/>
            <w:gridSpan w:val="3"/>
          </w:tcPr>
          <w:p>
            <w:pPr>
              <w:spacing w:after="0"/>
              <w:rPr>
                <w:sz w:val="13"/>
                <w:szCs w:val="13"/>
                <w:color w:val="auto"/>
              </w:rPr>
            </w:pPr>
          </w:p>
        </w:tc>
        <w:tc>
          <w:tcPr>
            <w:tcW w:w="140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8060" w:type="dxa"/>
            <w:vAlign w:val="bottom"/>
            <w:gridSpan w:val="11"/>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166"/>
        </w:trPr>
        <w:tc>
          <w:tcPr>
            <w:tcW w:w="1640" w:type="dxa"/>
            <w:vAlign w:val="bottom"/>
            <w:tcBorders>
              <w:left w:val="single" w:sz="8" w:color="CCEEFF"/>
              <w:bottom w:val="single" w:sz="8" w:color="0000FF"/>
            </w:tcBorders>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8840" w:type="dxa"/>
            <w:vAlign w:val="bottom"/>
            <w:tcBorders>
              <w:bottom w:val="single" w:sz="8" w:color="CCEEFF"/>
            </w:tcBorders>
            <w:gridSpan w:val="16"/>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600" w:type="dxa"/>
            <w:vAlign w:val="bottom"/>
            <w:gridSpan w:val="3"/>
          </w:tcPr>
          <w:p>
            <w:pPr>
              <w:spacing w:after="0"/>
              <w:rPr>
                <w:sz w:val="13"/>
                <w:szCs w:val="13"/>
                <w:color w:val="auto"/>
              </w:rPr>
            </w:pPr>
          </w:p>
        </w:tc>
        <w:tc>
          <w:tcPr>
            <w:tcW w:w="106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8400" w:type="dxa"/>
            <w:vAlign w:val="bottom"/>
            <w:gridSpan w:val="12"/>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54"/>
        </w:trPr>
        <w:tc>
          <w:tcPr>
            <w:tcW w:w="1020" w:type="dxa"/>
            <w:vAlign w:val="bottom"/>
            <w:tcBorders>
              <w:left w:val="single" w:sz="8" w:color="CCEEFF"/>
            </w:tcBorders>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1A.</w:t>
            </w:r>
          </w:p>
        </w:tc>
        <w:tc>
          <w:tcPr>
            <w:tcW w:w="946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Risk Factors</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r>
      <w:tr>
        <w:trPr>
          <w:trHeight w:val="32"/>
        </w:trPr>
        <w:tc>
          <w:tcPr>
            <w:tcW w:w="420" w:type="dxa"/>
            <w:vAlign w:val="bottom"/>
            <w:tcBorders>
              <w:left w:val="single" w:sz="8" w:color="CCEE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54"/>
        </w:trPr>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946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66"/>
        </w:trPr>
        <w:tc>
          <w:tcPr>
            <w:tcW w:w="420" w:type="dxa"/>
            <w:vAlign w:val="bottom"/>
            <w:tcBorders>
              <w:top w:val="single" w:sz="8" w:color="0000FF"/>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3.</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1840" w:type="dxa"/>
            <w:vAlign w:val="bottom"/>
            <w:tcBorders>
              <w:top w:val="single" w:sz="8" w:color="0000FF"/>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6040" w:type="dxa"/>
            <w:vAlign w:val="bottom"/>
            <w:tcBorders>
              <w:bottom w:val="single" w:sz="8" w:color="CCEEFF"/>
            </w:tcBorders>
            <w:gridSpan w:val="7"/>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600" w:type="dxa"/>
            <w:vAlign w:val="bottom"/>
            <w:gridSpan w:val="3"/>
          </w:tcPr>
          <w:p>
            <w:pPr>
              <w:spacing w:after="0"/>
              <w:rPr>
                <w:sz w:val="13"/>
                <w:szCs w:val="13"/>
                <w:color w:val="auto"/>
              </w:rPr>
            </w:pPr>
          </w:p>
        </w:tc>
        <w:tc>
          <w:tcPr>
            <w:tcW w:w="140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8060" w:type="dxa"/>
            <w:vAlign w:val="bottom"/>
            <w:gridSpan w:val="11"/>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66"/>
        </w:trPr>
        <w:tc>
          <w:tcPr>
            <w:tcW w:w="420" w:type="dxa"/>
            <w:vAlign w:val="bottom"/>
            <w:tcBorders>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5.</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1040" w:type="dxa"/>
            <w:vAlign w:val="bottom"/>
            <w:tcBorders>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8420" w:type="dxa"/>
            <w:vAlign w:val="bottom"/>
            <w:tcBorders>
              <w:bottom w:val="single" w:sz="8" w:color="CCEEFF"/>
            </w:tcBorders>
            <w:gridSpan w:val="13"/>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6.</w:t>
            </w:r>
          </w:p>
        </w:tc>
        <w:tc>
          <w:tcPr>
            <w:tcW w:w="600" w:type="dxa"/>
            <w:vAlign w:val="bottom"/>
            <w:gridSpan w:val="3"/>
          </w:tcPr>
          <w:p>
            <w:pPr>
              <w:spacing w:after="0"/>
              <w:rPr>
                <w:sz w:val="13"/>
                <w:szCs w:val="13"/>
                <w:color w:val="auto"/>
              </w:rPr>
            </w:pPr>
          </w:p>
        </w:tc>
        <w:tc>
          <w:tcPr>
            <w:tcW w:w="4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8"/>
              </w:rPr>
              <w:t>Exhibits</w:t>
            </w:r>
          </w:p>
        </w:tc>
        <w:tc>
          <w:tcPr>
            <w:tcW w:w="8980" w:type="dxa"/>
            <w:vAlign w:val="bottom"/>
            <w:gridSpan w:val="17"/>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66"/>
        </w:trPr>
        <w:tc>
          <w:tcPr>
            <w:tcW w:w="1020" w:type="dxa"/>
            <w:vAlign w:val="bottom"/>
            <w:tcBorders>
              <w:left w:val="single" w:sz="8" w:color="CCEEFF"/>
            </w:tcBorders>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w:t>
            </w:r>
          </w:p>
        </w:tc>
      </w:tr>
      <w:tr>
        <w:trPr>
          <w:trHeight w:val="870"/>
        </w:trPr>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gridSpan w:val="16"/>
          </w:tcPr>
          <w:p>
            <w:pPr>
              <w:ind w:left="458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56"/>
        </w:trPr>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380" w:type="dxa"/>
            <w:vAlign w:val="bottom"/>
            <w:tcBorders>
              <w:bottom w:val="single" w:sz="8" w:color="9A9A9A"/>
            </w:tcBorders>
          </w:tcPr>
          <w:p>
            <w:pPr>
              <w:spacing w:after="0"/>
              <w:rPr>
                <w:sz w:val="22"/>
                <w:szCs w:val="22"/>
                <w:color w:val="auto"/>
              </w:rPr>
            </w:pPr>
          </w:p>
        </w:tc>
        <w:tc>
          <w:tcPr>
            <w:tcW w:w="8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of Arhaus, Inc. and Subsidiaries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4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223,098</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Restricted cash</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Accounts receivable, net</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Merchandise inventory, net</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254,292</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Prepaid and other 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26,304</w:t>
            </w:r>
          </w:p>
        </w:tc>
      </w:tr>
      <w:tr>
        <w:trPr>
          <w:trHeight w:val="18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Total current assets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509,295</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Operating right-of-use assets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302,157</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Financing right-of-use assets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38,835</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Property, furniture and equipment, net</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220,248</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Deferred tax assets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19,127</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Goodwill</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Other noncurrent assets</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4,525</w:t>
            </w:r>
          </w:p>
        </w:tc>
      </w:tr>
      <w:tr>
        <w:trPr>
          <w:trHeight w:val="196"/>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Total assets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1,105,148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40"/>
          </w:cols>
          <w:pgMar w:left="300" w:top="452" w:right="35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27875"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3" w:lineRule="exact"/>
        <w:rPr>
          <w:sz w:val="20"/>
          <w:szCs w:val="20"/>
          <w:color w:val="auto"/>
        </w:rPr>
      </w:pPr>
    </w:p>
    <w:p>
      <w:pPr>
        <w:ind w:left="20"/>
        <w:spacing w:after="0"/>
        <w:tabs>
          <w:tab w:leader="none" w:pos="7700" w:val="left"/>
        </w:tabs>
        <w:rPr>
          <w:sz w:val="20"/>
          <w:szCs w:val="20"/>
          <w:color w:val="auto"/>
        </w:rPr>
      </w:pPr>
      <w:r>
        <w:rPr>
          <w:rFonts w:ascii="Times New Roman" w:cs="Times New Roman" w:eastAsia="Times New Roman" w:hAnsi="Times New Roman"/>
          <w:sz w:val="14"/>
          <w:szCs w:val="14"/>
          <w:color w:val="231F20"/>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payable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Accrued wages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Client deposits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Current portion of financing lease liabilities</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2787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27875"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Deferred rent and lease incentives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spacing w:after="0" w:line="6" w:lineRule="exact"/>
        <w:rPr>
          <w:sz w:val="20"/>
          <w:szCs w:val="20"/>
          <w:color w:val="auto"/>
        </w:rPr>
      </w:pPr>
    </w:p>
    <w:p>
      <w:pPr>
        <w:ind w:left="280"/>
        <w:spacing w:after="0"/>
        <w:tabs>
          <w:tab w:leader="none" w:pos="7700" w:val="left"/>
        </w:tabs>
        <w:rPr>
          <w:sz w:val="20"/>
          <w:szCs w:val="20"/>
          <w:color w:val="auto"/>
        </w:rPr>
      </w:pPr>
      <w:r>
        <w:rPr>
          <w:rFonts w:ascii="Times New Roman" w:cs="Times New Roman" w:eastAsia="Times New Roman" w:hAnsi="Times New Roman"/>
          <w:sz w:val="14"/>
          <w:szCs w:val="14"/>
          <w:color w:val="231F20"/>
        </w:rPr>
        <w:t>Total liabilities</w:t>
      </w:r>
      <w:r>
        <w:rPr>
          <w:sz w:val="20"/>
          <w:szCs w:val="20"/>
          <w:color w:val="auto"/>
        </w:rPr>
        <w:tab/>
      </w:r>
      <w:r>
        <w:rPr>
          <w:rFonts w:ascii="Times New Roman" w:cs="Times New Roman" w:eastAsia="Times New Roman" w:hAnsi="Times New Roman"/>
          <w:sz w:val="12"/>
          <w:szCs w:val="12"/>
          <w:color w:val="auto"/>
        </w:rPr>
        <w: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2787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Stockholders’ equity</w:t>
      </w:r>
    </w:p>
    <w:p>
      <w:pPr>
        <w:spacing w:after="0" w:line="19" w:lineRule="exact"/>
        <w:rPr>
          <w:sz w:val="20"/>
          <w:szCs w:val="20"/>
          <w:color w:val="auto"/>
        </w:rPr>
      </w:pPr>
    </w:p>
    <w:p>
      <w:pPr>
        <w:ind w:left="20" w:right="560"/>
        <w:spacing w:after="0" w:line="229" w:lineRule="auto"/>
        <w:rPr>
          <w:sz w:val="20"/>
          <w:szCs w:val="20"/>
          <w:color w:val="auto"/>
        </w:rPr>
      </w:pPr>
      <w:r>
        <w:rPr>
          <w:rFonts w:ascii="Times New Roman" w:cs="Times New Roman" w:eastAsia="Times New Roman" w:hAnsi="Times New Roman"/>
          <w:sz w:val="14"/>
          <w:szCs w:val="14"/>
          <w:color w:val="auto"/>
        </w:rPr>
        <w:t>Class A shares, par value $0.001 per share (600,000,000 shares authorized, 53,361,983 shares issued and 53,241,316 outstanding as of March 31, 2024; 53,254,088 shares issued and 53,169,711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27875" cy="20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201930"/>
                    </a:xfrm>
                    <a:prstGeom prst="rect">
                      <a:avLst/>
                    </a:prstGeom>
                    <a:noFill/>
                  </pic:spPr>
                </pic:pic>
              </a:graphicData>
            </a:graphic>
          </wp:anchor>
        </w:drawing>
      </w:r>
    </w:p>
    <w:p>
      <w:pPr>
        <w:ind w:left="20" w:right="620"/>
        <w:spacing w:after="0" w:line="232" w:lineRule="auto"/>
        <w:rPr>
          <w:sz w:val="20"/>
          <w:szCs w:val="20"/>
          <w:color w:val="auto"/>
        </w:rPr>
      </w:pPr>
      <w:r>
        <w:rPr>
          <w:rFonts w:ascii="Times New Roman" w:cs="Times New Roman" w:eastAsia="Times New Roman" w:hAnsi="Times New Roman"/>
          <w:sz w:val="14"/>
          <w:szCs w:val="14"/>
          <w:color w:val="auto"/>
        </w:rPr>
        <w:t>Class B shares, par value $0.001 per share (100,000,000 shares authorized, 87,115,600 shares issued and outstanding as of March 31, 2024; 87,115,600 shares issued and outstanding as of December 31, 2023)</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2787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Additional paid-in capital</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62,135</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63,699</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70,628</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13,296</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11,156</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15,185</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43,195</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46,062</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202,922</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173,808</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42,694</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919</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178"/>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446,945</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342,347</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383,684</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362,598</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53,658</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53,870</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1,871</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4,574</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w:t>
            </w:r>
          </w:p>
        </w:tc>
      </w:tr>
      <w:tr>
        <w:trPr>
          <w:trHeight w:val="18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890,732</w:t>
            </w: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764,910</w:t>
            </w:r>
          </w:p>
        </w:tc>
      </w:tr>
      <w:tr>
        <w:trPr>
          <w:trHeight w:val="659"/>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15"/>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87</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89,206</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145,292</w:t>
            </w:r>
          </w:p>
        </w:tc>
      </w:tr>
      <w:tr>
        <w:trPr>
          <w:trHeight w:val="18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196,301</w:t>
            </w: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-988695</wp:posOffset>
            </wp:positionV>
            <wp:extent cx="10915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80" w:space="720"/>
            <w:col w:w="2340"/>
          </w:cols>
          <w:pgMar w:left="300" w:top="452"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77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Total Arhaus, Inc. stockholders’ equity</w:t>
            </w: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285,647</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340,238</w:t>
            </w:r>
          </w:p>
        </w:tc>
      </w:tr>
      <w:tr>
        <w:trPr>
          <w:trHeight w:val="17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1,176,379</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1,105,148</w:t>
            </w:r>
          </w:p>
        </w:tc>
      </w:tr>
      <w:tr>
        <w:trPr>
          <w:trHeight w:val="20"/>
        </w:trPr>
        <w:tc>
          <w:tcPr>
            <w:tcW w:w="7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452" w:right="35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r>
      <w:tr>
        <w:trPr>
          <w:trHeight w:val="186"/>
        </w:trPr>
        <w:tc>
          <w:tcPr>
            <w:tcW w:w="7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295,162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304,568</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180,108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176,330</w:t>
            </w:r>
          </w:p>
        </w:tc>
      </w:tr>
      <w:tr>
        <w:trPr>
          <w:trHeight w:val="17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128,238</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96,693</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82,782</w:t>
            </w:r>
          </w:p>
        </w:tc>
      </w:tr>
      <w:tr>
        <w:trPr>
          <w:trHeight w:val="17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45,456</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7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46,201</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w:t>
            </w:r>
          </w:p>
        </w:tc>
      </w:tr>
      <w:tr>
        <w:trPr>
          <w:trHeight w:val="171"/>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34,099</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7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basic</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139,816,792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139,072,756</w:t>
            </w: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diluted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140,556,031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139,939,543</w:t>
            </w: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32" w:right="359" w:bottom="1440" w:gutter="0" w:footer="0" w:header="0"/>
        </w:sectPr>
      </w:pPr>
    </w:p>
    <w:bookmarkStart w:id="4" w:name="page5"/>
    <w:bookmarkEnd w:id="4"/>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ind w:left="4580"/>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5"/>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2023</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52,669</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145,292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194,807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340,238</w:t>
            </w:r>
          </w:p>
        </w:tc>
        <w:tc>
          <w:tcPr>
            <w:tcW w:w="0" w:type="dxa"/>
            <w:vAlign w:val="bottom"/>
          </w:tcPr>
          <w:p>
            <w:pPr>
              <w:spacing w:after="0"/>
              <w:rPr>
                <w:sz w:val="1"/>
                <w:szCs w:val="1"/>
                <w:color w:val="auto"/>
              </w:rPr>
            </w:pPr>
          </w:p>
        </w:tc>
      </w:tr>
      <w:tr>
        <w:trPr>
          <w:trHeight w:val="151"/>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15,099</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2,024</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 equity 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0" w:type="dxa"/>
            <w:vAlign w:val="bottom"/>
          </w:tcPr>
          <w:p>
            <w:pPr>
              <w:spacing w:after="0"/>
              <w:rPr>
                <w:sz w:val="1"/>
                <w:szCs w:val="1"/>
                <w:color w:val="auto"/>
              </w:rPr>
            </w:pPr>
          </w:p>
        </w:tc>
      </w:tr>
      <w:tr>
        <w:trPr>
          <w:trHeight w:val="16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(71,185)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(71,185)</w:t>
            </w:r>
          </w:p>
        </w:tc>
        <w:tc>
          <w:tcPr>
            <w:tcW w:w="0" w:type="dxa"/>
            <w:vAlign w:val="bottom"/>
          </w:tcPr>
          <w:p>
            <w:pPr>
              <w:spacing w:after="0"/>
              <w:rPr>
                <w:sz w:val="1"/>
                <w:szCs w:val="1"/>
                <w:color w:val="auto"/>
              </w:rPr>
            </w:pPr>
          </w:p>
        </w:tc>
      </w:tr>
      <w:tr>
        <w:trPr>
          <w:trHeight w:val="19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52,761</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89,206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196,301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285,647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6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5"/>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2022</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51,437</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20,053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189,504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209,695</w:t>
            </w:r>
          </w:p>
        </w:tc>
        <w:tc>
          <w:tcPr>
            <w:tcW w:w="0" w:type="dxa"/>
            <w:vAlign w:val="bottom"/>
          </w:tcPr>
          <w:p>
            <w:pPr>
              <w:spacing w:after="0"/>
              <w:rPr>
                <w:sz w:val="1"/>
                <w:szCs w:val="1"/>
                <w:color w:val="auto"/>
              </w:rPr>
            </w:pPr>
          </w:p>
        </w:tc>
      </w:tr>
      <w:tr>
        <w:trPr>
          <w:trHeight w:val="151"/>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34,099</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1,630</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 equity 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2023</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52,216</w:t>
            </w:r>
          </w:p>
        </w:tc>
        <w:tc>
          <w:tcPr>
            <w:tcW w:w="6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54,152</w:t>
            </w:r>
          </w:p>
        </w:tc>
        <w:tc>
          <w:tcPr>
            <w:tcW w:w="8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190,803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245,094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65"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r>
      <w:tr>
        <w:trPr>
          <w:trHeight w:val="186"/>
        </w:trPr>
        <w:tc>
          <w:tcPr>
            <w:tcW w:w="77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85"/>
        </w:trPr>
        <w:tc>
          <w:tcPr>
            <w:tcW w:w="77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6"/>
                <w:szCs w:val="16"/>
                <w:color w:val="auto"/>
              </w:rPr>
            </w:pPr>
          </w:p>
        </w:tc>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34,099</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w:t>
            </w:r>
          </w:p>
        </w:tc>
      </w:tr>
      <w:tr>
        <w:trPr>
          <w:trHeight w:val="21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deferred financing fees, interest on finance lease in excess of principal paid and interest on operating leases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w:t>
            </w:r>
          </w:p>
        </w:tc>
      </w:tr>
      <w:tr>
        <w:trPr>
          <w:trHeight w:val="21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r>
      <w:tr>
        <w:trPr>
          <w:trHeight w:val="21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cloud computing arrangements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and write-off of lease incentives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Insurance proceeds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Merchandise inventory</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(14,118)</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r>
      <w:tr>
        <w:trPr>
          <w:trHeight w:val="210"/>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and other assets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w:t>
            </w:r>
          </w:p>
        </w:tc>
      </w:tr>
      <w:tr>
        <w:trPr>
          <w:trHeight w:val="210"/>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(10,628)</w:t>
            </w:r>
          </w:p>
        </w:tc>
      </w:tr>
      <w:tr>
        <w:trPr>
          <w:trHeight w:val="193"/>
        </w:trPr>
        <w:tc>
          <w:tcPr>
            <w:tcW w:w="7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Client deposits</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29,114</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w:t>
            </w:r>
          </w:p>
        </w:tc>
      </w:tr>
      <w:tr>
        <w:trPr>
          <w:trHeight w:val="201"/>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36,828</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r>
      <w:tr>
        <w:trPr>
          <w:trHeight w:val="17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(11,693)</w:t>
            </w: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proceeds</w:t>
            </w:r>
          </w:p>
        </w:tc>
        <w:tc>
          <w:tcPr>
            <w:tcW w:w="5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01"/>
        </w:trPr>
        <w:tc>
          <w:tcPr>
            <w:tcW w:w="77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(25,932)</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w:t>
            </w:r>
          </w:p>
        </w:tc>
      </w:tr>
      <w:tr>
        <w:trPr>
          <w:trHeight w:val="17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under finance leases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shares for payment of withholding taxes for equity based compensation</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201"/>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83"/>
        </w:trPr>
        <w:tc>
          <w:tcPr>
            <w:tcW w:w="7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179"/>
        </w:trPr>
        <w:tc>
          <w:tcPr>
            <w:tcW w:w="7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226,305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152,527</w:t>
            </w:r>
          </w:p>
        </w:tc>
      </w:tr>
      <w:tr>
        <w:trPr>
          <w:trHeight w:val="20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236,440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151,620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7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9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received in cash</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Capital contributions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5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420" w:firstLine="5"/>
        <w:spacing w:after="0" w:line="468" w:lineRule="auto"/>
        <w:tabs>
          <w:tab w:leader="none" w:pos="141"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 and Basis of Presentation Nature of Business</w:t>
      </w:r>
    </w:p>
    <w:p>
      <w:pPr>
        <w:ind w:right="260"/>
        <w:spacing w:after="0" w:line="264" w:lineRule="auto"/>
        <w:rPr>
          <w:sz w:val="20"/>
          <w:szCs w:val="20"/>
          <w:color w:val="auto"/>
        </w:rPr>
      </w:pPr>
      <w:r>
        <w:rPr>
          <w:rFonts w:ascii="Times New Roman" w:cs="Times New Roman" w:eastAsia="Times New Roman" w:hAnsi="Times New Roman"/>
          <w:sz w:val="14"/>
          <w:szCs w:val="14"/>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92 Showrooms as of March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4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accompanying condensed consolidated balance sheets at March 31, 2024 and December 31, 2023, the condensed consolidated statements of comprehensive income, changes in stockholders’equity and cash flows for the three months ended March 31, 2024 and March 31, 2023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0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management’s opinion, the accompanying condensed consolidated financial statements contain all adjustments, consisting of normal recurring adjustments, necessary for a fair statement of the Company’s financial position at March 31, 2024, the results of operations, changes in stockholders’equity and cash flows for the three months ended March 31, 2024 and March 31, 2023. The condensed consolidated balance sheet as of December 31, 2023 included herein was derived from audited financial statements, but does not include all disclosures required by U.S. GAAP.</w:t>
      </w:r>
    </w:p>
    <w:p>
      <w:pPr>
        <w:spacing w:after="0" w:line="10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results for the three months ended March 31, 2024 and March 31, 2023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Client Deposits</w:t>
      </w:r>
    </w:p>
    <w:p>
      <w:pPr>
        <w:spacing w:after="0" w:line="1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March 31, 2024 will be recognized as net revenue within the next 12 months as the performance obligations are satisfied.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Gift Cards</w:t>
      </w:r>
    </w:p>
    <w:p>
      <w:pPr>
        <w:spacing w:after="0" w:line="14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March 31, 2024 and December 31, 2023 of $0.4 million and $0.5 million, respectively, is recorded in the accrued other expenses line item of the condensed consolidated balance sheets. The Company recognizes income associated with breakage proportional to actual gift card redemptions. For the three months ended March 31, 2024 and March 31, 2023, breakage income was minimal.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Financial Instruments</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March 31, 2024 and December 31, 2023. See Note 5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discussion of our lease obligations and Note 6 — </w:t>
      </w:r>
      <w:r>
        <w:rPr>
          <w:rFonts w:ascii="Times New Roman" w:cs="Times New Roman" w:eastAsia="Times New Roman" w:hAnsi="Times New Roman"/>
          <w:sz w:val="14"/>
          <w:szCs w:val="14"/>
          <w:i w:val="1"/>
          <w:iCs w:val="1"/>
          <w:color w:val="auto"/>
        </w:rPr>
        <w:t>Equity Based Compensation</w:t>
      </w:r>
      <w:r>
        <w:rPr>
          <w:rFonts w:ascii="Times New Roman" w:cs="Times New Roman" w:eastAsia="Times New Roman" w:hAnsi="Times New Roman"/>
          <w:sz w:val="14"/>
          <w:szCs w:val="14"/>
          <w:color w:val="auto"/>
        </w:rPr>
        <w:t xml:space="preserve"> for discussion of our equity based compensation instruments.</w:t>
      </w:r>
    </w:p>
    <w:p>
      <w:pPr>
        <w:spacing w:after="0" w:line="10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14"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Unadjusted quoted prices in active markets for identical, unrestricted assets and liabilities that the reporting entity has the ability to access at the measurement date.</w:t>
      </w:r>
    </w:p>
    <w:p>
      <w:pPr>
        <w:spacing w:after="0" w:line="147" w:lineRule="exact"/>
        <w:rPr>
          <w:sz w:val="20"/>
          <w:szCs w:val="20"/>
          <w:color w:val="auto"/>
        </w:rPr>
      </w:pPr>
    </w:p>
    <w:p>
      <w:pPr>
        <w:ind w:left="1280" w:right="220" w:hanging="763"/>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92" w:lineRule="exact"/>
        <w:rPr>
          <w:sz w:val="20"/>
          <w:szCs w:val="20"/>
          <w:color w:val="auto"/>
        </w:rPr>
      </w:pPr>
    </w:p>
    <w:p>
      <w:pPr>
        <w:ind w:left="1280" w:right="160" w:hanging="763"/>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0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From time to time, the Company invests in Level 1 cash and cash equivalent investments such as money market funds and interest-bearing checking accounts. For the three months ended March 31, 2024, the Company earned $2.8 million in interest income. For the three months ended March 31, 2023, interest income was $1.5 million. Interest income is included within interest expense (income), net on our condensed consolidated statements of comprehensive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Revision to Previously Issued Consolidated Financial Statements and Interim Unaudited Condensed Consolidated Financial Statements</w:t>
      </w:r>
    </w:p>
    <w:p>
      <w:pPr>
        <w:spacing w:after="0" w:line="14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As previously disclosed, in preparation of the December 31, 2023 consolidated financial statements, the Company identified an error within the unaudited condensed consolidated balance sheets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and the Company concluded to revise the consolidated financial statements and interim unaudited condensed consolidated financial statements as presented below in Adjustment No.1.</w:t>
      </w:r>
    </w:p>
    <w:p>
      <w:pPr>
        <w:spacing w:after="0" w:line="11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In preparation of the March 31, 2024 unaudited condensed consolidated financial statements, the Company identified an additional error within the unaudited condensed consolidated balance sheets related to certain cash receipts from landlord reimbursements prior to showroom completion being incorrectly included in property, furniture and equipment, net. The error resulted in inaccurate cash flows ascribed to operating and investing activities in the unaudited condensed consolidated statement of cash flows as presented below in Adjustment No. 2.</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has evaluated the errors both quantitatively and qualitatively and concluded they were not material, individually or in the aggregate, to the prior period consolidated financial statements and interim unaudited condensed consolidated financial statements. The Company concluded to further revise: the unaudited condensed consolidated balance sheets and unaudited condensed consolidated statements of cash flows as of and for the three months ended March 31, 2023 and 2022, and as of and for the six months ended June 30, 2023 and 2022; the unaudited condensed consolidated balance sheet as of September 30, 2022; the consolidated balance sheets as of December 31, 2023 and 2022; and the consolidated statements of cash flows for the years ended December 31, 2023, 2022 and 2021.</w:t>
      </w:r>
    </w:p>
    <w:p>
      <w:pPr>
        <w:spacing w:after="0" w:line="111"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4"/>
          <w:szCs w:val="14"/>
          <w:color w:val="auto"/>
        </w:rPr>
        <w:t>In connection with the revisions, the Company determined it is appropriate to correct for certain other immaterial errors. The Company will effect the revisions of the consolidated financial statements for 2023 and 2022 within our Annual Report on Form 10-K for the fiscal year ended December 31, 2024. The Company will effect the revision of the unaudited interim condensed consolidated financial statements for the second quarter of 2023 within our Quarterly Report on Form 10-Q for the fiscal period ended June 30,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also revised impacted amounts within the accompanying notes to the unaudited condensed consolidated financial statements, as applicable.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impact of these corrections for the periods presented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1"/>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8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45,260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(18,956)</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26,304</w:t>
            </w:r>
          </w:p>
        </w:tc>
        <w:tc>
          <w:tcPr>
            <w:tcW w:w="80" w:type="dxa"/>
            <w:vAlign w:val="bottom"/>
          </w:tcPr>
          <w:p>
            <w:pPr>
              <w:spacing w:after="0"/>
              <w:rPr>
                <w:sz w:val="14"/>
                <w:szCs w:val="14"/>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528,251</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(18,956)</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509,295</w:t>
            </w:r>
          </w:p>
        </w:tc>
        <w:tc>
          <w:tcPr>
            <w:tcW w:w="80" w:type="dxa"/>
            <w:vAlign w:val="bottom"/>
          </w:tcPr>
          <w:p>
            <w:pPr>
              <w:spacing w:after="0"/>
              <w:rPr>
                <w:sz w:val="15"/>
                <w:szCs w:val="15"/>
                <w:color w:val="auto"/>
              </w:rPr>
            </w:pPr>
          </w:p>
        </w:tc>
      </w:tr>
      <w:tr>
        <w:trPr>
          <w:trHeight w:val="212"/>
        </w:trPr>
        <w:tc>
          <w:tcPr>
            <w:tcW w:w="4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210,238</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10,010</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220,248</w:t>
            </w:r>
          </w:p>
        </w:tc>
        <w:tc>
          <w:tcPr>
            <w:tcW w:w="80" w:type="dxa"/>
            <w:vAlign w:val="bottom"/>
          </w:tcPr>
          <w:p>
            <w:pPr>
              <w:spacing w:after="0"/>
              <w:rPr>
                <w:sz w:val="15"/>
                <w:szCs w:val="15"/>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1,114,094</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1,105,148</w:t>
            </w:r>
          </w:p>
        </w:tc>
        <w:tc>
          <w:tcPr>
            <w:tcW w:w="80" w:type="dxa"/>
            <w:vAlign w:val="bottom"/>
          </w:tcPr>
          <w:p>
            <w:pPr>
              <w:spacing w:after="0"/>
              <w:rPr>
                <w:sz w:val="15"/>
                <w:szCs w:val="15"/>
                <w:color w:val="auto"/>
              </w:rPr>
            </w:pPr>
          </w:p>
        </w:tc>
      </w:tr>
      <w:tr>
        <w:trPr>
          <w:trHeight w:val="212"/>
        </w:trPr>
        <w:tc>
          <w:tcPr>
            <w:tcW w:w="4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42,502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3,560</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46,062</w:t>
            </w:r>
          </w:p>
        </w:tc>
        <w:tc>
          <w:tcPr>
            <w:tcW w:w="80" w:type="dxa"/>
            <w:vAlign w:val="bottom"/>
          </w:tcPr>
          <w:p>
            <w:pPr>
              <w:spacing w:after="0"/>
              <w:rPr>
                <w:sz w:val="15"/>
                <w:szCs w:val="15"/>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45,557</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(12,506)</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w:t>
            </w:r>
          </w:p>
        </w:tc>
        <w:tc>
          <w:tcPr>
            <w:tcW w:w="80" w:type="dxa"/>
            <w:vAlign w:val="bottom"/>
          </w:tcPr>
          <w:p>
            <w:pPr>
              <w:spacing w:after="0"/>
              <w:rPr>
                <w:sz w:val="15"/>
                <w:szCs w:val="15"/>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351,293</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342,347</w:t>
            </w:r>
          </w:p>
        </w:tc>
        <w:tc>
          <w:tcPr>
            <w:tcW w:w="80" w:type="dxa"/>
            <w:vAlign w:val="bottom"/>
          </w:tcPr>
          <w:p>
            <w:pPr>
              <w:spacing w:after="0"/>
              <w:rPr>
                <w:sz w:val="15"/>
                <w:szCs w:val="15"/>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773,856</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764,910</w:t>
            </w:r>
          </w:p>
        </w:tc>
        <w:tc>
          <w:tcPr>
            <w:tcW w:w="80" w:type="dxa"/>
            <w:vAlign w:val="bottom"/>
          </w:tcPr>
          <w:p>
            <w:pPr>
              <w:spacing w:after="0"/>
              <w:rPr>
                <w:sz w:val="15"/>
                <w:szCs w:val="15"/>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1,114,094</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1,105,148</w:t>
            </w:r>
          </w:p>
        </w:tc>
        <w:tc>
          <w:tcPr>
            <w:tcW w:w="80" w:type="dxa"/>
            <w:vAlign w:val="bottom"/>
          </w:tcPr>
          <w:p>
            <w:pPr>
              <w:spacing w:after="0"/>
              <w:rPr>
                <w:sz w:val="15"/>
                <w:szCs w:val="15"/>
                <w:color w:val="auto"/>
              </w:rPr>
            </w:pPr>
          </w:p>
        </w:tc>
      </w:tr>
      <w:tr>
        <w:trPr>
          <w:trHeight w:val="710"/>
        </w:trPr>
        <w:tc>
          <w:tcPr>
            <w:tcW w:w="4060" w:type="dxa"/>
            <w:vAlign w:val="bottom"/>
          </w:tcPr>
          <w:p>
            <w:pPr>
              <w:spacing w:after="0"/>
              <w:rPr>
                <w:sz w:val="24"/>
                <w:szCs w:val="24"/>
                <w:color w:val="auto"/>
              </w:rPr>
            </w:pPr>
          </w:p>
        </w:tc>
        <w:tc>
          <w:tcPr>
            <w:tcW w:w="18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6"/>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71"/>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17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(20,721)</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9,612</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(11,109)</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(25,794)</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(13,226)</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(39,020)</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172,299</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168,685</w:t>
            </w:r>
          </w:p>
        </w:tc>
      </w:tr>
      <w:tr>
        <w:trPr>
          <w:trHeight w:val="212"/>
        </w:trPr>
        <w:tc>
          <w:tcPr>
            <w:tcW w:w="5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(97,055)</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3,614</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(93,441)</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(96,722)</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3,614</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(93,108)</w:t>
            </w:r>
          </w:p>
        </w:tc>
      </w:tr>
      <w:tr>
        <w:trPr>
          <w:trHeight w:val="212"/>
        </w:trPr>
        <w:tc>
          <w:tcPr>
            <w:tcW w:w="5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54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6,726</w:t>
            </w:r>
          </w:p>
        </w:tc>
        <w:tc>
          <w:tcPr>
            <w:tcW w:w="7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3,560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10,286</w:t>
            </w:r>
          </w:p>
        </w:tc>
        <w:tc>
          <w:tcPr>
            <w:tcW w:w="0" w:type="dxa"/>
            <w:vAlign w:val="bottom"/>
          </w:tcPr>
          <w:p>
            <w:pPr>
              <w:spacing w:after="0"/>
              <w:rPr>
                <w:sz w:val="1"/>
                <w:szCs w:val="1"/>
                <w:color w:val="auto"/>
              </w:rPr>
            </w:pPr>
          </w:p>
        </w:tc>
      </w:tr>
      <w:tr>
        <w:trPr>
          <w:trHeight w:val="414"/>
        </w:trPr>
        <w:tc>
          <w:tcPr>
            <w:tcW w:w="1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Originally</w:t>
            </w:r>
          </w:p>
        </w:tc>
        <w:tc>
          <w:tcPr>
            <w:tcW w:w="15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20" w:type="dxa"/>
            <w:vAlign w:val="bottom"/>
            <w:gridSpan w:val="2"/>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130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540" w:type="dxa"/>
            <w:vAlign w:val="bottom"/>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Disclosed</w:t>
            </w:r>
          </w:p>
        </w:tc>
        <w:tc>
          <w:tcPr>
            <w:tcW w:w="16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-706755</wp:posOffset>
            </wp:positionV>
            <wp:extent cx="711454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4540" cy="1143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160"/>
            <w:col w:w="718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2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43,084</w:t>
            </w:r>
          </w:p>
        </w:tc>
        <w:tc>
          <w:tcPr>
            <w:tcW w:w="56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w:t>
            </w:r>
          </w:p>
        </w:tc>
        <w:tc>
          <w:tcPr>
            <w:tcW w:w="44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29,810</w:t>
            </w:r>
          </w:p>
        </w:tc>
        <w:tc>
          <w:tcPr>
            <w:tcW w:w="54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46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18,430</w:t>
            </w:r>
          </w:p>
        </w:tc>
        <w:tc>
          <w:tcPr>
            <w:tcW w:w="20" w:type="dxa"/>
            <w:vAlign w:val="bottom"/>
          </w:tcPr>
          <w:p>
            <w:pPr>
              <w:spacing w:after="0"/>
              <w:rPr>
                <w:sz w:val="14"/>
                <w:szCs w:val="14"/>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521,047</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(13,274)</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507,773</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496,393</w:t>
            </w:r>
          </w:p>
        </w:tc>
        <w:tc>
          <w:tcPr>
            <w:tcW w:w="20" w:type="dxa"/>
            <w:vAlign w:val="bottom"/>
          </w:tcPr>
          <w:p>
            <w:pPr>
              <w:spacing w:after="0"/>
              <w:rPr>
                <w:sz w:val="15"/>
                <w:szCs w:val="15"/>
                <w:color w:val="auto"/>
              </w:rPr>
            </w:pPr>
          </w:p>
        </w:tc>
      </w:tr>
      <w:tr>
        <w:trPr>
          <w:trHeight w:val="212"/>
        </w:trPr>
        <w:tc>
          <w:tcPr>
            <w:tcW w:w="3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309,211</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301,861</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301,861</w:t>
            </w:r>
          </w:p>
        </w:tc>
        <w:tc>
          <w:tcPr>
            <w:tcW w:w="20" w:type="dxa"/>
            <w:vAlign w:val="bottom"/>
          </w:tcPr>
          <w:p>
            <w:pPr>
              <w:spacing w:after="0"/>
              <w:rPr>
                <w:sz w:val="15"/>
                <w:szCs w:val="15"/>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149,515</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13,274</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162,789</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15,160</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177,949</w:t>
            </w:r>
          </w:p>
        </w:tc>
        <w:tc>
          <w:tcPr>
            <w:tcW w:w="20" w:type="dxa"/>
            <w:vAlign w:val="bottom"/>
          </w:tcPr>
          <w:p>
            <w:pPr>
              <w:spacing w:after="0"/>
              <w:rPr>
                <w:sz w:val="15"/>
                <w:szCs w:val="15"/>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1,045,279</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1,037,929</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3,780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1,041,709</w:t>
            </w:r>
          </w:p>
        </w:tc>
        <w:tc>
          <w:tcPr>
            <w:tcW w:w="20" w:type="dxa"/>
            <w:vAlign w:val="bottom"/>
          </w:tcPr>
          <w:p>
            <w:pPr>
              <w:spacing w:after="0"/>
              <w:rPr>
                <w:sz w:val="15"/>
                <w:szCs w:val="15"/>
                <w:color w:val="auto"/>
              </w:rPr>
            </w:pPr>
          </w:p>
        </w:tc>
      </w:tr>
      <w:tr>
        <w:trPr>
          <w:trHeight w:val="212"/>
        </w:trPr>
        <w:tc>
          <w:tcPr>
            <w:tcW w:w="3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33,857</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33,857</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2,410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36,267</w:t>
            </w:r>
          </w:p>
        </w:tc>
        <w:tc>
          <w:tcPr>
            <w:tcW w:w="20" w:type="dxa"/>
            <w:vAlign w:val="bottom"/>
          </w:tcPr>
          <w:p>
            <w:pPr>
              <w:spacing w:after="0"/>
              <w:rPr>
                <w:sz w:val="15"/>
                <w:szCs w:val="15"/>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41,483</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41,483</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1,370</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20" w:type="dxa"/>
            <w:vAlign w:val="bottom"/>
          </w:tcPr>
          <w:p>
            <w:pPr>
              <w:spacing w:after="0"/>
              <w:rPr>
                <w:sz w:val="15"/>
                <w:szCs w:val="15"/>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344,627</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344,627</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3,780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348,407</w:t>
            </w:r>
          </w:p>
        </w:tc>
        <w:tc>
          <w:tcPr>
            <w:tcW w:w="20" w:type="dxa"/>
            <w:vAlign w:val="bottom"/>
          </w:tcPr>
          <w:p>
            <w:pPr>
              <w:spacing w:after="0"/>
              <w:rPr>
                <w:sz w:val="15"/>
                <w:szCs w:val="15"/>
                <w:color w:val="auto"/>
              </w:rPr>
            </w:pPr>
          </w:p>
        </w:tc>
      </w:tr>
      <w:tr>
        <w:trPr>
          <w:trHeight w:val="212"/>
        </w:trPr>
        <w:tc>
          <w:tcPr>
            <w:tcW w:w="3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352,898</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345,548</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345,548</w:t>
            </w:r>
          </w:p>
        </w:tc>
        <w:tc>
          <w:tcPr>
            <w:tcW w:w="20" w:type="dxa"/>
            <w:vAlign w:val="bottom"/>
          </w:tcPr>
          <w:p>
            <w:pPr>
              <w:spacing w:after="0"/>
              <w:rPr>
                <w:sz w:val="15"/>
                <w:szCs w:val="15"/>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757,715</w:t>
            </w:r>
          </w:p>
        </w:tc>
        <w:tc>
          <w:tcPr>
            <w:tcW w:w="5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750,365</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3,780</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754,145</w:t>
            </w:r>
          </w:p>
        </w:tc>
        <w:tc>
          <w:tcPr>
            <w:tcW w:w="20" w:type="dxa"/>
            <w:vAlign w:val="bottom"/>
          </w:tcPr>
          <w:p>
            <w:pPr>
              <w:spacing w:after="0"/>
              <w:rPr>
                <w:sz w:val="15"/>
                <w:szCs w:val="15"/>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1,045,279</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1,037,929</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3,780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1,041,709</w:t>
            </w:r>
          </w:p>
        </w:tc>
        <w:tc>
          <w:tcPr>
            <w:tcW w:w="20" w:type="dxa"/>
            <w:vAlign w:val="bottom"/>
          </w:tcPr>
          <w:p>
            <w:pPr>
              <w:spacing w:after="0"/>
              <w:rPr>
                <w:sz w:val="16"/>
                <w:szCs w:val="16"/>
                <w:color w:val="auto"/>
              </w:rPr>
            </w:pPr>
          </w:p>
        </w:tc>
      </w:tr>
      <w:tr>
        <w:trPr>
          <w:trHeight w:val="707"/>
        </w:trPr>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3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tc>
        <w:tc>
          <w:tcPr>
            <w:tcW w:w="180" w:type="dxa"/>
            <w:vAlign w:val="bottom"/>
          </w:tcPr>
          <w:p>
            <w:pPr>
              <w:spacing w:after="0"/>
              <w:rPr>
                <w:sz w:val="11"/>
                <w:szCs w:val="11"/>
                <w:color w:val="auto"/>
              </w:rPr>
            </w:pPr>
          </w:p>
        </w:tc>
        <w:tc>
          <w:tcPr>
            <w:tcW w:w="122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80" w:type="dxa"/>
            <w:vAlign w:val="bottom"/>
          </w:tcPr>
          <w:p>
            <w:pPr>
              <w:spacing w:after="0"/>
              <w:rPr>
                <w:sz w:val="11"/>
                <w:szCs w:val="11"/>
                <w:color w:val="auto"/>
              </w:rPr>
            </w:pPr>
          </w:p>
        </w:tc>
        <w:tc>
          <w:tcPr>
            <w:tcW w:w="12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5,391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(17,903)</w:t>
            </w:r>
          </w:p>
        </w:tc>
        <w:tc>
          <w:tcPr>
            <w:tcW w:w="16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(17,903)</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650</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(17,253)</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61,795</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61,510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64,196</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(32,815)</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(32,482)</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Lease incentives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4,945</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2,410</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180" w:type="dxa"/>
            <w:vAlign w:val="bottom"/>
          </w:tcPr>
          <w:p>
            <w:pPr>
              <w:spacing w:after="0"/>
              <w:rPr>
                <w:sz w:val="11"/>
                <w:szCs w:val="11"/>
                <w:color w:val="auto"/>
              </w:rPr>
            </w:pPr>
          </w:p>
        </w:tc>
        <w:tc>
          <w:tcPr>
            <w:tcW w:w="12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80" w:type="dxa"/>
            <w:vAlign w:val="bottom"/>
          </w:tcPr>
          <w:p>
            <w:pPr>
              <w:spacing w:after="0"/>
              <w:rPr>
                <w:sz w:val="11"/>
                <w:szCs w:val="11"/>
                <w:color w:val="auto"/>
              </w:rPr>
            </w:pPr>
          </w:p>
        </w:tc>
        <w:tc>
          <w:tcPr>
            <w:tcW w:w="12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44,122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33,901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489,771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479,550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467,081</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136,156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7,908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144,064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16,636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160,700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277</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2,313</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2,590</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965,886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965,886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4,167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970,053</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33,174</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33,174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1,804</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40,233</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40,233</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2,363</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42,596</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346,816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346,816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4,167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350,983</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720,792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720,792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4,167</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724,959</w:t>
            </w:r>
          </w:p>
        </w:tc>
        <w:tc>
          <w:tcPr>
            <w:tcW w:w="0" w:type="dxa"/>
            <w:vAlign w:val="bottom"/>
          </w:tcPr>
          <w:p>
            <w:pPr>
              <w:spacing w:after="0"/>
              <w:rPr>
                <w:sz w:val="1"/>
                <w:szCs w:val="1"/>
                <w:color w:val="auto"/>
              </w:rPr>
            </w:pPr>
          </w:p>
        </w:tc>
      </w:tr>
      <w:tr>
        <w:trPr>
          <w:trHeight w:val="18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965,886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965,886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4,167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970,053</w:t>
            </w:r>
          </w:p>
        </w:tc>
        <w:tc>
          <w:tcPr>
            <w:tcW w:w="0" w:type="dxa"/>
            <w:vAlign w:val="bottom"/>
          </w:tcPr>
          <w:p>
            <w:pPr>
              <w:spacing w:after="0"/>
              <w:rPr>
                <w:sz w:val="1"/>
                <w:szCs w:val="1"/>
                <w:color w:val="auto"/>
              </w:rPr>
            </w:pPr>
          </w:p>
        </w:tc>
      </w:tr>
      <w:tr>
        <w:trPr>
          <w:trHeight w:val="707"/>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tc>
        <w:tc>
          <w:tcPr>
            <w:tcW w:w="180" w:type="dxa"/>
            <w:vAlign w:val="bottom"/>
          </w:tcPr>
          <w:p>
            <w:pPr>
              <w:spacing w:after="0"/>
              <w:rPr>
                <w:sz w:val="11"/>
                <w:szCs w:val="11"/>
                <w:color w:val="auto"/>
              </w:rPr>
            </w:pPr>
          </w:p>
        </w:tc>
        <w:tc>
          <w:tcPr>
            <w:tcW w:w="122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Originally</w:t>
            </w:r>
          </w:p>
        </w:tc>
        <w:tc>
          <w:tcPr>
            <w:tcW w:w="200" w:type="dxa"/>
            <w:vAlign w:val="bottom"/>
          </w:tcPr>
          <w:p>
            <w:pPr>
              <w:spacing w:after="0"/>
              <w:rPr>
                <w:sz w:val="11"/>
                <w:szCs w:val="11"/>
                <w:color w:val="auto"/>
              </w:rPr>
            </w:pPr>
          </w:p>
        </w:tc>
        <w:tc>
          <w:tcPr>
            <w:tcW w:w="12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8"/>
              </w:rPr>
              <w:t>Adjustment No. 1</w:t>
            </w:r>
          </w:p>
        </w:tc>
        <w:tc>
          <w:tcPr>
            <w:tcW w:w="160" w:type="dxa"/>
            <w:vAlign w:val="bottom"/>
          </w:tcPr>
          <w:p>
            <w:pPr>
              <w:spacing w:after="0"/>
              <w:rPr>
                <w:sz w:val="11"/>
                <w:szCs w:val="11"/>
                <w:color w:val="auto"/>
              </w:rPr>
            </w:pPr>
          </w:p>
        </w:tc>
        <w:tc>
          <w:tcPr>
            <w:tcW w:w="13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3,125</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w:t>
            </w:r>
          </w:p>
        </w:tc>
        <w:tc>
          <w:tcPr>
            <w:tcW w:w="200" w:type="dxa"/>
            <w:vAlign w:val="bottom"/>
          </w:tcPr>
          <w:p>
            <w:pPr>
              <w:spacing w:after="0"/>
              <w:rPr>
                <w:sz w:val="15"/>
                <w:szCs w:val="15"/>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1,643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7,677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4,768</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(11,693)</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Lease incentives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1,539</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1,804</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80" w:type="dxa"/>
            <w:vAlign w:val="bottom"/>
          </w:tcPr>
          <w:p>
            <w:pPr>
              <w:spacing w:after="0"/>
              <w:rPr>
                <w:sz w:val="11"/>
                <w:szCs w:val="11"/>
                <w:color w:val="auto"/>
              </w:rPr>
            </w:pPr>
          </w:p>
        </w:tc>
        <w:tc>
          <w:tcPr>
            <w:tcW w:w="12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440" w:type="dxa"/>
            <w:vAlign w:val="bottom"/>
            <w:gridSpan w:val="2"/>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60" w:type="dxa"/>
            <w:vAlign w:val="bottom"/>
          </w:tcPr>
          <w:p>
            <w:pPr>
              <w:spacing w:after="0"/>
              <w:rPr>
                <w:sz w:val="11"/>
                <w:szCs w:val="11"/>
                <w:color w:val="auto"/>
              </w:rPr>
            </w:pPr>
          </w:p>
        </w:tc>
        <w:tc>
          <w:tcPr>
            <w:tcW w:w="130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37,371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29,868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20,524</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478,051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470,548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461,204</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252,055</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257,347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257,347</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135,066</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5,547</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140,613</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11,655</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152,268</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tcPr>
          <w:p>
            <w:pPr>
              <w:spacing w:after="0"/>
              <w:rPr>
                <w:sz w:val="15"/>
                <w:szCs w:val="15"/>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1,956</w:t>
            </w:r>
          </w:p>
        </w:tc>
        <w:tc>
          <w:tcPr>
            <w:tcW w:w="16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2,252</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931,792</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937,084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939,395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35,169</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36,760</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39,744</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6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39,250</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720</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373,783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373,289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375,600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289,871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295,657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295,657</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722,097</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727,389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2,311</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729,700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931,792</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937,084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939,395</w:t>
            </w:r>
          </w:p>
        </w:tc>
        <w:tc>
          <w:tcPr>
            <w:tcW w:w="0" w:type="dxa"/>
            <w:vAlign w:val="bottom"/>
          </w:tcPr>
          <w:p>
            <w:pPr>
              <w:spacing w:after="0"/>
              <w:rPr>
                <w:sz w:val="1"/>
                <w:szCs w:val="1"/>
                <w:color w:val="auto"/>
              </w:rPr>
            </w:pPr>
          </w:p>
        </w:tc>
      </w:tr>
      <w:tr>
        <w:trPr>
          <w:trHeight w:val="710"/>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11</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80" w:type="dxa"/>
            <w:vAlign w:val="bottom"/>
          </w:tcPr>
          <w:p>
            <w:pPr>
              <w:spacing w:after="0"/>
              <w:rPr>
                <w:sz w:val="11"/>
                <w:szCs w:val="11"/>
                <w:color w:val="auto"/>
              </w:rPr>
            </w:pPr>
          </w:p>
        </w:tc>
        <w:tc>
          <w:tcPr>
            <w:tcW w:w="1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60" w:type="dxa"/>
            <w:vAlign w:val="bottom"/>
          </w:tcPr>
          <w:p>
            <w:pPr>
              <w:spacing w:after="0"/>
              <w:rPr>
                <w:sz w:val="11"/>
                <w:szCs w:val="11"/>
                <w:color w:val="auto"/>
              </w:rPr>
            </w:pPr>
          </w:p>
        </w:tc>
        <w:tc>
          <w:tcPr>
            <w:tcW w:w="12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80" w:type="dxa"/>
            <w:vAlign w:val="bottom"/>
          </w:tcPr>
          <w:p>
            <w:pPr>
              <w:spacing w:after="0"/>
              <w:rPr>
                <w:sz w:val="11"/>
                <w:szCs w:val="11"/>
                <w:color w:val="auto"/>
              </w:rPr>
            </w:pPr>
          </w:p>
        </w:tc>
        <w:tc>
          <w:tcPr>
            <w:tcW w:w="1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60" w:type="dxa"/>
            <w:vAlign w:val="bottom"/>
          </w:tcPr>
          <w:p>
            <w:pPr>
              <w:spacing w:after="0"/>
              <w:rPr>
                <w:sz w:val="11"/>
                <w:szCs w:val="11"/>
                <w:color w:val="auto"/>
              </w:rPr>
            </w:pPr>
          </w:p>
        </w:tc>
        <w:tc>
          <w:tcPr>
            <w:tcW w:w="11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14,014</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(3,718)</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10,296</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(33,682)</w:t>
            </w:r>
          </w:p>
        </w:tc>
        <w:tc>
          <w:tcPr>
            <w:tcW w:w="180" w:type="dxa"/>
            <w:vAlign w:val="bottom"/>
          </w:tcPr>
          <w:p>
            <w:pPr>
              <w:spacing w:after="0"/>
              <w:rPr>
                <w:sz w:val="15"/>
                <w:szCs w:val="15"/>
                <w:color w:val="auto"/>
              </w:rPr>
            </w:pP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(33,682)</w:t>
            </w:r>
          </w:p>
        </w:tc>
        <w:tc>
          <w:tcPr>
            <w:tcW w:w="18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4,551</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74,454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73,178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4,284</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1,276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(4,284)</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(4,284)</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Lease incentives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1,591</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80" w:type="dxa"/>
            <w:vAlign w:val="bottom"/>
          </w:tcPr>
          <w:p>
            <w:pPr>
              <w:spacing w:after="0"/>
              <w:rPr>
                <w:sz w:val="11"/>
                <w:szCs w:val="11"/>
                <w:color w:val="auto"/>
              </w:rPr>
            </w:pPr>
          </w:p>
        </w:tc>
        <w:tc>
          <w:tcPr>
            <w:tcW w:w="12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60" w:type="dxa"/>
            <w:vAlign w:val="bottom"/>
          </w:tcPr>
          <w:p>
            <w:pPr>
              <w:spacing w:after="0"/>
              <w:rPr>
                <w:sz w:val="11"/>
                <w:szCs w:val="11"/>
                <w:color w:val="auto"/>
              </w:rPr>
            </w:pPr>
          </w:p>
        </w:tc>
        <w:tc>
          <w:tcPr>
            <w:tcW w:w="128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80" w:type="dxa"/>
            <w:vAlign w:val="bottom"/>
          </w:tcPr>
          <w:p>
            <w:pPr>
              <w:spacing w:after="0"/>
              <w:rPr>
                <w:sz w:val="11"/>
                <w:szCs w:val="11"/>
                <w:color w:val="auto"/>
              </w:rPr>
            </w:pPr>
          </w:p>
        </w:tc>
        <w:tc>
          <w:tcPr>
            <w:tcW w:w="12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60" w:type="dxa"/>
            <w:vAlign w:val="bottom"/>
          </w:tcPr>
          <w:p>
            <w:pPr>
              <w:spacing w:after="0"/>
              <w:rPr>
                <w:sz w:val="11"/>
                <w:szCs w:val="11"/>
                <w:color w:val="auto"/>
              </w:rPr>
            </w:pPr>
          </w:p>
        </w:tc>
        <w:tc>
          <w:tcPr>
            <w:tcW w:w="11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482,298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476,526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128,783</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4,249</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133,032</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140,278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8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1,523</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39,248</w:t>
            </w:r>
          </w:p>
        </w:tc>
        <w:tc>
          <w:tcPr>
            <w:tcW w:w="18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39,928</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420,614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270,165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753,505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180" w:type="dxa"/>
            <w:vAlign w:val="bottom"/>
          </w:tcPr>
          <w:p>
            <w:pPr>
              <w:spacing w:after="0"/>
              <w:rPr>
                <w:sz w:val="11"/>
                <w:szCs w:val="11"/>
                <w:color w:val="auto"/>
              </w:rPr>
            </w:pPr>
          </w:p>
        </w:tc>
        <w:tc>
          <w:tcPr>
            <w:tcW w:w="12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80" w:type="dxa"/>
            <w:vAlign w:val="bottom"/>
          </w:tcPr>
          <w:p>
            <w:pPr>
              <w:spacing w:after="0"/>
              <w:rPr>
                <w:sz w:val="11"/>
                <w:szCs w:val="11"/>
                <w:color w:val="auto"/>
              </w:rPr>
            </w:pPr>
          </w:p>
        </w:tc>
        <w:tc>
          <w:tcPr>
            <w:tcW w:w="12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29,509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13,855</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455,100</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449,836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439,446</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116,620</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4,105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120,725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5,891</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1,159</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1,408</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877,032</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877,032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872,533</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26,718</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26,718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27,495</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37,624</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37,624</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32,348</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426,659</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426,659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422,160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753,138</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753,138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748,639</w:t>
            </w:r>
          </w:p>
        </w:tc>
        <w:tc>
          <w:tcPr>
            <w:tcW w:w="0" w:type="dxa"/>
            <w:vAlign w:val="bottom"/>
          </w:tcPr>
          <w:p>
            <w:pPr>
              <w:spacing w:after="0"/>
              <w:rPr>
                <w:sz w:val="1"/>
                <w:szCs w:val="1"/>
                <w:color w:val="auto"/>
              </w:rPr>
            </w:pPr>
          </w:p>
        </w:tc>
      </w:tr>
      <w:tr>
        <w:trPr>
          <w:trHeight w:val="18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877,032</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877,032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872,533</w:t>
            </w:r>
          </w:p>
        </w:tc>
        <w:tc>
          <w:tcPr>
            <w:tcW w:w="0" w:type="dxa"/>
            <w:vAlign w:val="bottom"/>
          </w:tcPr>
          <w:p>
            <w:pPr>
              <w:spacing w:after="0"/>
              <w:rPr>
                <w:sz w:val="1"/>
                <w:szCs w:val="1"/>
                <w:color w:val="auto"/>
              </w:rPr>
            </w:pPr>
          </w:p>
        </w:tc>
      </w:tr>
      <w:tr>
        <w:trPr>
          <w:trHeight w:val="40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tc>
        <w:tc>
          <w:tcPr>
            <w:tcW w:w="180" w:type="dxa"/>
            <w:vAlign w:val="bottom"/>
          </w:tcPr>
          <w:p>
            <w:pPr>
              <w:spacing w:after="0"/>
              <w:rPr>
                <w:sz w:val="11"/>
                <w:szCs w:val="11"/>
                <w:color w:val="auto"/>
              </w:rPr>
            </w:pPr>
          </w:p>
        </w:tc>
        <w:tc>
          <w:tcPr>
            <w:tcW w:w="122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80" w:type="dxa"/>
            <w:vAlign w:val="bottom"/>
          </w:tcPr>
          <w:p>
            <w:pPr>
              <w:spacing w:after="0"/>
              <w:rPr>
                <w:sz w:val="11"/>
                <w:szCs w:val="11"/>
                <w:color w:val="auto"/>
              </w:rPr>
            </w:pPr>
          </w:p>
        </w:tc>
        <w:tc>
          <w:tcPr>
            <w:tcW w:w="12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4,520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15,197</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14,876</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14,876</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(15,401)</w:t>
            </w:r>
          </w:p>
        </w:tc>
        <w:tc>
          <w:tcPr>
            <w:tcW w:w="16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(15,401)</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41,110</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45,309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(23,888)</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Lease incentives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4,494</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1,673</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0" w:type="dxa"/>
            <w:vAlign w:val="bottom"/>
          </w:tcPr>
          <w:p>
            <w:pPr>
              <w:spacing w:after="0"/>
              <w:rPr>
                <w:sz w:val="1"/>
                <w:szCs w:val="1"/>
                <w:color w:val="auto"/>
              </w:rPr>
            </w:pPr>
          </w:p>
        </w:tc>
      </w:tr>
      <w:tr>
        <w:trPr>
          <w:trHeight w:val="710"/>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180" w:type="dxa"/>
            <w:vAlign w:val="bottom"/>
          </w:tcPr>
          <w:p>
            <w:pPr>
              <w:spacing w:after="0"/>
              <w:rPr>
                <w:sz w:val="11"/>
                <w:szCs w:val="11"/>
                <w:color w:val="auto"/>
              </w:rPr>
            </w:pPr>
          </w:p>
        </w:tc>
        <w:tc>
          <w:tcPr>
            <w:tcW w:w="12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200" w:type="dxa"/>
            <w:vAlign w:val="bottom"/>
          </w:tcPr>
          <w:p>
            <w:pPr>
              <w:spacing w:after="0"/>
              <w:rPr>
                <w:sz w:val="11"/>
                <w:szCs w:val="11"/>
                <w:color w:val="auto"/>
              </w:rPr>
            </w:pPr>
          </w:p>
        </w:tc>
        <w:tc>
          <w:tcPr>
            <w:tcW w:w="126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31,013</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25,953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16,938</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435,116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430,056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421,041</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196,896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3,071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199,967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199,967</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107,581</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4,083</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111,664</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8,823</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120,487</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977</w:t>
            </w:r>
          </w:p>
        </w:tc>
        <w:tc>
          <w:tcPr>
            <w:tcW w:w="2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1,241</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814,189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817,260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817,068</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20,946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20,946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717</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37,957</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37,819</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444,885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444,747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444,555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227,191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230,400</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727,645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3,071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730,716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730,524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814,189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817,260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817,068</w:t>
            </w:r>
          </w:p>
        </w:tc>
        <w:tc>
          <w:tcPr>
            <w:tcW w:w="0" w:type="dxa"/>
            <w:vAlign w:val="bottom"/>
          </w:tcPr>
          <w:p>
            <w:pPr>
              <w:spacing w:after="0"/>
              <w:rPr>
                <w:sz w:val="1"/>
                <w:szCs w:val="1"/>
                <w:color w:val="auto"/>
              </w:rPr>
            </w:pPr>
          </w:p>
        </w:tc>
      </w:tr>
      <w:tr>
        <w:trPr>
          <w:trHeight w:val="408"/>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tc>
        <w:tc>
          <w:tcPr>
            <w:tcW w:w="180" w:type="dxa"/>
            <w:vAlign w:val="bottom"/>
          </w:tcPr>
          <w:p>
            <w:pPr>
              <w:spacing w:after="0"/>
              <w:rPr>
                <w:sz w:val="11"/>
                <w:szCs w:val="11"/>
                <w:color w:val="auto"/>
              </w:rPr>
            </w:pPr>
          </w:p>
        </w:tc>
        <w:tc>
          <w:tcPr>
            <w:tcW w:w="122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Originally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200" w:type="dxa"/>
            <w:vAlign w:val="bottom"/>
          </w:tcPr>
          <w:p>
            <w:pPr>
              <w:spacing w:after="0"/>
              <w:rPr>
                <w:sz w:val="11"/>
                <w:szCs w:val="11"/>
                <w:color w:val="auto"/>
              </w:rPr>
            </w:pPr>
          </w:p>
        </w:tc>
        <w:tc>
          <w:tcPr>
            <w:tcW w:w="126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Disclosed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1,628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8,680</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6,433</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lease liabilities</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(11,485)</w:t>
            </w:r>
          </w:p>
        </w:tc>
        <w:tc>
          <w:tcPr>
            <w:tcW w:w="16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(11,485)</w:t>
            </w:r>
          </w:p>
        </w:tc>
        <w:tc>
          <w:tcPr>
            <w:tcW w:w="1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2,922</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35,219</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36,926</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717</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0" w:type="dxa"/>
            <w:vAlign w:val="bottom"/>
          </w:tcPr>
          <w:p>
            <w:pPr>
              <w:spacing w:after="0"/>
              <w:rPr>
                <w:sz w:val="1"/>
                <w:szCs w:val="1"/>
                <w:color w:val="auto"/>
              </w:rPr>
            </w:pPr>
          </w:p>
        </w:tc>
      </w:tr>
      <w:tr>
        <w:trPr>
          <w:trHeight w:val="710"/>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80" w:type="dxa"/>
            <w:vAlign w:val="bottom"/>
          </w:tcPr>
          <w:p>
            <w:pPr>
              <w:spacing w:after="0"/>
              <w:rPr>
                <w:sz w:val="11"/>
                <w:szCs w:val="11"/>
                <w:color w:val="auto"/>
              </w:rPr>
            </w:pPr>
          </w:p>
        </w:tc>
        <w:tc>
          <w:tcPr>
            <w:tcW w:w="122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As Originally</w:t>
            </w:r>
          </w:p>
        </w:tc>
        <w:tc>
          <w:tcPr>
            <w:tcW w:w="160" w:type="dxa"/>
            <w:vAlign w:val="bottom"/>
          </w:tcPr>
          <w:p>
            <w:pPr>
              <w:spacing w:after="0"/>
              <w:rPr>
                <w:sz w:val="11"/>
                <w:szCs w:val="11"/>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 No. 1</w:t>
            </w:r>
          </w:p>
        </w:tc>
        <w:tc>
          <w:tcPr>
            <w:tcW w:w="160" w:type="dxa"/>
            <w:vAlign w:val="bottom"/>
          </w:tcPr>
          <w:p>
            <w:pPr>
              <w:spacing w:after="0"/>
              <w:rPr>
                <w:sz w:val="11"/>
                <w:szCs w:val="11"/>
                <w:color w:val="auto"/>
              </w:rPr>
            </w:pPr>
          </w:p>
        </w:tc>
        <w:tc>
          <w:tcPr>
            <w:tcW w:w="130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60" w:type="dxa"/>
            <w:vAlign w:val="bottom"/>
          </w:tcPr>
          <w:p>
            <w:pPr>
              <w:spacing w:after="0"/>
              <w:rPr>
                <w:sz w:val="11"/>
                <w:szCs w:val="11"/>
                <w:color w:val="auto"/>
              </w:rPr>
            </w:pPr>
          </w:p>
        </w:tc>
        <w:tc>
          <w:tcPr>
            <w:tcW w:w="12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Adjustment No. 2</w:t>
            </w:r>
          </w:p>
        </w:tc>
        <w:tc>
          <w:tcPr>
            <w:tcW w:w="280" w:type="dxa"/>
            <w:vAlign w:val="bottom"/>
          </w:tcPr>
          <w:p>
            <w:pPr>
              <w:spacing w:after="0"/>
              <w:rPr>
                <w:sz w:val="11"/>
                <w:szCs w:val="11"/>
                <w:color w:val="auto"/>
              </w:rPr>
            </w:pPr>
          </w:p>
        </w:tc>
        <w:tc>
          <w:tcPr>
            <w:tcW w:w="11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prepaid and other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(8,673)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3,590</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17,595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(3,088)</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14,507</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deferred rent and lease incentives</w:t>
            </w:r>
          </w:p>
        </w:tc>
        <w:tc>
          <w:tcPr>
            <w:tcW w:w="18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4,518</w:t>
            </w:r>
          </w:p>
        </w:tc>
        <w:tc>
          <w:tcPr>
            <w:tcW w:w="160" w:type="dxa"/>
            <w:vAlign w:val="bottom"/>
          </w:tcPr>
          <w:p>
            <w:pPr>
              <w:spacing w:after="0"/>
              <w:rPr>
                <w:sz w:val="15"/>
                <w:szCs w:val="15"/>
                <w:color w:val="auto"/>
              </w:rPr>
            </w:pPr>
          </w:p>
        </w:tc>
        <w:tc>
          <w:tcPr>
            <w:tcW w:w="128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5,352</w:t>
            </w:r>
          </w:p>
        </w:tc>
        <w:tc>
          <w:tcPr>
            <w:tcW w:w="16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9,870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146,243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(6,409)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139,834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141,350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6,409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(42,977)</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6,409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(42,977)</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Lease incentives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(5,352)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3,088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363</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As previously disclosed, these errors also resulted in the restatement of the unaudited condensed consolidated balance sheet and statement of cash flows as of and for the nine months ended September 30, 2023 and the revision of the unaudited condensed consolidated statement of cash flows for the nine months ended September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Recently Issued Accounting Standards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 Adopted in Fiscal 2024</w:t>
      </w:r>
    </w:p>
    <w:p>
      <w:pPr>
        <w:spacing w:after="0" w:line="14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adopted Accounting Standards Updates (“ASU”) 2023-01 — Leases (Topic 842): Common Control Arrangements in the three months ended March 31, 2024. We believe the adoption of ASU 2023-01 did not have a material impact on our accounting policies or our condensed consolidated financial statements and related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Standards Not Yet Adopted</w:t>
      </w:r>
    </w:p>
    <w:p>
      <w:pPr>
        <w:spacing w:after="0" w:line="14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following table summarizes accounting pronouncements which we have not yet adopted but will be adopted in the upcoming fiscal year. ASU 2023-07 is effective for annual periods beginning after December 15, 2023. We believe the adoption will not have a material impact on our accounting policies, financial position or results of operations but could require additional disclosures. ASU 2023-09 is effective for annual periods beginning after December 15, 2024. We believe the adoption will not have a material impact on our accounting policies, financial position or results of operations but could require additional disclosures.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ASU</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Adoption Date</w:t>
            </w:r>
          </w:p>
        </w:tc>
      </w:tr>
      <w:tr>
        <w:trPr>
          <w:trHeight w:val="171"/>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2023-07</w:t>
            </w:r>
          </w:p>
        </w:tc>
        <w:tc>
          <w:tcPr>
            <w:tcW w:w="80" w:type="dxa"/>
            <w:vAlign w:val="bottom"/>
            <w:tcBorders>
              <w:top w:val="single" w:sz="8" w:color="CCEEFF"/>
            </w:tcBorders>
            <w:shd w:val="clear" w:color="auto" w:fill="CCEEFF"/>
          </w:tcPr>
          <w:p>
            <w:pPr>
              <w:spacing w:after="0"/>
              <w:rPr>
                <w:sz w:val="14"/>
                <w:szCs w:val="14"/>
                <w:color w:val="auto"/>
              </w:rPr>
            </w:pPr>
          </w:p>
        </w:tc>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Reporting (Topic 280): Improvements</w:t>
            </w:r>
          </w:p>
        </w:tc>
        <w:tc>
          <w:tcPr>
            <w:tcW w:w="80" w:type="dxa"/>
            <w:vAlign w:val="bottom"/>
            <w:tcBorders>
              <w:top w:val="single" w:sz="8" w:color="CCEEFF"/>
            </w:tcBorders>
            <w:shd w:val="clear" w:color="auto" w:fill="CCEEFF"/>
          </w:tcPr>
          <w:p>
            <w:pPr>
              <w:spacing w:after="0"/>
              <w:rPr>
                <w:sz w:val="14"/>
                <w:szCs w:val="14"/>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2024</w:t>
            </w:r>
          </w:p>
        </w:tc>
      </w:tr>
      <w:tr>
        <w:trPr>
          <w:trHeight w:val="184"/>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ASU 2023-09</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 (Topic 740): Improvements to Income Tax Disclosures</w:t>
            </w: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2025</w:t>
            </w:r>
          </w:p>
        </w:tc>
      </w:tr>
      <w:tr>
        <w:trPr>
          <w:trHeight w:val="707"/>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tcPr>
          <w:p>
            <w:pPr>
              <w:jc w:val="right"/>
              <w:ind w:right="28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87"/>
        </w:trPr>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Merchandise Warranties</w:t>
      </w:r>
    </w:p>
    <w:p>
      <w:pPr>
        <w:spacing w:after="0" w:line="14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A reconciliation of the changes in our limited merchandise warranty liability is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34"/>
        </w:trPr>
        <w:tc>
          <w:tcPr>
            <w:tcW w:w="7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86"/>
        </w:trPr>
        <w:tc>
          <w:tcPr>
            <w:tcW w:w="7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period</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7,084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6,375</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during the period</w:t>
            </w:r>
          </w:p>
        </w:tc>
        <w:tc>
          <w:tcPr>
            <w:tcW w:w="1080" w:type="dxa"/>
            <w:vAlign w:val="bottom"/>
          </w:tcPr>
          <w:p>
            <w:pPr>
              <w:spacing w:after="0"/>
              <w:rPr>
                <w:sz w:val="15"/>
                <w:szCs w:val="15"/>
                <w:color w:val="auto"/>
              </w:rPr>
            </w:pPr>
          </w:p>
        </w:tc>
        <w:tc>
          <w:tcPr>
            <w:tcW w:w="64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3,080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3,381</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during the period</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(3,136)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(3,291)</w:t>
            </w:r>
          </w:p>
        </w:tc>
      </w:tr>
      <w:tr>
        <w:trPr>
          <w:trHeight w:val="171"/>
        </w:trPr>
        <w:tc>
          <w:tcPr>
            <w:tcW w:w="77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Balance as of end of the period</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7,028</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6,465</w:t>
            </w:r>
          </w:p>
        </w:tc>
      </w:tr>
      <w:tr>
        <w:trPr>
          <w:trHeight w:val="20"/>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
        </w:trPr>
        <w:tc>
          <w:tcPr>
            <w:tcW w:w="770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r>
    </w:tbl>
    <w:p>
      <w:pPr>
        <w:spacing w:after="0" w:line="43" w:lineRule="exact"/>
        <w:rPr>
          <w:sz w:val="20"/>
          <w:szCs w:val="20"/>
          <w:color w:val="auto"/>
        </w:rPr>
      </w:pPr>
    </w:p>
    <w:p>
      <w:pPr>
        <w:ind w:left="120" w:hanging="115"/>
        <w:spacing w:after="0"/>
        <w:tabs>
          <w:tab w:leader="none" w:pos="120"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$4.0 million and $3.7 million were recorded in accrued other expenses at March 31, 2024 and March 31, 2023, respectively. The remainder is recorded in other long-term liabilities on our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accruals during the periods presented in the table above, primarily to reflect charges that relate to limited merchandise warranties issued during the respective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Debt</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March 31, 2024 and 1.50% at March 31, 2023), whereas the applicable margin is adjusted quarterly based on the Company’s consolidated rent-adjusted total leverage ratio.</w:t>
      </w:r>
    </w:p>
    <w:p>
      <w:pPr>
        <w:spacing w:after="0" w:line="12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At March 31, 2024 and December 31, 2023, we had no borrowings on the 2021 Credit Facility. Deferred financing costs related to the 2021 Credit Facility of $0.4 million and $0.4 million as of March 31, 2024 and December 31, 2023, respectively, are recorded in other noncurrent assets on the condensed consolidated balance sheets and will be amortized over the term of the 2021 Credit Facility on a straight-line basis. Accumulated amortization related to deferred financing costs for the 2021 Credit Facility was $0.2 million as of March 31, 2024 and $0.1 million as of December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 compliance with all applicable debt covenants at March 31, 2024 and December 31, 2023, and expects to remain in compliance over the next 12 months.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14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The most significant obligations under these lease agreements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require the payments of periodic rentals, real estate taxes, insurance and maintenance costs. Depending on particular Showroom leases, the Company can also owe a percentage rent payment if particular Showrooms meet certain sales figures.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recognized in our condensed consolidated balance sheets related to leases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Classification</w:t>
            </w:r>
          </w:p>
        </w:tc>
        <w:tc>
          <w:tcPr>
            <w:tcW w:w="32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4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322,905</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right-of-use assets</w:t>
            </w:r>
          </w:p>
        </w:tc>
        <w:tc>
          <w:tcPr>
            <w:tcW w:w="3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leased assets</w:t>
            </w: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361,114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4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leases</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operating leases</w:t>
            </w:r>
          </w:p>
        </w:tc>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383,684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finance leases</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financing lease liabilities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finance leases</w:t>
            </w:r>
          </w:p>
        </w:tc>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Financing lease liabilities, long-term</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4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480,955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56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0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6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 recognized within our condensed consolidated statements of comprehensive income are as follows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3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74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Variable lease costs</w:t>
            </w:r>
            <w:r>
              <w:rPr>
                <w:rFonts w:ascii="Times New Roman" w:cs="Times New Roman" w:eastAsia="Times New Roman" w:hAnsi="Times New Roman"/>
                <w:sz w:val="18"/>
                <w:szCs w:val="18"/>
                <w:color w:val="auto"/>
                <w:vertAlign w:val="superscript"/>
              </w:rPr>
              <w:t>(1)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w:t>
            </w:r>
          </w:p>
        </w:tc>
        <w:tc>
          <w:tcPr>
            <w:tcW w:w="0" w:type="dxa"/>
            <w:vAlign w:val="bottom"/>
          </w:tcPr>
          <w:p>
            <w:pPr>
              <w:spacing w:after="0"/>
              <w:rPr>
                <w:sz w:val="1"/>
                <w:szCs w:val="1"/>
                <w:color w:val="auto"/>
              </w:rPr>
            </w:pPr>
          </w:p>
        </w:tc>
      </w:tr>
      <w:tr>
        <w:trPr>
          <w:trHeight w:val="18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 term lease costs</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3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26,119</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0" w:hanging="115"/>
        <w:spacing w:after="0"/>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three months ended March 31, 2024, there were no month-to-month lease costs. For the three months ended March 31, 2023, total lease costs includes $0.3 million of month-to-month lease costs.</w:t>
      </w:r>
    </w:p>
    <w:p>
      <w:pPr>
        <w:spacing w:after="0" w:line="13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r>
      <w:tr>
        <w:trPr>
          <w:trHeight w:val="186"/>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tc>
        <w:tc>
          <w:tcPr>
            <w:tcW w:w="17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r>
      <w:tr>
        <w:trPr>
          <w:trHeight w:val="184"/>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r>
    </w:tbl>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When readily available,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3"/>
          </w:tcPr>
          <w:p>
            <w:pPr>
              <w:jc w:val="center"/>
              <w:ind w:left="10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38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Borders>
              <w:bottom w:val="single" w:sz="8" w:color="auto"/>
            </w:tcBorders>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3720" w:type="dxa"/>
            <w:vAlign w:val="bottom"/>
            <w:gridSpan w:val="2"/>
          </w:tcPr>
          <w:p>
            <w:pPr>
              <w:spacing w:after="0"/>
              <w:rPr>
                <w:sz w:val="14"/>
                <w:szCs w:val="14"/>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r>
      <w:tr>
        <w:trPr>
          <w:trHeight w:val="171"/>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3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5.80 %</w:t>
            </w:r>
          </w:p>
        </w:tc>
        <w:tc>
          <w:tcPr>
            <w:tcW w:w="40" w:type="dxa"/>
            <w:vAlign w:val="bottom"/>
          </w:tcPr>
          <w:p>
            <w:pPr>
              <w:spacing w:after="0"/>
              <w:rPr>
                <w:sz w:val="14"/>
                <w:szCs w:val="14"/>
                <w:color w:val="auto"/>
              </w:rPr>
            </w:pPr>
          </w:p>
        </w:tc>
      </w:tr>
      <w:tr>
        <w:trPr>
          <w:trHeight w:val="18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9.64 %</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9.72 %</w:t>
            </w:r>
          </w:p>
        </w:tc>
        <w:tc>
          <w:tcPr>
            <w:tcW w:w="40" w:type="dxa"/>
            <w:vAlign w:val="bottom"/>
          </w:tcPr>
          <w:p>
            <w:pPr>
              <w:spacing w:after="0"/>
              <w:rPr>
                <w:sz w:val="16"/>
                <w:szCs w:val="16"/>
                <w:color w:val="auto"/>
              </w:rPr>
            </w:pPr>
          </w:p>
        </w:tc>
      </w:tr>
      <w:tr>
        <w:trPr>
          <w:trHeight w:val="696"/>
        </w:trPr>
        <w:tc>
          <w:tcPr>
            <w:tcW w:w="3800" w:type="dxa"/>
            <w:vAlign w:val="bottom"/>
          </w:tcPr>
          <w:p>
            <w:pPr>
              <w:spacing w:after="0"/>
              <w:rPr>
                <w:sz w:val="24"/>
                <w:szCs w:val="24"/>
                <w:color w:val="auto"/>
              </w:rPr>
            </w:pPr>
          </w:p>
        </w:tc>
        <w:tc>
          <w:tcPr>
            <w:tcW w:w="3640" w:type="dxa"/>
            <w:vAlign w:val="bottom"/>
          </w:tcPr>
          <w:p>
            <w:pPr>
              <w:jc w:val="right"/>
              <w:ind w:right="164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Future lease liabilities at March 31, 2024 are as follows (amounts in thousands):</w:t>
            </w: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 Liabilities</w:t>
            </w:r>
          </w:p>
        </w:tc>
        <w:tc>
          <w:tcPr>
            <w:tcW w:w="100" w:type="dxa"/>
            <w:vAlign w:val="bottom"/>
          </w:tcPr>
          <w:p>
            <w:pPr>
              <w:spacing w:after="0"/>
              <w:rPr>
                <w:sz w:val="24"/>
                <w:szCs w:val="24"/>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Liabilities</w:t>
            </w:r>
          </w:p>
        </w:tc>
        <w:tc>
          <w:tcPr>
            <w:tcW w:w="140" w:type="dxa"/>
            <w:vAlign w:val="bottom"/>
          </w:tcPr>
          <w:p>
            <w:pPr>
              <w:spacing w:after="0"/>
              <w:rPr>
                <w:sz w:val="24"/>
                <w:szCs w:val="24"/>
                <w:color w:val="auto"/>
              </w:rPr>
            </w:pPr>
          </w:p>
        </w:tc>
        <w:tc>
          <w:tcPr>
            <w:tcW w:w="1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0" w:type="dxa"/>
            <w:vAlign w:val="bottom"/>
          </w:tcPr>
          <w:p>
            <w:pPr>
              <w:spacing w:after="0"/>
              <w:rPr>
                <w:sz w:val="1"/>
                <w:szCs w:val="1"/>
                <w:color w:val="auto"/>
              </w:rPr>
            </w:pPr>
          </w:p>
        </w:tc>
      </w:tr>
      <w:tr>
        <w:trPr>
          <w:trHeight w:val="138"/>
        </w:trPr>
        <w:tc>
          <w:tcPr>
            <w:tcW w:w="58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Pr>
          <w:p>
            <w:pPr>
              <w:jc w:val="right"/>
              <w:ind w:right="772"/>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52,504</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74,844</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70,031</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65,769</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59,893</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56,503</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222,283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327,002</w:t>
            </w:r>
          </w:p>
        </w:tc>
        <w:tc>
          <w:tcPr>
            <w:tcW w:w="0" w:type="dxa"/>
            <w:vAlign w:val="bottom"/>
          </w:tcPr>
          <w:p>
            <w:pPr>
              <w:spacing w:after="0"/>
              <w:rPr>
                <w:sz w:val="1"/>
                <w:szCs w:val="1"/>
                <w:color w:val="auto"/>
              </w:rPr>
            </w:pPr>
          </w:p>
        </w:tc>
      </w:tr>
      <w:tr>
        <w:trPr>
          <w:trHeight w:val="171"/>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706,546</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4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(225,591)</w:t>
            </w:r>
          </w:p>
        </w:tc>
        <w:tc>
          <w:tcPr>
            <w:tcW w:w="0" w:type="dxa"/>
            <w:vAlign w:val="bottom"/>
          </w:tcPr>
          <w:p>
            <w:pPr>
              <w:spacing w:after="0"/>
              <w:rPr>
                <w:sz w:val="1"/>
                <w:szCs w:val="1"/>
                <w:color w:val="auto"/>
              </w:rPr>
            </w:pPr>
          </w:p>
        </w:tc>
      </w:tr>
      <w:tr>
        <w:trPr>
          <w:trHeight w:val="171"/>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426,378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480,955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Includes leases with related parties. See Note 10 —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11"/>
          <w:szCs w:val="11"/>
          <w:color w:val="auto"/>
        </w:rPr>
        <w:t xml:space="preserve"> for amounts leased from related parties.</w:t>
      </w:r>
    </w:p>
    <w:p>
      <w:pPr>
        <w:spacing w:after="0" w:line="154"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At March 31, 2024, the Company has entered into leases for Showrooms and equipment which have not yet commenced with expected lease terms ranging from 3 to 13 years. The aggregate minimum rental payments over the term of the leases of approximately $151.4 million are not included in the above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34"/>
        </w:trPr>
        <w:tc>
          <w:tcPr>
            <w:tcW w:w="7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86"/>
        </w:trPr>
        <w:tc>
          <w:tcPr>
            <w:tcW w:w="7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15,996</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13,411</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lease obligations: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28,751</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28,582</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0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Equity Based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of the Company’s Restricted Stock and related equity based compensation expense are summarized in the following tables (amounts in thousands, except share and per share data):</w:t>
      </w:r>
    </w:p>
    <w:p>
      <w:pPr>
        <w:spacing w:after="0" w:line="18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Restricted Stock - Class 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700" w:type="dxa"/>
            <w:vAlign w:val="bottom"/>
          </w:tcPr>
          <w:p>
            <w:pPr>
              <w:spacing w:after="0"/>
              <w:rPr>
                <w:sz w:val="11"/>
                <w:szCs w:val="11"/>
                <w:color w:val="auto"/>
              </w:rPr>
            </w:pPr>
          </w:p>
        </w:tc>
        <w:tc>
          <w:tcPr>
            <w:tcW w:w="116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19</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7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4887595</wp:posOffset>
            </wp:positionH>
            <wp:positionV relativeFrom="paragraph">
              <wp:posOffset>12700</wp:posOffset>
            </wp:positionV>
            <wp:extent cx="22434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4" w:lineRule="exact"/>
        <w:rPr>
          <w:sz w:val="20"/>
          <w:szCs w:val="20"/>
          <w:color w:val="auto"/>
        </w:rPr>
      </w:pPr>
    </w:p>
    <w:p>
      <w:pPr>
        <w:ind w:left="842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27875"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7875" cy="121285"/>
                    </a:xfrm>
                    <a:prstGeom prst="rect">
                      <a:avLst/>
                    </a:prstGeom>
                    <a:noFill/>
                  </pic:spPr>
                </pic:pic>
              </a:graphicData>
            </a:graphic>
          </wp:anchor>
        </w:drawing>
      </w:r>
    </w:p>
    <w:p>
      <w:pPr>
        <w:spacing w:after="0" w:line="9" w:lineRule="exact"/>
        <w:rPr>
          <w:sz w:val="20"/>
          <w:szCs w:val="20"/>
          <w:color w:val="auto"/>
        </w:rPr>
      </w:pPr>
    </w:p>
    <w:p>
      <w:pPr>
        <w:ind w:left="20"/>
        <w:spacing w:after="0"/>
        <w:tabs>
          <w:tab w:leader="none" w:pos="7700" w:val="left"/>
          <w:tab w:leader="none" w:pos="9120" w:val="left"/>
          <w:tab w:leader="none" w:pos="9500" w:val="left"/>
          <w:tab w:leader="none" w:pos="10940" w:val="left"/>
        </w:tabs>
        <w:rPr>
          <w:sz w:val="20"/>
          <w:szCs w:val="20"/>
          <w:color w:val="auto"/>
        </w:rPr>
      </w:pPr>
      <w:r>
        <w:rPr>
          <w:rFonts w:ascii="Times New Roman" w:cs="Times New Roman" w:eastAsia="Times New Roman" w:hAnsi="Times New Roman"/>
          <w:sz w:val="14"/>
          <w:szCs w:val="14"/>
          <w:color w:val="auto"/>
        </w:rPr>
        <w:t>Equity based compensation expense - Restricted Stock</w:t>
      </w:r>
      <w:r>
        <w:rPr>
          <w:rFonts w:ascii="Times New Roman" w:cs="Times New Roman" w:eastAsia="Times New Roman" w:hAnsi="Times New Roman"/>
          <w:sz w:val="18"/>
          <w:szCs w:val="18"/>
          <w:color w:val="auto"/>
          <w:vertAlign w:val="superscript"/>
        </w:rPr>
        <w:t>(1)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660</w:t>
        <w:tab/>
        <w:t>$</w:t>
      </w:r>
      <w:r>
        <w:rPr>
          <w:sz w:val="20"/>
          <w:szCs w:val="20"/>
          <w:color w:val="auto"/>
        </w:rPr>
        <w:tab/>
      </w:r>
      <w:r>
        <w:rPr>
          <w:rFonts w:ascii="Times New Roman" w:cs="Times New Roman" w:eastAsia="Times New Roman" w:hAnsi="Times New Roman"/>
          <w:sz w:val="14"/>
          <w:szCs w:val="14"/>
          <w:color w:val="auto"/>
        </w:rPr>
        <w:t>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88442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84420" cy="6985"/>
                    </a:xfrm>
                    <a:prstGeom prst="rect">
                      <a:avLst/>
                    </a:prstGeom>
                    <a:noFill/>
                  </pic:spPr>
                </pic:pic>
              </a:graphicData>
            </a:graphic>
          </wp:anchor>
        </w:drawing>
      </w:r>
    </w:p>
    <w:p>
      <w:pPr>
        <w:spacing w:after="0" w:line="70" w:lineRule="exact"/>
        <w:rPr>
          <w:sz w:val="20"/>
          <w:szCs w:val="20"/>
          <w:color w:val="auto"/>
        </w:rPr>
      </w:pPr>
    </w:p>
    <w:p>
      <w:pPr>
        <w:ind w:firstLine="5"/>
        <w:spacing w:after="0" w:line="315" w:lineRule="auto"/>
        <w:tabs>
          <w:tab w:leader="none" w:pos="104" w:val="left"/>
        </w:tabs>
        <w:numPr>
          <w:ilvl w:val="0"/>
          <w:numId w:val="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to be recognized in future periods is $5.5 million at March 31, 2024, and will be recognized over a weighted average period of 2.16 years. Equity based compensation expense is recorded within selling, general and administrative expenses on our condensed consolidated statements of comprehensive income.</w:t>
      </w:r>
    </w:p>
    <w:p>
      <w:pPr>
        <w:spacing w:after="0" w:line="9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Per the 2021 Equity Plan, each RSU and PSU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accrued for awards that ultimately do not vest are forfeited. The RSUs issued to certain members of the Board of Directors will vest on the one-year anniversary of the grant date.</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of the Company’s PSU and RSU awards and related equity based compensation expense are summarized in the following tables (amounts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PSU Awards</w:t>
            </w:r>
          </w:p>
        </w:tc>
        <w:tc>
          <w:tcPr>
            <w:tcW w:w="3600" w:type="dxa"/>
            <w:vAlign w:val="bottom"/>
            <w:gridSpan w:val="5"/>
          </w:tcPr>
          <w:p>
            <w:pPr>
              <w:ind w:left="138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160" w:type="dxa"/>
            <w:vAlign w:val="bottom"/>
            <w:tcBorders>
              <w:top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80" w:type="dxa"/>
            <w:vAlign w:val="bottom"/>
          </w:tcPr>
          <w:p>
            <w:pPr>
              <w:spacing w:after="0"/>
              <w:rPr>
                <w:sz w:val="11"/>
                <w:szCs w:val="11"/>
                <w:color w:val="auto"/>
              </w:rPr>
            </w:pPr>
          </w:p>
        </w:tc>
        <w:tc>
          <w:tcPr>
            <w:tcW w:w="180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1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700,229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1,248,165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(107,895)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690,229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r>
      <w:tr>
        <w:trPr>
          <w:trHeight w:val="186"/>
        </w:trPr>
        <w:tc>
          <w:tcPr>
            <w:tcW w:w="7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based compensation expense - PSUs</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 expense - RSUs</w:t>
            </w:r>
            <w:r>
              <w:rPr>
                <w:rFonts w:ascii="Times New Roman" w:cs="Times New Roman" w:eastAsia="Times New Roman" w:hAnsi="Times New Roman"/>
                <w:sz w:val="18"/>
                <w:szCs w:val="18"/>
                <w:color w:val="auto"/>
                <w:vertAlign w:val="superscript"/>
              </w:rPr>
              <w:t>(2)</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21"/>
                <w:szCs w:val="21"/>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88442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84420" cy="6985"/>
                    </a:xfrm>
                    <a:prstGeom prst="rect">
                      <a:avLst/>
                    </a:prstGeom>
                    <a:noFill/>
                  </pic:spPr>
                </pic:pic>
              </a:graphicData>
            </a:graphic>
          </wp:anchor>
        </w:drawing>
      </w:r>
    </w:p>
    <w:p>
      <w:pPr>
        <w:spacing w:after="0" w:line="28" w:lineRule="exact"/>
        <w:rPr>
          <w:sz w:val="20"/>
          <w:szCs w:val="20"/>
          <w:color w:val="auto"/>
        </w:rPr>
      </w:pPr>
    </w:p>
    <w:p>
      <w:pPr>
        <w:ind w:right="400" w:firstLine="5"/>
        <w:spacing w:after="0" w:line="272" w:lineRule="auto"/>
        <w:tabs>
          <w:tab w:leader="none" w:pos="104" w:val="left"/>
        </w:tabs>
        <w:numPr>
          <w:ilvl w:val="0"/>
          <w:numId w:val="7"/>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9"/>
          <w:szCs w:val="9"/>
          <w:color w:val="auto"/>
        </w:rPr>
        <w:t>Total unrecognized equity based compensation for the PSUs to be recognized in future periods is $2.6 million at March 31, 2024, and will be recognized over a weighted average period of 1.31 years. Equity based compensation expense is recorded within selling, general and administrative expenses on our condensed consolidated statements of comprehensive income.</w:t>
      </w:r>
    </w:p>
    <w:p>
      <w:pPr>
        <w:ind w:right="400" w:firstLine="5"/>
        <w:spacing w:after="0" w:line="283" w:lineRule="auto"/>
        <w:tabs>
          <w:tab w:leader="none" w:pos="104" w:val="left"/>
        </w:tabs>
        <w:numPr>
          <w:ilvl w:val="0"/>
          <w:numId w:val="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Total unrecognized equity based compensation for the RSUs to be recognized in future periods is $6.7 million at March 31, 2024, and will be recognized over a weighted average period of 2.16 years. Equity based compensation expense is recorded within selling, general and administrative expenses on our condensed consolidated statements of comprehensive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Segment Reporting</w:t>
      </w:r>
    </w:p>
    <w:p>
      <w:pPr>
        <w:spacing w:after="0" w:line="1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merchandise sales channels.</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Net revenue by merchandise sales channel is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34"/>
        </w:trPr>
        <w:tc>
          <w:tcPr>
            <w:tcW w:w="7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86"/>
        </w:trPr>
        <w:tc>
          <w:tcPr>
            <w:tcW w:w="7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243,255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eCommerce</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54,466</w:t>
            </w:r>
          </w:p>
        </w:tc>
      </w:tr>
      <w:tr>
        <w:trPr>
          <w:trHeight w:val="19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295,162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304,568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Net and Comprehensive Income per Share</w:t>
      </w:r>
    </w:p>
    <w:p>
      <w:pPr>
        <w:spacing w:after="0" w:line="15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Basic and diluted net and comprehensive income per share for the three months ended March 31, 2024 and March 31, 2023, was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net and comprehensive income per share are as follows (amounts in thousands, except per share data):</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34"/>
        </w:trPr>
        <w:tc>
          <w:tcPr>
            <w:tcW w:w="7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86"/>
        </w:trPr>
        <w:tc>
          <w:tcPr>
            <w:tcW w:w="7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34,099</w:t>
            </w:r>
          </w:p>
        </w:tc>
      </w:tr>
      <w:tr>
        <w:trPr>
          <w:trHeight w:val="212"/>
        </w:trPr>
        <w:tc>
          <w:tcPr>
            <w:tcW w:w="7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Denominator—Weighted Average Shares Outstanding</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139,816,792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139,072,756</w:t>
            </w:r>
          </w:p>
        </w:tc>
      </w:tr>
      <w:tr>
        <w:trPr>
          <w:trHeight w:val="180"/>
        </w:trPr>
        <w:tc>
          <w:tcPr>
            <w:tcW w:w="77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dilutive restricted stock </w:t>
            </w:r>
            <w:r>
              <w:rPr>
                <w:rFonts w:ascii="Times New Roman" w:cs="Times New Roman" w:eastAsia="Times New Roman" w:hAnsi="Times New Roman"/>
                <w:sz w:val="18"/>
                <w:szCs w:val="18"/>
                <w:color w:val="auto"/>
                <w:vertAlign w:val="superscript"/>
              </w:rPr>
              <w:t>(1) (2)</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739,239</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866,787</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140,556,031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139,939,543</w:t>
            </w:r>
          </w:p>
        </w:tc>
      </w:tr>
      <w:tr>
        <w:trPr>
          <w:trHeight w:val="212"/>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85"/>
        </w:trPr>
        <w:tc>
          <w:tcPr>
            <w:tcW w:w="7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68" w:lineRule="exact"/>
        <w:rPr>
          <w:sz w:val="20"/>
          <w:szCs w:val="20"/>
          <w:color w:val="auto"/>
        </w:rPr>
      </w:pPr>
    </w:p>
    <w:p>
      <w:pPr>
        <w:ind w:firstLine="5"/>
        <w:spacing w:after="0" w:line="270" w:lineRule="auto"/>
        <w:tabs>
          <w:tab w:leader="none" w:pos="116" w:val="left"/>
        </w:tabs>
        <w:numPr>
          <w:ilvl w:val="0"/>
          <w:numId w:val="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During the three months ended March 31, 2024, 412,487 shares of unvested restricted stock and RSUs were excluded from the computation of diluted earnings per share because their effect would have been anti-dilutive. During the three months ended March 31, 2023, 547,370 shares of unvested restricted stock and RSUs were excluded from the computation of diluted earnings per share because their effect would have been anti-dilutive.</w:t>
      </w:r>
    </w:p>
    <w:p>
      <w:pPr>
        <w:ind w:left="120" w:hanging="115"/>
        <w:spacing w:after="0" w:line="205" w:lineRule="auto"/>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Excluded from the calculation of the effect of dilutive restricted stock as of three months ended March 31, 2024 and March 31, 2023, were 540,335 and 768,013 PSUs, respectively, because they did not meet the required performance criteria.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14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March 31, 2024 and December 31, 2023, we recorded liabilities of $0.2 million and $0.2 million, respectively, in accrued other expenses on the condensed consolidated balance sheets for non-income tax matters that were probable and reasonably estimable.</w:t>
      </w:r>
    </w:p>
    <w:p>
      <w:pPr>
        <w:spacing w:after="0" w:line="11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 August 2023, the Company committed to make a $10.0 million donation to The Nature Conservancy. As of March 31, 2024, we have a remaining commitment of $5.0 million in accrued other expense on our condensed consolidated balance sheets.</w:t>
      </w:r>
    </w:p>
    <w:p>
      <w:pPr>
        <w:spacing w:after="0" w:line="9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 (the “Record Date”). As of March 31, 2024, we recorded $70.6 million in current liabilities and $0.6 million in other long-term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on our condensed consolidated balance sheet.</w:t>
      </w:r>
    </w:p>
    <w:p>
      <w:pPr>
        <w:spacing w:after="0" w:line="15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paid out the aforementioned special cash dividend in April 2024 on its Class A and Class B common stock in the amount of $69.9 million. The remaining dividends payable balance recorded in current liabilities on our condensed consolidated balance sheet relates to dividend equivalents on outstanding equity awards under the Company’s equity incentive plans that were unvested as of the Record Date and are expected to vest within the next 12 months.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transactio</w:t>
      </w:r>
      <w:r>
        <w:rPr>
          <w:rFonts w:ascii="Times New Roman" w:cs="Times New Roman" w:eastAsia="Times New Roman" w:hAnsi="Times New Roman"/>
          <w:sz w:val="14"/>
          <w:szCs w:val="14"/>
          <w:color w:val="auto"/>
        </w:rPr>
        <w:t>ns</w:t>
      </w:r>
    </w:p>
    <w:p>
      <w:pPr>
        <w:spacing w:after="0" w:line="1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$0.4 million and $0.3 million for the three months ended March 31, 2024 and March 31, 2023, respectively.</w:t>
      </w:r>
    </w:p>
    <w:p>
      <w:pPr>
        <w:spacing w:after="0" w:line="10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$0.1 million and $0.1 million for the three months ended March 31, 2024 and March 31, 2023, respectively.</w:t>
      </w:r>
    </w:p>
    <w:p>
      <w:pPr>
        <w:spacing w:after="0" w:line="1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$1.0 million and $1.0 million for the three months ended March 31, 2024 and March 31,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transactions</w:t>
      </w:r>
    </w:p>
    <w:p>
      <w:pPr>
        <w:spacing w:after="0" w:line="14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accounts payable due to related parties for state and federal income tax refunds were $0.2 million and $2.3 million at March 31, 2024 and December 31, 2023, respectively, and are included within accounts payable on the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5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Income tax expenses were $4.8 million and $12.1 million in the three months ended March 31, 2024 and March 31, 2023, respectively. The effective tax rate was 24.2% and 26.2% for the three months ended March 31, 2024 and March 31, 2023, respectively.</w:t>
      </w:r>
    </w:p>
    <w:p>
      <w:pPr>
        <w:spacing w:after="0" w:line="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As of March 31, 2024, no unrecognized tax benefits have been recognized. The Company files income tax returns in the U.S. and various state and local jurisdictions. The tax years after 2019 remain open to examination by the state taxing jurisdictions in which the Company is subject to tax. As of March 31, 2024, the Company was not under examination by the Internal Revenue Service or any state tax jurisdiction.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2023. This Quarterly Report on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1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manage and maintain the growth rate of our business;</w:t>
      </w:r>
    </w:p>
    <w:p>
      <w:pPr>
        <w:spacing w:after="0" w:line="25"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obtain quality merchandise in sufficient quantities;</w:t>
      </w:r>
    </w:p>
    <w:p>
      <w:pPr>
        <w:spacing w:after="0" w:line="8" w:lineRule="exact"/>
        <w:rPr>
          <w:rFonts w:ascii="Times New Roman" w:cs="Times New Roman" w:eastAsia="Times New Roman" w:hAnsi="Times New Roman"/>
          <w:sz w:val="14"/>
          <w:szCs w:val="14"/>
          <w:i w:val="1"/>
          <w:iCs w:val="1"/>
          <w:color w:val="auto"/>
        </w:rPr>
      </w:pPr>
    </w:p>
    <w:p>
      <w:pPr>
        <w:ind w:left="520" w:right="380" w:hanging="260"/>
        <w:spacing w:after="0" w:line="253" w:lineRule="auto"/>
        <w:tabs>
          <w:tab w:leader="none" w:pos="51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Disruption in our receiving and distribution system, including delays in the integration of our distribution centers and the possibility that we may not realize the anticipated benefits of multiple distribution centers;</w:t>
      </w: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possibility of cyberattacks and our ability to maintain adequate cybersecurity systems and procedures;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Loss, corruption and misappropriation of data and information relating to clients and employees;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and compliance with applicable data privacy rules and regulations;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 a result of constraints in our supply chain;</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failure of our vendors to meet our quality standards;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Declines in general economic conditions that affect consumer confidence and consumer spending that could adversely affect our revenue;</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anticipate changes in consumer preferences;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related to maintaining and increasing Showroom traffic and sales;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compete in our market;</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adequately protect our intellectual property;</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applicable governmental regulations;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Effectively managing our eCommerce business and digital marketing efforts;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reliance on third-party transportation carriers and risks associated with freight and transportation costs; and</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SEC rules and regulations as a public reporting company.</w:t>
      </w:r>
    </w:p>
    <w:p>
      <w:pPr>
        <w:spacing w:after="0" w:line="1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2023.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1"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the three months ended March 31, 2024 and March 31, 2023, which represents the condensed consolidated financial results of Arhaus, Inc. and subsidiaries for the three months ended March 31, 2024 and March 31, 2023,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Revision of Previously Issued Condensed Consolidated Financial Statements</w:t>
      </w:r>
    </w:p>
    <w:p>
      <w:pPr>
        <w:spacing w:after="0" w:line="149" w:lineRule="exact"/>
        <w:rPr>
          <w:sz w:val="20"/>
          <w:szCs w:val="20"/>
          <w:color w:val="auto"/>
        </w:rPr>
      </w:pPr>
    </w:p>
    <w:p>
      <w:pPr>
        <w:jc w:val="both"/>
        <w:ind w:right="280"/>
        <w:spacing w:after="0" w:line="287" w:lineRule="auto"/>
        <w:rPr>
          <w:sz w:val="20"/>
          <w:szCs w:val="20"/>
          <w:color w:val="auto"/>
        </w:rPr>
      </w:pPr>
      <w:r>
        <w:rPr>
          <w:rFonts w:ascii="Times New Roman" w:cs="Times New Roman" w:eastAsia="Times New Roman" w:hAnsi="Times New Roman"/>
          <w:sz w:val="14"/>
          <w:szCs w:val="14"/>
          <w:color w:val="auto"/>
        </w:rPr>
        <w:t xml:space="preserve">This “Management’s Discussion and Analysis of Financial Condition and Results of Operations” has been revised to give effect to the revision of our condensed consolidated balance sheets and condensed consolidated statements of cash flows, as more fully described in Note 1 - </w:t>
      </w:r>
      <w:r>
        <w:rPr>
          <w:rFonts w:ascii="Times New Roman" w:cs="Times New Roman" w:eastAsia="Times New Roman" w:hAnsi="Times New Roman"/>
          <w:sz w:val="14"/>
          <w:szCs w:val="14"/>
          <w:i w:val="1"/>
          <w:iCs w:val="1"/>
          <w:color w:val="auto"/>
        </w:rPr>
        <w:t>Nature of Business and Basis of Presentation</w:t>
      </w:r>
      <w:r>
        <w:rPr>
          <w:rFonts w:ascii="Times New Roman" w:cs="Times New Roman" w:eastAsia="Times New Roman" w:hAnsi="Times New Roman"/>
          <w:sz w:val="14"/>
          <w:szCs w:val="14"/>
          <w:color w:val="auto"/>
        </w:rPr>
        <w:t xml:space="preserve"> to the Notes to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outdoor, lighting, textiles, and décor.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1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we operated 92 Showrooms, 80 with in-home interior designers. At December 31, 2023, we operated 92 Showrooms, 78 with in-home interior designers.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231F20"/>
              </w:rPr>
              <w:t>March 31,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231F20"/>
              </w:rPr>
              <w:t>December 31,</w:t>
            </w:r>
          </w:p>
        </w:tc>
      </w:tr>
      <w:tr>
        <w:trPr>
          <w:trHeight w:val="188"/>
        </w:trPr>
        <w:tc>
          <w:tcPr>
            <w:tcW w:w="8960" w:type="dxa"/>
            <w:vAlign w:val="bottom"/>
            <w:gridSpan w:val="2"/>
          </w:tcPr>
          <w:p>
            <w:pPr>
              <w:ind w:left="842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231F20"/>
              </w:rPr>
              <w:t>2023</w:t>
            </w:r>
          </w:p>
        </w:tc>
      </w:tr>
      <w:tr>
        <w:trPr>
          <w:trHeight w:val="195"/>
        </w:trPr>
        <w:tc>
          <w:tcPr>
            <w:tcW w:w="7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Traditional Showrooms</w:t>
            </w:r>
          </w:p>
        </w:tc>
        <w:tc>
          <w:tcPr>
            <w:tcW w:w="1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1"/>
        </w:trPr>
        <w:tc>
          <w:tcPr>
            <w:tcW w:w="8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rPr>
              <w:t>Design Studios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8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Outlets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7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Total Showroom locations</w:t>
            </w:r>
          </w:p>
        </w:tc>
        <w:tc>
          <w:tcPr>
            <w:tcW w:w="12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92</w:t>
            </w:r>
          </w:p>
        </w:tc>
        <w:tc>
          <w:tcPr>
            <w:tcW w:w="8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92</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3"/>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Total square footage (in thousands)</w:t>
            </w: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1,448</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1,438</w:t>
            </w:r>
          </w:p>
        </w:tc>
      </w:tr>
    </w:tbl>
    <w:p>
      <w:pPr>
        <w:spacing w:after="0" w:line="198" w:lineRule="exact"/>
        <w:rPr>
          <w:sz w:val="20"/>
          <w:szCs w:val="20"/>
          <w:color w:val="auto"/>
        </w:rPr>
      </w:pPr>
    </w:p>
    <w:p>
      <w:pPr>
        <w:ind w:right="1400"/>
        <w:spacing w:after="0" w:line="458" w:lineRule="auto"/>
        <w:rPr>
          <w:sz w:val="20"/>
          <w:szCs w:val="20"/>
          <w:color w:val="auto"/>
        </w:rPr>
      </w:pPr>
      <w:r>
        <w:rPr>
          <w:rFonts w:ascii="Times New Roman" w:cs="Times New Roman" w:eastAsia="Times New Roman" w:hAnsi="Times New Roman"/>
          <w:sz w:val="14"/>
          <w:szCs w:val="14"/>
          <w:color w:val="auto"/>
        </w:rPr>
        <w:t xml:space="preserve">For the three months ended March 31, 2024, we generated $295.2 million of net revenue, $115.1 million of gross margin and $15.1 million of net and comprehensive income. </w:t>
      </w:r>
      <w:r>
        <w:rPr>
          <w:rFonts w:ascii="Times New Roman" w:cs="Times New Roman" w:eastAsia="Times New Roman" w:hAnsi="Times New Roman"/>
          <w:sz w:val="14"/>
          <w:szCs w:val="14"/>
          <w:b w:val="1"/>
          <w:bCs w:val="1"/>
          <w:color w:val="auto"/>
        </w:rPr>
        <w:t>How We Assess the Performance of Our Business</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w:t>
      </w:r>
    </w:p>
    <w:p>
      <w:pPr>
        <w:spacing w:after="0" w:line="1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Net Revenue and Demand</w:t>
      </w:r>
      <w:r>
        <w:rPr>
          <w:rFonts w:ascii="Times New Roman" w:cs="Times New Roman" w:eastAsia="Times New Roman" w:hAnsi="Times New Roman"/>
          <w:sz w:val="14"/>
          <w:szCs w:val="14"/>
          <w:color w:val="auto"/>
        </w:rPr>
        <w:t>. Net revenue is recognized when a client obtains control of the merchandise. We also track demand in our business which is a key performance indicator linked to the level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Comparable Growth</w:t>
      </w:r>
      <w:r>
        <w:rPr>
          <w:rFonts w:ascii="Times New Roman" w:cs="Times New Roman" w:eastAsia="Times New Roman" w:hAnsi="Times New Roman"/>
          <w:sz w:val="14"/>
          <w:szCs w:val="14"/>
          <w:color w:val="auto"/>
        </w:rPr>
        <w:t>. Comparable growth is the year-over-year percentage change of the dollar value of orders delivered (based on purchase price), net of the dollar value of returns (based on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Demand Comparable Growth</w:t>
      </w:r>
      <w:r>
        <w:rPr>
          <w:rFonts w:ascii="Times New Roman" w:cs="Times New Roman" w:eastAsia="Times New Roman" w:hAnsi="Times New Roman"/>
          <w:sz w:val="14"/>
          <w:szCs w:val="14"/>
          <w:color w:val="auto"/>
        </w:rPr>
        <w:t>. Demand comparable growth is the year-over-year percentage change of demand from our comparable Showrooms and eCommerce, including through our catalogs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0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5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is equal to our net revenue less cost of goods sold. Cost of goods sold includes the direct cost of purchased merchandise, inventory reserves, inbound freight, all freight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6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(“SG&amp;A”) expenses include all operating costs not included in cost of goods sold. These expenses include payroll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We define EBITDA as consolidated net income before depreciation and amortization, interest expense (income), net and income tax expense.</w:t>
      </w:r>
    </w:p>
    <w:p>
      <w:pPr>
        <w:spacing w:after="0" w:line="147"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We believe that adjusted EBITDA is a useful measure of operating performance as the adjustments eliminate items that we believe are not reflective of underlying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in a particular period. Adjusted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EBITDA facilitates a comparison of our operating performance on a consistent basis from period-to-period and provides for a more complete understanding of factors and trends affecting our business.</w:t>
      </w:r>
    </w:p>
    <w:p>
      <w:pPr>
        <w:spacing w:after="0" w:line="10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our net and comprehensive income to EBITDA and adjusted EBITDA for the periods presented (in thousands):</w:t>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EBITDA</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488442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44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34,099</w:t>
            </w:r>
          </w:p>
        </w:tc>
      </w:tr>
      <w:tr>
        <w:trPr>
          <w:trHeight w:val="180"/>
        </w:trPr>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4"/>
        </w:trPr>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12,102</w:t>
            </w:r>
          </w:p>
        </w:tc>
      </w:tr>
      <w:tr>
        <w:trPr>
          <w:trHeight w:val="202"/>
        </w:trPr>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6,740</w:t>
            </w:r>
          </w:p>
        </w:tc>
      </w:tr>
      <w:tr>
        <w:trPr>
          <w:trHeight w:val="192"/>
        </w:trPr>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52,768</w:t>
            </w:r>
          </w:p>
        </w:tc>
      </w:tr>
      <w:tr>
        <w:trPr>
          <w:trHeight w:val="202"/>
        </w:trPr>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r>
      <w:tr>
        <w:trPr>
          <w:trHeight w:val="234"/>
        </w:trPr>
        <w:tc>
          <w:tcPr>
            <w:tcW w:w="4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71"/>
        </w:trPr>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54,835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-1036955</wp:posOffset>
            </wp:positionV>
            <wp:extent cx="7127875"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7875" cy="12128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-801370</wp:posOffset>
            </wp:positionV>
            <wp:extent cx="7127875"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11430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-558800</wp:posOffset>
            </wp:positionV>
            <wp:extent cx="7127875"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7875" cy="134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-295910</wp:posOffset>
            </wp:positionV>
            <wp:extent cx="7127875" cy="147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875" cy="1479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6980" w:space="720"/>
            <w:col w:w="358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Other expenses represent costs and investments not indicative of ongoing business performance, such as public offering costs, severance, signing bonuses and recruiting costs. For the three months ended March 31, 2023, these expenses consisted largely of $0.3 million of severance, signing bonuses and recruiting costs and $0.1 million of public offering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Comparability of our Results of Operations</w:t>
      </w:r>
    </w:p>
    <w:p>
      <w:pPr>
        <w:spacing w:after="0" w:line="14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Our results over the past two years have been affected by the following events, which must be understood in order to assess the comparability of our period-to-period financial performance and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Showroom Openings and Closings</w:t>
      </w:r>
    </w:p>
    <w:p>
      <w:pPr>
        <w:spacing w:after="0" w:line="149"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New Showrooms contribute incremental expense, new Showroom opening expense and net revenue to the Company. Our recent showroom growth from January 1, 2023 to March, 31, 2024 is summarized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9040" w:type="dxa"/>
            <w:vAlign w:val="bottom"/>
            <w:gridSpan w:val="3"/>
          </w:tcPr>
          <w:p>
            <w:pPr>
              <w:ind w:left="8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7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beginning of period</w:t>
            </w:r>
          </w:p>
        </w:tc>
        <w:tc>
          <w:tcPr>
            <w:tcW w:w="13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904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Showrooms opened </w:t>
            </w:r>
            <w:r>
              <w:rPr>
                <w:rFonts w:ascii="Times New Roman" w:cs="Times New Roman" w:eastAsia="Times New Roman" w:hAnsi="Times New Roman"/>
                <w:sz w:val="18"/>
                <w:szCs w:val="18"/>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Showrooms closed for relocations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Showrooms closed permanently</w:t>
            </w:r>
          </w:p>
        </w:tc>
        <w:tc>
          <w:tcPr>
            <w:tcW w:w="1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w:t>
            </w:r>
          </w:p>
        </w:tc>
      </w:tr>
      <w:tr>
        <w:trPr>
          <w:trHeight w:val="231"/>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end of period</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92</w:t>
            </w:r>
          </w:p>
        </w:tc>
      </w:tr>
    </w:tbl>
    <w:p>
      <w:pPr>
        <w:spacing w:after="0" w:line="57" w:lineRule="exact"/>
        <w:rPr>
          <w:sz w:val="20"/>
          <w:szCs w:val="20"/>
          <w:color w:val="auto"/>
        </w:rPr>
      </w:pPr>
    </w:p>
    <w:p>
      <w:pPr>
        <w:ind w:left="100" w:hanging="95"/>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Showrooms opened during the respective periods includes both new and relocated Showrooms.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86"/>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Data (in thousands):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10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86"/>
        </w:trPr>
        <w:tc>
          <w:tcPr>
            <w:tcW w:w="10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295,162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304,568</w:t>
            </w:r>
          </w:p>
        </w:tc>
      </w:tr>
      <w:tr>
        <w:trPr>
          <w:trHeight w:val="180"/>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180,108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176,330</w:t>
            </w:r>
          </w:p>
        </w:tc>
      </w:tr>
      <w:tr>
        <w:trPr>
          <w:trHeight w:val="171"/>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128,238</w:t>
            </w:r>
          </w:p>
        </w:tc>
      </w:tr>
      <w:tr>
        <w:trPr>
          <w:trHeight w:val="180"/>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96,693</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82,782</w:t>
            </w:r>
          </w:p>
        </w:tc>
      </w:tr>
      <w:tr>
        <w:trPr>
          <w:trHeight w:val="171"/>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45,456</w:t>
            </w:r>
          </w:p>
        </w:tc>
      </w:tr>
      <w:tr>
        <w:trPr>
          <w:trHeight w:val="18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71"/>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taxes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46,201</w:t>
            </w:r>
          </w:p>
        </w:tc>
      </w:tr>
      <w:tr>
        <w:trPr>
          <w:trHeight w:val="18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w:t>
            </w:r>
          </w:p>
        </w:tc>
      </w:tr>
      <w:tr>
        <w:trPr>
          <w:trHeight w:val="171"/>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34,099</w:t>
            </w:r>
          </w:p>
        </w:tc>
      </w:tr>
      <w:tr>
        <w:trPr>
          <w:trHeight w:val="20"/>
        </w:trPr>
        <w:tc>
          <w:tcPr>
            <w:tcW w:w="10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40"/>
          </w:cols>
          <w:pgMar w:left="300" w:top="116" w:right="35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Other Operational Data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127875" cy="121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7875" cy="12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revenue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Comparable growth</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Demand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27875"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margin as a % of net revenue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27875"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operations as a % of net revenue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27875"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and comprehensive income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27875" cy="141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7875" cy="1416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 as a % of net revenue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27875"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7875"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477647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764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295,162</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304,568</w:t>
            </w:r>
          </w:p>
        </w:tc>
      </w:tr>
      <w:tr>
        <w:trPr>
          <w:trHeight w:val="208"/>
        </w:trPr>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202"/>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202"/>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42.1 %</w:t>
            </w:r>
          </w:p>
        </w:tc>
      </w:tr>
      <w:tr>
        <w:trPr>
          <w:trHeight w:val="202"/>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27.2 %</w:t>
            </w:r>
          </w:p>
        </w:tc>
      </w:tr>
      <w:tr>
        <w:trPr>
          <w:trHeight w:val="198"/>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14.9 %</w:t>
            </w:r>
          </w:p>
        </w:tc>
      </w:tr>
      <w:tr>
        <w:trPr>
          <w:trHeight w:val="184"/>
        </w:trPr>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15,099</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34,099</w:t>
            </w:r>
          </w:p>
        </w:tc>
      </w:tr>
      <w:tr>
        <w:trPr>
          <w:trHeight w:val="212"/>
        </w:trPr>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223"/>
        </w:trPr>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29,110</w:t>
            </w:r>
          </w:p>
        </w:tc>
        <w:tc>
          <w:tcPr>
            <w:tcW w:w="80" w:type="dxa"/>
            <w:vAlign w:val="bottom"/>
          </w:tcPr>
          <w:p>
            <w:pPr>
              <w:spacing w:after="0"/>
              <w:rPr>
                <w:sz w:val="19"/>
                <w:szCs w:val="19"/>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54,835</w:t>
            </w:r>
          </w:p>
        </w:tc>
      </w:tr>
      <w:tr>
        <w:trPr>
          <w:trHeight w:val="198"/>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184"/>
        </w:trPr>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bl>
    <w:p>
      <w:pPr>
        <w:spacing w:after="0" w:line="132" w:lineRule="exact"/>
        <w:rPr>
          <w:sz w:val="20"/>
          <w:szCs w:val="20"/>
          <w:color w:val="auto"/>
        </w:rPr>
      </w:pPr>
    </w:p>
    <w:p>
      <w:pPr>
        <w:sectPr>
          <w:pgSz w:w="11900" w:h="16838" w:orient="portrait"/>
          <w:cols w:equalWidth="0" w:num="2">
            <w:col w:w="6800" w:space="720"/>
            <w:col w:w="3720"/>
          </w:cols>
          <w:pgMar w:left="300" w:top="116" w:right="359" w:bottom="1440" w:gutter="0" w:footer="0" w:header="0"/>
          <w:type w:val="continuous"/>
        </w:sectPr>
      </w:pPr>
    </w:p>
    <w:p>
      <w:pPr>
        <w:ind w:left="100" w:hanging="95"/>
        <w:spacing w:after="0"/>
        <w:tabs>
          <w:tab w:leader="none" w:pos="100" w:val="left"/>
        </w:tabs>
        <w:numPr>
          <w:ilvl w:val="0"/>
          <w:numId w:val="1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See “How We Assess the Performance of Our Business,” for a definition of adjusted EBITDA and a reconciliation of adjusted EBITDA to net and comprehensive income.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three months ended March 31, 2024 and March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4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Net revenue decreased $9.4 million, or 3.1%, to $295.2 million in the three months ended March 31, 2024 compared to $304.6 million in the three months ended March 31, 2023. The decrease was driven primarily by the non-recurrence of prior year abnormal backlog deliveries and a weather-related impact on deliveries in January, partially offset by favorable demand versus prior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Gross margin decreased $13.2 million, or 10.3%, to $115.1 million in the three months ended March 31, 2024 compared to $128.2 million in the three months ended March 31, 2023. Lower gross margin was primarily driven by the decrease in net revenue and increased Showroom costs of $4.0 million.</w:t>
      </w:r>
    </w:p>
    <w:p>
      <w:pPr>
        <w:spacing w:after="0" w:line="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a percentage of net revenue, gross margin decreased 310 basis points to 39.0% of net revenue in the three months ended March 31, 2024 compared to 42.1% of net revenue in the three months ended March 31, 2023. The gross margin decrease as a percentage of net revenue was primarily the result of higher Showroom costs, which increased 160 basis points, deleverage on fixed expenses of 50 basis points and higher transportation costs, which increased 40 basis points.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5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SG&amp;A expenses increased $13.9 million, or 16.8%, to $96.7 million in the three months ended March 31, 2024 compared to $82.8 million in the three months ended March 31, 2023. The increase in SG&amp;A expenses was primarily driven by a $6.6 million increase in selling expenses related to new Showrooms and demand strength, a $5.6 million increase in corporate expenses due to strategic investments, including supply chain and technology improvements, and increased warehouse expense of $1.4 million as our Dallas location continues to increase productivity.</w:t>
      </w:r>
    </w:p>
    <w:p>
      <w:pPr>
        <w:spacing w:after="0" w:line="104"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As a percentage of net revenue, SG&amp;A expenses increased 560 basis points to 32.8% of net revenue in the three months ended March 31, 2024 compared to 27.2% of net revenue in the three months ended March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(Income), net</w:t>
      </w:r>
    </w:p>
    <w:p>
      <w:pPr>
        <w:spacing w:after="0" w:line="159"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Interest expense (income), net increased $1.3 million for the three months ended March 31, 2024 compared to the three months ended March 31, 2023, primarily due to an increase in interest income earned on interest-bearing checking accounts.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Income tax expense was $4.8 million in the three months ended March 31, 2024 compared to $12.1 million in the three months ended March 31, 2023. The decrease was primarily due to lower income before taxes. Our effective tax rate was 24.2% and 26.2% for the three months ended March 31,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w:t>
      </w:r>
    </w:p>
    <w:p>
      <w:pPr>
        <w:spacing w:after="0" w:line="14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Net and comprehensive income decreased $19.0 million to $15.1 million in the three months ended March 31, 2024 compared to $34.1 million in the three months ended March 31, 2023. The decrease was driven by the factors described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March 31, 2024, we had cash and cash equivalents of $233.2 million.</w:t>
      </w:r>
    </w:p>
    <w:p>
      <w:pPr>
        <w:spacing w:after="0" w:line="10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growth initiatives, including supply chain and technology improvements. In addition, our needs and uses of capital may change in the future due to changes in our business or new opportunities that we choose to pursue. As of March 31, 2024, we have no material off-balance sheet arrangements.</w:t>
      </w:r>
    </w:p>
    <w:p>
      <w:pPr>
        <w:spacing w:after="0" w:line="11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5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March 31, 2024 and 1.50% at March 31, 2023), whereas the applicable margin is adjusted quarterly based on the Company’s consolidated rent-adjusted total leverage ratio.</w:t>
      </w:r>
    </w:p>
    <w:p>
      <w:pPr>
        <w:spacing w:after="0" w:line="11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 xml:space="preserve">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March 31, 2024, we had no borrowings on the 2021 Credit Facility. Refer to Note 4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to our condensed consolidated financial statements for further information on our 2021 Credit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Analysis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our cash provided by operating, investing and financing activities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r>
      <w:tr>
        <w:trPr>
          <w:trHeight w:val="202"/>
        </w:trPr>
        <w:tc>
          <w:tcPr>
            <w:tcW w:w="7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7"/>
                <w:szCs w:val="17"/>
                <w:color w:val="auto"/>
              </w:rPr>
            </w:pPr>
          </w:p>
        </w:tc>
      </w:tr>
      <w:tr>
        <w:trPr>
          <w:trHeight w:val="22"/>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7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20"/>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three months ended March 31, 2024 and March 31, 2023</w:t>
      </w:r>
    </w:p>
    <w:p>
      <w:pPr>
        <w:spacing w:after="0" w:line="149"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2024, net cash provided by operating activities was $36.8 million and consisted of net income of $15.1 million and an increase of non-cash items of $26.0 million, which were partially offset by a change in working capital and other activities of $4.3 million. The use of cash from working capital was primarily driven by an increase in merchandise inventory of $14.1 million, an increase in prepaid and other assets of $5.8 million, a decrease in accrued expenses of $5.1 million, a decrease in accounts payable of $4.8 million, and a decrease in operating lease liabilities of $4.2 million primarily due to payments made under the related lease agreements which was partially offset by an increase in client deposits of $29.1 million in the three months ended March 31, 2024.</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2023, net cash provided by operating activities was $10.9 million and consisted of net income of $34.1 million and increases of non-cash items of $25.1 million, which was partially offset by a change in working capital and other activities of $48.4 million. The use of cash from working capital was primarily driven by a decrease in accrued expenses of $13.3 million, a decrease in accounts payable of $12.6 million, a decrease in operating lease liabilities of $10.6 million primarily due to payments made under the related lease agreements, an increase in merchandise inventory of $5.8 million, a decrease in client deposits of $4.7 million primarily due to improved delivery of our backlog orders and lower demand comparable growth and an increase in prepaid and other assets of $1.3 million in the three months ended March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consist primarily of capital expenditures related to investments in retail Showrooms, information technology and systems infrastructure, as well as supply chain investments.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three months ended March 31, 2024 and March 31, 2023</w:t>
      </w:r>
    </w:p>
    <w:p>
      <w:pPr>
        <w:spacing w:after="0" w:line="15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net cash used in investing activities was $25.9 million primarily due to investments in Showrooms, information technology and systems infrastructure and strategic investments in our supply chain.</w:t>
      </w:r>
    </w:p>
    <w:p>
      <w:pPr>
        <w:spacing w:after="0" w:line="9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2023, net cash used in investing activities was $11.4 million primarily due to investments in Showrooms, supply chain expansion and information technology and systems infrastructure.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5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Historical capital expenditures are summarized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40"/>
        </w:trPr>
        <w:tc>
          <w:tcPr>
            <w:tcW w:w="7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202"/>
        </w:trPr>
        <w:tc>
          <w:tcPr>
            <w:tcW w:w="7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7"/>
                <w:szCs w:val="17"/>
                <w:color w:val="auto"/>
              </w:rPr>
            </w:pPr>
          </w:p>
        </w:tc>
      </w:tr>
      <w:tr>
        <w:trPr>
          <w:trHeight w:val="22"/>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77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25,932</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w:t>
            </w:r>
          </w:p>
        </w:tc>
      </w:tr>
      <w:tr>
        <w:trPr>
          <w:trHeight w:val="21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Landlord contributions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w:t>
            </w: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 increased by $4.6 million in the three months ended March 31, 2024 compared to the three months ended March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our total company funded capital expenditures to be between $80 million and $100 million in fiscal year 2024, primarily related to the opening of new Showrooms.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three months ended March 31, 2024 and March 31, 2023</w:t>
      </w:r>
    </w:p>
    <w:p>
      <w:pPr>
        <w:spacing w:after="0" w:line="149"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net cash used in financing activities was $0.8 million primarily due to the repurchase of shares for payment of withholding taxes for equity based compensation.</w:t>
      </w:r>
    </w:p>
    <w:p>
      <w:pPr>
        <w:spacing w:after="0" w:line="14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2023, net cash used in financing activities was $0.4 million primarily due to the repurchase of shares for payment of withholding taxes for equity based compensation.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Recently Issued Accounting Standards</w:t>
      </w:r>
      <w:r>
        <w:rPr>
          <w:rFonts w:ascii="Times New Roman" w:cs="Times New Roman" w:eastAsia="Times New Roman" w:hAnsi="Times New Roman"/>
          <w:sz w:val="14"/>
          <w:szCs w:val="14"/>
          <w:color w:val="auto"/>
        </w:rPr>
        <w:t xml:space="preserve"> to our condensed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4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are exposed to market risks, which include significant deterioration of the U.S. and foreign markets, changes in U.S. interest rates, foreign currency exchange rate fluctuations and the effects of economic uncertainty, which may affect the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prices we pay our vendors in the foreign countries in which we do business. We do not engage in financial transactions for trading or speculative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three months ended March 31, 2024 and March 31, 2023,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59"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We are primarily exposed to interest rate risk with respect to borrowing under our 2021 Credit Facility and as of March 31, 2024,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4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(“Exchange Act”)) as of March 31, 2024. Based on their evaluation as of March 31, 2024, the CEO and CFO have concluded that our disclosure controls and procedures were not effective at the reasonable assurance level because of the material weaknesses in our internal control over financial reporting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Weaknesses in Internal Control Over Financial Reporting</w:t>
      </w:r>
    </w:p>
    <w:p>
      <w:pPr>
        <w:spacing w:after="0" w:line="149" w:lineRule="exact"/>
        <w:rPr>
          <w:sz w:val="20"/>
          <w:szCs w:val="20"/>
          <w:color w:val="auto"/>
        </w:rPr>
      </w:pPr>
    </w:p>
    <w:p>
      <w:pPr>
        <w:jc w:val="both"/>
        <w:ind w:right="640"/>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four material weaknesses in our internal control over financial reporting.</w:t>
      </w:r>
    </w:p>
    <w:p>
      <w:pPr>
        <w:spacing w:after="0" w:line="92" w:lineRule="exact"/>
        <w:rPr>
          <w:sz w:val="20"/>
          <w:szCs w:val="20"/>
          <w:color w:val="auto"/>
        </w:rPr>
      </w:pPr>
    </w:p>
    <w:p>
      <w:pPr>
        <w:ind w:left="520" w:right="40" w:hanging="260"/>
        <w:spacing w:after="0" w:line="258"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 w:lineRule="exact"/>
        <w:rPr>
          <w:rFonts w:ascii="Times New Roman" w:cs="Times New Roman" w:eastAsia="Times New Roman" w:hAnsi="Times New Roman"/>
          <w:sz w:val="14"/>
          <w:szCs w:val="14"/>
          <w:color w:val="auto"/>
        </w:rPr>
      </w:pPr>
    </w:p>
    <w:p>
      <w:pPr>
        <w:ind w:left="520" w:right="20" w:hanging="260"/>
        <w:spacing w:after="0" w:line="259"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0" w:right="26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March 31, 2022, June 30, 2022, September 30, 2022, March 31, 2023 and June 30, 2023,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14" w:lineRule="exact"/>
        <w:rPr>
          <w:sz w:val="20"/>
          <w:szCs w:val="20"/>
          <w:color w:val="auto"/>
        </w:rPr>
      </w:pPr>
    </w:p>
    <w:p>
      <w:pPr>
        <w:ind w:left="520" w:right="20" w:hanging="260"/>
        <w:spacing w:after="0" w:line="259"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Activities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the oversight of senior management and our Audit Committee, we have designed and begun to implement a remediation plan which includes:</w:t>
      </w:r>
    </w:p>
    <w:p>
      <w:pPr>
        <w:spacing w:after="0" w:line="147" w:lineRule="exact"/>
        <w:rPr>
          <w:sz w:val="20"/>
          <w:szCs w:val="20"/>
          <w:color w:val="auto"/>
        </w:rPr>
      </w:pPr>
    </w:p>
    <w:p>
      <w:pPr>
        <w:ind w:left="520" w:right="380" w:hanging="260"/>
        <w:spacing w:after="0" w:line="26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Updating our policies and procedures to establish and maintain effective segregation of duties for our accounting staff in relation to journal entries, reconciliations and other applicable processes.</w:t>
      </w:r>
    </w:p>
    <w:p>
      <w:pPr>
        <w:ind w:left="520" w:right="48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design and operation of user access control activities and procedures to ensure that access to IT applications and data is adequately restricted to appropriate personnel.</w:t>
      </w:r>
    </w:p>
    <w:p>
      <w:pPr>
        <w:spacing w:after="0" w:line="8" w:lineRule="exact"/>
        <w:rPr>
          <w:rFonts w:ascii="Times New Roman" w:cs="Times New Roman" w:eastAsia="Times New Roman" w:hAnsi="Times New Roman"/>
          <w:sz w:val="14"/>
          <w:szCs w:val="14"/>
          <w:color w:val="auto"/>
        </w:rPr>
      </w:pPr>
    </w:p>
    <w:p>
      <w:pPr>
        <w:jc w:val="both"/>
        <w:ind w:left="520" w:right="28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ind w:left="520" w:right="160" w:hanging="260"/>
        <w:spacing w:after="0" w:line="26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0" w:right="40" w:hanging="260"/>
        <w:spacing w:after="0" w:line="26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a formal systems development lifecycle methodology and related program development controls to ensure significant IT change events are appropriately tested and approved.</w:t>
      </w:r>
    </w:p>
    <w:p>
      <w:pPr>
        <w:ind w:left="520" w:right="20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design and operation of control activities and procedures within the computer operations domain to ensure key batch jobs are monitored, processing failures are adequately resolved, and recovery capability is tested.</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key IT dependencies including key reports, automated application controls, interfaces, and end user computer facilities.</w:t>
      </w:r>
    </w:p>
    <w:p>
      <w:pPr>
        <w:ind w:left="520" w:right="160" w:hanging="260"/>
        <w:spacing w:after="0" w:line="235"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control activity design related to the review of our consolidated balance sheet and statement of cash flows to ensure the classification of operating and investing activities is appropriately presented in the statement of cash flows.</w:t>
      </w:r>
    </w:p>
    <w:p>
      <w:pPr>
        <w:spacing w:after="0" w:line="12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While the material weaknesses are not considered remediated until the related internal controls are designed, implemented, tested and deemed to be operating effectively, we have made progress under our remediation plan, including:</w:t>
      </w:r>
    </w:p>
    <w:p>
      <w:pPr>
        <w:spacing w:after="0" w:line="92" w:lineRule="exact"/>
        <w:rPr>
          <w:sz w:val="20"/>
          <w:szCs w:val="20"/>
          <w:color w:val="auto"/>
        </w:rPr>
      </w:pPr>
    </w:p>
    <w:p>
      <w:pPr>
        <w:ind w:left="520" w:right="460" w:hanging="260"/>
        <w:spacing w:after="0" w:line="26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the design and implementation of formal processes, policies, and procedures supporting our financial close process, including formalizing procedures over the review of financial statements.</w:t>
      </w:r>
    </w:p>
    <w:p>
      <w:pPr>
        <w:ind w:left="520" w:right="380" w:hanging="260"/>
        <w:spacing w:after="0" w:line="25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the design and implementation of policies and procedures to establish and maintain segregation of duties for our accounting staff in relation to journal entries and account reconciliations.</w:t>
      </w:r>
    </w:p>
    <w:p>
      <w:pPr>
        <w:ind w:left="520" w:right="260" w:hanging="260"/>
        <w:spacing w:after="0" w:line="26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hire additional competent and qualified technical accounting and financial reporting personnel with appropriate knowledge and experience of U.S. GAAP and SEC financial reporting requirements.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Exchange Act Rule 13a-15(f)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1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Part I, Item 1A “Risk Factors” in our Annual Report on Form 10-K for the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5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following table contains information with respect to repurchases of shares made by the Company during the three months ended March 31, 2024. The table reflects shares delivered to the Company by employees to satisfy tax withholding obligations due upon the vesting of restricted stock units. These shares were not repurchased in connection with any publicly announced share repurchase programs.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20" w:type="dxa"/>
            <w:vAlign w:val="bottom"/>
          </w:tcPr>
          <w:p>
            <w:pPr>
              <w:spacing w:after="0"/>
              <w:rPr>
                <w:sz w:val="14"/>
                <w:szCs w:val="14"/>
                <w:color w:val="auto"/>
              </w:rPr>
            </w:pPr>
          </w:p>
        </w:tc>
        <w:tc>
          <w:tcPr>
            <w:tcW w:w="21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that may yet be purchased under</w:t>
            </w:r>
          </w:p>
        </w:tc>
      </w:tr>
      <w:tr>
        <w:trPr>
          <w:trHeight w:val="18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20" w:type="dxa"/>
            <w:vAlign w:val="bottom"/>
          </w:tcPr>
          <w:p>
            <w:pPr>
              <w:spacing w:after="0"/>
              <w:rPr>
                <w:sz w:val="16"/>
                <w:szCs w:val="16"/>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 of publicly announced plans</w:t>
            </w:r>
          </w:p>
        </w:tc>
        <w:tc>
          <w:tcPr>
            <w:tcW w:w="120" w:type="dxa"/>
            <w:vAlign w:val="bottom"/>
          </w:tcPr>
          <w:p>
            <w:pPr>
              <w:spacing w:after="0"/>
              <w:rPr>
                <w:sz w:val="16"/>
                <w:szCs w:val="16"/>
                <w:color w:val="auto"/>
              </w:rPr>
            </w:pPr>
          </w:p>
        </w:tc>
        <w:tc>
          <w:tcPr>
            <w:tcW w:w="21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publicly announced plans</w:t>
            </w:r>
          </w:p>
        </w:tc>
      </w:tr>
      <w:tr>
        <w:trPr>
          <w:trHeight w:val="22"/>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1"/>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2024</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2024</w:t>
            </w: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1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2024</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shd w:val="clear" w:color="auto" w:fill="CCEEFF"/>
          </w:tcPr>
          <w:p>
            <w:pPr>
              <w:spacing w:after="0"/>
              <w:rPr>
                <w:sz w:val="15"/>
                <w:szCs w:val="15"/>
                <w:color w:val="auto"/>
              </w:rPr>
            </w:pPr>
          </w:p>
        </w:tc>
        <w:tc>
          <w:tcPr>
            <w:tcW w:w="2260" w:type="dxa"/>
            <w:vAlign w:val="bottom"/>
            <w:tcBorders>
              <w:bottom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Pr>
          <w:p>
            <w:pPr>
              <w:spacing w:after="0"/>
              <w:rPr>
                <w:sz w:val="17"/>
                <w:szCs w:val="17"/>
                <w:color w:val="auto"/>
              </w:rPr>
            </w:pPr>
          </w:p>
        </w:tc>
        <w:tc>
          <w:tcPr>
            <w:tcW w:w="23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5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 except as follows:</w:t>
      </w:r>
    </w:p>
    <w:p>
      <w:pPr>
        <w:spacing w:after="0" w:line="10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On March 11, 2024, Dawn Sparks, Chief Logistics Officer, adopted a Rule 10b5-1 trading arrangement that is intended to satisfy the affirmative defense of Rule 10b5-1(c) for the sale of up to 120,000 shares of the Company’s Class A common stock beginning June 10, 2024. The arrangement’s expiration date is December 10, 2024.</w:t>
      </w:r>
    </w:p>
    <w:p>
      <w:pPr>
        <w:spacing w:after="0" w:line="9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On March 12, 2024, Dawn Phillipson, Chief Financial Officer, adopted a Rule 10b5-1 trading arrangement that is intended to satisfy the affirmative defense of Rule 10b5-1(c) for the sale of up to 150,000 shares of the Company’s Class A common stock beginning June 10, 2024. The arrangement’s expiration date is March 6, 2025.</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March 14, 2024, Venkat Nachiappan, Chief Information Officer, adopted a Rule 10b5-1 trading arrangement that is intended to satisfy the affirmative defense of Rule 10b5-1(c) for the sale of up to 20,093 shares of the Company’s Class A common stock beginning June 14, 2024. The arrangement’s expiration date is December 31, 2024.</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60" w:type="dxa"/>
            <w:vAlign w:val="bottom"/>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4"/>
                <w:szCs w:val="14"/>
                <w:color w:val="auto"/>
              </w:rPr>
            </w:pPr>
          </w:p>
        </w:tc>
        <w:tc>
          <w:tcPr>
            <w:tcW w:w="3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gridSpan w:val="2"/>
          </w:tcPr>
          <w:p>
            <w:pPr>
              <w:spacing w:after="0"/>
              <w:rPr>
                <w:sz w:val="16"/>
                <w:szCs w:val="16"/>
                <w:color w:val="auto"/>
              </w:rPr>
            </w:pPr>
          </w:p>
        </w:tc>
        <w:tc>
          <w:tcPr>
            <w:tcW w:w="6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12">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10, 2021 Form 8-K, Exhibit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13">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10, 2021 Form 8-K, Exhibit 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Employment Letter (John Moran)</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Certificate of Chief Executive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Certificate of Chief Financial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101.INS</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 Interactive Data File because its XBRL tags</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are embedded within the Inline XBRL document)</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101.SCH</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101.CAL</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101.DEF</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101.LAB</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101.PRE</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6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contained in Exhibits 101)</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85534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855345" cy="698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Indicates management contract</w:t>
      </w:r>
    </w:p>
    <w:p>
      <w:pPr>
        <w:spacing w:after="0" w:line="13" w:lineRule="exact"/>
        <w:rPr>
          <w:sz w:val="20"/>
          <w:szCs w:val="20"/>
          <w:color w:val="auto"/>
        </w:rPr>
      </w:pPr>
    </w:p>
    <w:p>
      <w:pPr>
        <w:ind w:left="320" w:right="20" w:hanging="315"/>
        <w:spacing w:after="0" w:line="257" w:lineRule="auto"/>
        <w:tabs>
          <w:tab w:leader="none" w:pos="171" w:val="left"/>
        </w:tabs>
        <w:numPr>
          <w:ilvl w:val="0"/>
          <w:numId w:val="1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this 10th day of May, 2024.</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ARHAUS, INC.</w:t>
      </w:r>
    </w:p>
    <w:p>
      <w:pPr>
        <w:spacing w:after="0" w:line="234" w:lineRule="exact"/>
        <w:rPr>
          <w:sz w:val="20"/>
          <w:szCs w:val="20"/>
          <w:color w:val="auto"/>
        </w:rPr>
      </w:pPr>
    </w:p>
    <w:tbl>
      <w:tblPr>
        <w:tblLayout w:type="fixed"/>
        <w:tblInd w:w="526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Dawn Phillipson</w:t>
            </w:r>
          </w:p>
        </w:tc>
      </w:tr>
      <w:tr>
        <w:trPr>
          <w:trHeight w:val="1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Dawn Phillipson</w:t>
            </w:r>
          </w:p>
        </w:tc>
      </w:tr>
      <w:tr>
        <w:trPr>
          <w:trHeight w:val="18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80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711"/>
        </w:trPr>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38</w:t>
            </w:r>
          </w:p>
        </w:tc>
        <w:tc>
          <w:tcPr>
            <w:tcW w:w="4560" w:type="dxa"/>
            <w:vAlign w:val="bottom"/>
          </w:tcPr>
          <w:p>
            <w:pPr>
              <w:spacing w:after="0"/>
              <w:rPr>
                <w:sz w:val="24"/>
                <w:szCs w:val="24"/>
                <w:color w:val="auto"/>
              </w:rPr>
            </w:pPr>
          </w:p>
        </w:tc>
      </w:tr>
    </w:tbl>
    <w:p>
      <w:pPr>
        <w:sectPr>
          <w:pgSz w:w="11900" w:h="16838" w:orient="portrait"/>
          <w:cols w:equalWidth="0" w:num="1">
            <w:col w:w="11240"/>
          </w:cols>
          <w:pgMar w:left="300" w:top="123" w:right="359" w:bottom="1440"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1F4742"/>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Reed, certify that:</w:t>
      </w:r>
    </w:p>
    <w:p>
      <w:pPr>
        <w:spacing w:after="0" w:line="157"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4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May 10, 2024</w:t>
            </w:r>
          </w:p>
        </w:tc>
      </w:tr>
    </w:tbl>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854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08546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Reed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314"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Dawn Phillipson, certify that:</w:t>
      </w:r>
    </w:p>
    <w:p>
      <w:pPr>
        <w:spacing w:after="0" w:line="157"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4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May 10, 2024</w:t>
            </w:r>
          </w:p>
        </w:tc>
      </w:tr>
    </w:tbl>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854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08546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Dawn Phillipson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33"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3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March 31, 2024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04"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520" w:hanging="260"/>
        <w:spacing w:after="0" w:line="239" w:lineRule="auto"/>
        <w:tabs>
          <w:tab w:leader="none" w:pos="5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John Reed</w:t>
      </w:r>
    </w:p>
    <w:p>
      <w:pPr>
        <w:spacing w:after="0" w:line="210" w:lineRule="auto"/>
        <w:rPr>
          <w:sz w:val="20"/>
          <w:szCs w:val="20"/>
          <w:color w:val="auto"/>
        </w:rPr>
      </w:pPr>
      <w:r>
        <w:rPr>
          <w:rFonts w:ascii="Times New Roman" w:cs="Times New Roman" w:eastAsia="Times New Roman" w:hAnsi="Times New Roman"/>
          <w:sz w:val="14"/>
          <w:szCs w:val="14"/>
          <w:color w:val="auto"/>
        </w:rPr>
        <w:t>John Reed</w:t>
      </w:r>
    </w:p>
    <w:p>
      <w:pPr>
        <w:spacing w:after="0" w:line="206" w:lineRule="auto"/>
        <w:rPr>
          <w:sz w:val="20"/>
          <w:szCs w:val="20"/>
          <w:color w:val="auto"/>
        </w:rPr>
      </w:pPr>
      <w:r>
        <w:rPr>
          <w:rFonts w:ascii="Times New Roman" w:cs="Times New Roman" w:eastAsia="Times New Roman" w:hAnsi="Times New Roman"/>
          <w:sz w:val="14"/>
          <w:szCs w:val="14"/>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10, 2024</w:t>
      </w:r>
    </w:p>
    <w:p>
      <w:pPr>
        <w:spacing w:after="0" w:line="1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3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March 31, 2024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04"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520" w:hanging="260"/>
        <w:spacing w:after="0" w:line="239" w:lineRule="auto"/>
        <w:tabs>
          <w:tab w:leader="none" w:pos="5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Dawn Phillipson</w:t>
      </w:r>
    </w:p>
    <w:p>
      <w:pPr>
        <w:spacing w:after="0" w:line="210" w:lineRule="auto"/>
        <w:rPr>
          <w:sz w:val="20"/>
          <w:szCs w:val="20"/>
          <w:color w:val="auto"/>
        </w:rPr>
      </w:pPr>
      <w:r>
        <w:rPr>
          <w:rFonts w:ascii="Times New Roman" w:cs="Times New Roman" w:eastAsia="Times New Roman" w:hAnsi="Times New Roman"/>
          <w:sz w:val="14"/>
          <w:szCs w:val="14"/>
          <w:color w:val="auto"/>
        </w:rPr>
        <w:t>Dawn Phillipson</w:t>
      </w:r>
    </w:p>
    <w:p>
      <w:pPr>
        <w:spacing w:after="0" w:line="206" w:lineRule="auto"/>
        <w:rPr>
          <w:sz w:val="20"/>
          <w:szCs w:val="20"/>
          <w:color w:val="auto"/>
        </w:rPr>
      </w:pPr>
      <w:r>
        <w:rPr>
          <w:rFonts w:ascii="Times New Roman" w:cs="Times New Roman" w:eastAsia="Times New Roman" w:hAnsi="Times New Roman"/>
          <w:sz w:val="14"/>
          <w:szCs w:val="14"/>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10, 2024</w:t>
      </w:r>
    </w:p>
    <w:p>
      <w:pPr>
        <w:spacing w:after="0" w:line="1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12" Type="http://schemas.openxmlformats.org/officeDocument/2006/relationships/hyperlink" Target="https://www.sec.gov/Archives/edgar/data/1875444/000187544421000004/exhibit31-arcertificateo.htm" TargetMode="External"/><Relationship Id="rId113"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2024-05-10T05:44:16Z</dcterms:created>
  <dcterms:modified xsi:type="dcterms:W3CDTF">2024-05-10T05:44:16Z</dcterms:modified>
</cp:coreProperties>
</file>