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339725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360045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4" w:lineRule="exact"/>
        <w:rPr>
          <w:sz w:val="24"/>
          <w:szCs w:val="24"/>
          <w:color w:val="auto"/>
        </w:rPr>
      </w:pPr>
    </w:p>
    <w:p>
      <w:pPr>
        <w:ind w:left="520" w:hanging="361"/>
        <w:spacing w:after="0"/>
        <w:tabs>
          <w:tab w:leader="none" w:pos="5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4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2022</w:t>
      </w:r>
    </w:p>
    <w:p>
      <w:pPr>
        <w:spacing w:after="0" w:line="1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205" w:lineRule="exact"/>
        <w:rPr>
          <w:sz w:val="24"/>
          <w:szCs w:val="24"/>
          <w:color w:val="auto"/>
        </w:rPr>
      </w:pPr>
    </w:p>
    <w:p>
      <w:pPr>
        <w:ind w:left="100"/>
        <w:spacing w:after="0" w:line="171" w:lineRule="exact"/>
        <w:rPr>
          <w:sz w:val="20"/>
          <w:szCs w:val="20"/>
          <w:color w:val="auto"/>
        </w:rPr>
      </w:pPr>
      <w:r>
        <w:rPr>
          <w:rFonts w:ascii="MS PGothic" w:cs="MS PGothic" w:eastAsia="MS PGothic" w:hAnsi="MS PGothic"/>
          <w:sz w:val="17"/>
          <w:szCs w:val="17"/>
          <w:color w:val="auto"/>
        </w:rPr>
        <w:t>☐</w:t>
      </w:r>
    </w:p>
    <w:p>
      <w:pPr>
        <w:spacing w:after="0" w:line="9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62"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gridSpan w:val="2"/>
          </w:tcPr>
          <w:p>
            <w:pPr>
              <w:jc w:val="center"/>
              <w:ind w:left="283"/>
              <w:spacing w:after="0"/>
              <w:rPr>
                <w:sz w:val="20"/>
                <w:szCs w:val="20"/>
                <w:color w:val="auto"/>
              </w:rPr>
            </w:pPr>
            <w:r>
              <w:rPr>
                <w:rFonts w:ascii="Times New Roman" w:cs="Times New Roman" w:eastAsia="Times New Roman" w:hAnsi="Times New Roman"/>
                <w:sz w:val="14"/>
                <w:szCs w:val="14"/>
                <w:b w:val="1"/>
                <w:bCs w:val="1"/>
                <w:color w:val="auto"/>
              </w:rPr>
              <w:t>Commission file number: 001-41009</w:t>
            </w:r>
          </w:p>
        </w:tc>
        <w:tc>
          <w:tcPr>
            <w:tcW w:w="4080" w:type="dxa"/>
            <w:vAlign w:val="bottom"/>
          </w:tcPr>
          <w:p>
            <w:pPr>
              <w:spacing w:after="0"/>
              <w:rPr>
                <w:sz w:val="16"/>
                <w:szCs w:val="16"/>
                <w:color w:val="auto"/>
              </w:rPr>
            </w:pPr>
          </w:p>
        </w:tc>
      </w:tr>
      <w:tr>
        <w:trPr>
          <w:trHeight w:val="432"/>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2"/>
          </w:tcPr>
          <w:p>
            <w:pPr>
              <w:jc w:val="center"/>
              <w:ind w:left="263"/>
              <w:spacing w:after="0"/>
              <w:rPr>
                <w:sz w:val="20"/>
                <w:szCs w:val="20"/>
                <w:color w:val="auto"/>
              </w:rPr>
            </w:pPr>
            <w:r>
              <w:rPr>
                <w:rFonts w:ascii="Times New Roman" w:cs="Times New Roman" w:eastAsia="Times New Roman" w:hAnsi="Times New Roman"/>
                <w:sz w:val="25"/>
                <w:szCs w:val="25"/>
                <w:b w:val="1"/>
                <w:bCs w:val="1"/>
                <w:color w:val="auto"/>
              </w:rPr>
              <w:t>Arhaus, Inc.</w:t>
            </w:r>
          </w:p>
        </w:tc>
        <w:tc>
          <w:tcPr>
            <w:tcW w:w="4080" w:type="dxa"/>
            <w:vAlign w:val="bottom"/>
          </w:tcPr>
          <w:p>
            <w:pPr>
              <w:spacing w:after="0"/>
              <w:rPr>
                <w:sz w:val="24"/>
                <w:szCs w:val="24"/>
                <w:color w:val="auto"/>
              </w:rPr>
            </w:pPr>
          </w:p>
        </w:tc>
      </w:tr>
      <w:tr>
        <w:trPr>
          <w:trHeight w:val="223"/>
        </w:trPr>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80" w:type="dxa"/>
            <w:vAlign w:val="bottom"/>
            <w:gridSpan w:val="3"/>
          </w:tcPr>
          <w:p>
            <w:pPr>
              <w:jc w:val="center"/>
              <w:ind w:right="366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r>
      <w:tr>
        <w:trPr>
          <w:trHeight w:val="332"/>
        </w:trPr>
        <w:tc>
          <w:tcPr>
            <w:tcW w:w="3720" w:type="dxa"/>
            <w:vAlign w:val="bottom"/>
            <w:gridSpan w:val="2"/>
          </w:tcPr>
          <w:p>
            <w:pPr>
              <w:jc w:val="center"/>
              <w:ind w:left="188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80" w:type="dxa"/>
            <w:vAlign w:val="bottom"/>
          </w:tcPr>
          <w:p>
            <w:pPr>
              <w:jc w:val="center"/>
              <w:ind w:right="1169"/>
              <w:spacing w:after="0"/>
              <w:rPr>
                <w:sz w:val="20"/>
                <w:szCs w:val="20"/>
                <w:color w:val="auto"/>
              </w:rPr>
            </w:pPr>
            <w:r>
              <w:rPr>
                <w:rFonts w:ascii="Times New Roman" w:cs="Times New Roman" w:eastAsia="Times New Roman" w:hAnsi="Times New Roman"/>
                <w:sz w:val="14"/>
                <w:szCs w:val="14"/>
                <w:b w:val="1"/>
                <w:bCs w:val="1"/>
                <w:color w:val="auto"/>
              </w:rPr>
              <w:t>87-1729256</w:t>
            </w:r>
          </w:p>
        </w:tc>
      </w:tr>
      <w:tr>
        <w:trPr>
          <w:trHeight w:val="223"/>
        </w:trPr>
        <w:tc>
          <w:tcPr>
            <w:tcW w:w="3720" w:type="dxa"/>
            <w:vAlign w:val="bottom"/>
            <w:gridSpan w:val="2"/>
          </w:tcPr>
          <w:p>
            <w:pPr>
              <w:jc w:val="center"/>
              <w:ind w:left="188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80" w:type="dxa"/>
            <w:vAlign w:val="bottom"/>
          </w:tcPr>
          <w:p>
            <w:pPr>
              <w:jc w:val="center"/>
              <w:ind w:right="1169"/>
              <w:spacing w:after="0"/>
              <w:rPr>
                <w:sz w:val="20"/>
                <w:szCs w:val="20"/>
                <w:color w:val="auto"/>
              </w:rPr>
            </w:pPr>
            <w:r>
              <w:rPr>
                <w:rFonts w:ascii="Times New Roman" w:cs="Times New Roman" w:eastAsia="Times New Roman" w:hAnsi="Times New Roman"/>
                <w:sz w:val="14"/>
                <w:szCs w:val="14"/>
                <w:color w:val="auto"/>
              </w:rPr>
              <w:t>(I.R.S. Employer</w:t>
            </w:r>
          </w:p>
        </w:tc>
      </w:tr>
      <w:tr>
        <w:trPr>
          <w:trHeight w:val="202"/>
        </w:trPr>
        <w:tc>
          <w:tcPr>
            <w:tcW w:w="3720" w:type="dxa"/>
            <w:vAlign w:val="bottom"/>
            <w:gridSpan w:val="2"/>
          </w:tcPr>
          <w:p>
            <w:pPr>
              <w:jc w:val="center"/>
              <w:ind w:left="186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80" w:type="dxa"/>
            <w:vAlign w:val="bottom"/>
          </w:tcPr>
          <w:p>
            <w:pPr>
              <w:jc w:val="center"/>
              <w:ind w:right="1149"/>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00"/>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2"/>
          </w:tcPr>
          <w:p>
            <w:pPr>
              <w:jc w:val="center"/>
              <w:ind w:left="283"/>
              <w:spacing w:after="0"/>
              <w:rPr>
                <w:sz w:val="20"/>
                <w:szCs w:val="20"/>
                <w:color w:val="auto"/>
              </w:rPr>
            </w:pPr>
            <w:r>
              <w:rPr>
                <w:rFonts w:ascii="Times New Roman" w:cs="Times New Roman" w:eastAsia="Times New Roman" w:hAnsi="Times New Roman"/>
                <w:sz w:val="14"/>
                <w:szCs w:val="14"/>
                <w:b w:val="1"/>
                <w:bCs w:val="1"/>
                <w:color w:val="auto"/>
              </w:rPr>
              <w:t>51 E. Hines Hill Road, Boston Heights, Ohio</w:t>
            </w:r>
          </w:p>
        </w:tc>
        <w:tc>
          <w:tcPr>
            <w:tcW w:w="4080" w:type="dxa"/>
            <w:vAlign w:val="bottom"/>
          </w:tcPr>
          <w:p>
            <w:pPr>
              <w:spacing w:after="0"/>
              <w:rPr>
                <w:sz w:val="24"/>
                <w:szCs w:val="24"/>
                <w:color w:val="auto"/>
              </w:rPr>
            </w:pPr>
          </w:p>
        </w:tc>
      </w:tr>
      <w:tr>
        <w:trPr>
          <w:trHeight w:val="184"/>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gridSpan w:val="2"/>
          </w:tcPr>
          <w:p>
            <w:pPr>
              <w:jc w:val="center"/>
              <w:ind w:left="283"/>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080" w:type="dxa"/>
            <w:vAlign w:val="bottom"/>
          </w:tcPr>
          <w:p>
            <w:pPr>
              <w:spacing w:after="0"/>
              <w:rPr>
                <w:sz w:val="16"/>
                <w:szCs w:val="16"/>
                <w:color w:val="auto"/>
              </w:rPr>
            </w:pPr>
          </w:p>
        </w:tc>
      </w:tr>
      <w:tr>
        <w:trPr>
          <w:trHeight w:val="191"/>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44236</w:t>
            </w:r>
          </w:p>
        </w:tc>
        <w:tc>
          <w:tcPr>
            <w:tcW w:w="126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202"/>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gridSpan w:val="2"/>
          </w:tcPr>
          <w:p>
            <w:pPr>
              <w:jc w:val="center"/>
              <w:ind w:left="283"/>
              <w:spacing w:after="0"/>
              <w:rPr>
                <w:sz w:val="20"/>
                <w:szCs w:val="20"/>
                <w:color w:val="auto"/>
              </w:rPr>
            </w:pPr>
            <w:r>
              <w:rPr>
                <w:rFonts w:ascii="Times New Roman" w:cs="Times New Roman" w:eastAsia="Times New Roman" w:hAnsi="Times New Roman"/>
                <w:sz w:val="14"/>
                <w:szCs w:val="14"/>
                <w:color w:val="auto"/>
              </w:rPr>
              <w:t>(Zip Code)</w:t>
            </w:r>
          </w:p>
        </w:tc>
        <w:tc>
          <w:tcPr>
            <w:tcW w:w="4080" w:type="dxa"/>
            <w:vAlign w:val="bottom"/>
          </w:tcPr>
          <w:p>
            <w:pPr>
              <w:spacing w:after="0"/>
              <w:rPr>
                <w:sz w:val="17"/>
                <w:szCs w:val="17"/>
                <w:color w:val="auto"/>
              </w:rPr>
            </w:pPr>
          </w:p>
        </w:tc>
      </w:tr>
      <w:tr>
        <w:trPr>
          <w:trHeight w:val="293"/>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(440) 439-7700</w:t>
            </w:r>
          </w:p>
        </w:tc>
        <w:tc>
          <w:tcPr>
            <w:tcW w:w="4080" w:type="dxa"/>
            <w:vAlign w:val="bottom"/>
          </w:tcPr>
          <w:p>
            <w:pPr>
              <w:spacing w:after="0"/>
              <w:rPr>
                <w:sz w:val="24"/>
                <w:szCs w:val="24"/>
                <w:color w:val="auto"/>
              </w:rPr>
            </w:pPr>
          </w:p>
        </w:tc>
      </w:tr>
      <w:tr>
        <w:trPr>
          <w:trHeight w:val="184"/>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gridSpan w:val="2"/>
          </w:tcPr>
          <w:p>
            <w:pPr>
              <w:jc w:val="center"/>
              <w:ind w:left="28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80" w:type="dxa"/>
            <w:vAlign w:val="bottom"/>
          </w:tcPr>
          <w:p>
            <w:pPr>
              <w:spacing w:after="0"/>
              <w:rPr>
                <w:sz w:val="16"/>
                <w:szCs w:val="16"/>
                <w:color w:val="auto"/>
              </w:rPr>
            </w:pPr>
          </w:p>
        </w:tc>
      </w:tr>
      <w:tr>
        <w:trPr>
          <w:trHeight w:val="318"/>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160"/>
        </w:trPr>
        <w:tc>
          <w:tcPr>
            <w:tcW w:w="3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tcPr>
          <w:p>
            <w:pPr>
              <w:spacing w:after="0"/>
              <w:rPr>
                <w:sz w:val="13"/>
                <w:szCs w:val="13"/>
                <w:color w:val="auto"/>
              </w:rPr>
            </w:pPr>
          </w:p>
        </w:tc>
      </w:tr>
      <w:tr>
        <w:trPr>
          <w:trHeight w:val="171"/>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1260" w:type="dxa"/>
            <w:vAlign w:val="bottom"/>
            <w:tcBorders>
              <w:bottom w:val="single" w:sz="8" w:color="auto"/>
            </w:tcBorders>
          </w:tcPr>
          <w:p>
            <w:pPr>
              <w:spacing w:after="0"/>
              <w:rPr>
                <w:sz w:val="14"/>
                <w:szCs w:val="14"/>
                <w:color w:val="auto"/>
              </w:rPr>
            </w:pPr>
          </w:p>
        </w:tc>
        <w:tc>
          <w:tcPr>
            <w:tcW w:w="4080" w:type="dxa"/>
            <w:vAlign w:val="bottom"/>
            <w:tcBorders>
              <w:bottom w:val="single" w:sz="8" w:color="auto"/>
              <w:right w:val="single" w:sz="8" w:color="auto"/>
            </w:tcBorders>
          </w:tcPr>
          <w:p>
            <w:pPr>
              <w:jc w:val="center"/>
              <w:ind w:right="120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1"/>
        </w:trPr>
        <w:tc>
          <w:tcPr>
            <w:tcW w:w="35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 per share</w:t>
            </w:r>
          </w:p>
        </w:tc>
        <w:tc>
          <w:tcPr>
            <w:tcW w:w="140" w:type="dxa"/>
            <w:vAlign w:val="bottom"/>
            <w:tcBorders>
              <w:bottom w:val="single" w:sz="8" w:color="auto"/>
            </w:tcBorders>
            <w:shd w:val="clear" w:color="auto" w:fill="CCEEFF"/>
          </w:tcPr>
          <w:p>
            <w:pPr>
              <w:spacing w:after="0"/>
              <w:rPr>
                <w:sz w:val="14"/>
                <w:szCs w:val="14"/>
                <w:color w:val="auto"/>
              </w:rPr>
            </w:pPr>
          </w:p>
        </w:tc>
        <w:tc>
          <w:tcPr>
            <w:tcW w:w="2240" w:type="dxa"/>
            <w:vAlign w:val="bottom"/>
            <w:tcBorders>
              <w:bottom w:val="single" w:sz="8" w:color="auto"/>
              <w:right w:val="single" w:sz="8" w:color="auto"/>
            </w:tcBorders>
            <w:shd w:val="clear" w:color="auto" w:fill="CCEEFF"/>
          </w:tcPr>
          <w:p>
            <w:pPr>
              <w:jc w:val="center"/>
              <w:ind w:right="63"/>
              <w:spacing w:after="0"/>
              <w:rPr>
                <w:sz w:val="20"/>
                <w:szCs w:val="20"/>
                <w:color w:val="auto"/>
              </w:rPr>
            </w:pPr>
            <w:r>
              <w:rPr>
                <w:rFonts w:ascii="Times New Roman" w:cs="Times New Roman" w:eastAsia="Times New Roman" w:hAnsi="Times New Roman"/>
                <w:sz w:val="14"/>
                <w:szCs w:val="14"/>
                <w:color w:val="auto"/>
              </w:rPr>
              <w:t>ARHS</w:t>
            </w:r>
          </w:p>
        </w:tc>
        <w:tc>
          <w:tcPr>
            <w:tcW w:w="1260" w:type="dxa"/>
            <w:vAlign w:val="bottom"/>
            <w:tcBorders>
              <w:bottom w:val="single" w:sz="8" w:color="auto"/>
            </w:tcBorders>
            <w:shd w:val="clear" w:color="auto" w:fill="CCEEFF"/>
          </w:tcPr>
          <w:p>
            <w:pPr>
              <w:spacing w:after="0"/>
              <w:rPr>
                <w:sz w:val="14"/>
                <w:szCs w:val="14"/>
                <w:color w:val="auto"/>
              </w:rPr>
            </w:pPr>
          </w:p>
        </w:tc>
        <w:tc>
          <w:tcPr>
            <w:tcW w:w="4080" w:type="dxa"/>
            <w:vAlign w:val="bottom"/>
            <w:tcBorders>
              <w:bottom w:val="single" w:sz="8" w:color="auto"/>
              <w:right w:val="single" w:sz="8" w:color="auto"/>
            </w:tcBorders>
            <w:shd w:val="clear" w:color="auto" w:fill="CCEEFF"/>
          </w:tcPr>
          <w:p>
            <w:pPr>
              <w:jc w:val="center"/>
              <w:ind w:right="1209"/>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198" w:lineRule="exact"/>
        <w:rPr>
          <w:sz w:val="24"/>
          <w:szCs w:val="24"/>
          <w:color w:val="auto"/>
        </w:rPr>
      </w:pPr>
    </w:p>
    <w:p>
      <w:pPr>
        <w:ind w:right="140"/>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07" w:lineRule="exact"/>
        <w:rPr>
          <w:sz w:val="24"/>
          <w:szCs w:val="24"/>
          <w:color w:val="auto"/>
        </w:rPr>
      </w:pPr>
    </w:p>
    <w:p>
      <w:pPr>
        <w:ind w:right="340"/>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60" w:type="dxa"/>
            <w:vAlign w:val="bottom"/>
          </w:tcPr>
          <w:p>
            <w:pPr>
              <w:ind w:left="900"/>
              <w:spacing w:after="0" w:line="171" w:lineRule="exact"/>
              <w:rPr>
                <w:sz w:val="20"/>
                <w:szCs w:val="20"/>
                <w:color w:val="auto"/>
              </w:rPr>
            </w:pPr>
            <w:r>
              <w:rPr>
                <w:rFonts w:ascii="MS PGothic" w:cs="MS PGothic" w:eastAsia="MS PGothic" w:hAnsi="MS PGothic"/>
                <w:sz w:val="17"/>
                <w:szCs w:val="17"/>
                <w:color w:val="auto"/>
              </w:rPr>
              <w:t>☐</w:t>
            </w:r>
          </w:p>
        </w:tc>
        <w:tc>
          <w:tcPr>
            <w:tcW w:w="464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Accelerated filer</w:t>
            </w:r>
          </w:p>
        </w:tc>
        <w:tc>
          <w:tcPr>
            <w:tcW w:w="1260" w:type="dxa"/>
            <w:vAlign w:val="bottom"/>
          </w:tcPr>
          <w:p>
            <w:pPr>
              <w:ind w:left="110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68"/>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60" w:type="dxa"/>
            <w:vAlign w:val="bottom"/>
          </w:tcPr>
          <w:p>
            <w:pPr>
              <w:ind w:left="900"/>
              <w:spacing w:after="0" w:line="171" w:lineRule="exact"/>
              <w:rPr>
                <w:sz w:val="20"/>
                <w:szCs w:val="20"/>
                <w:color w:val="auto"/>
              </w:rPr>
            </w:pPr>
            <w:r>
              <w:rPr>
                <w:rFonts w:ascii="MS PGothic" w:cs="MS PGothic" w:eastAsia="MS PGothic" w:hAnsi="MS PGothic"/>
                <w:sz w:val="17"/>
                <w:szCs w:val="17"/>
                <w:color w:val="auto"/>
              </w:rPr>
              <w:t>☒</w:t>
            </w:r>
          </w:p>
        </w:tc>
        <w:tc>
          <w:tcPr>
            <w:tcW w:w="464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60" w:type="dxa"/>
            <w:vAlign w:val="bottom"/>
            <w:vMerge w:val="restart"/>
          </w:tcPr>
          <w:p>
            <w:pPr>
              <w:ind w:left="110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57"/>
        </w:trPr>
        <w:tc>
          <w:tcPr>
            <w:tcW w:w="2180" w:type="dxa"/>
            <w:vAlign w:val="bottom"/>
            <w:vMerge w:val="continue"/>
          </w:tcPr>
          <w:p>
            <w:pPr>
              <w:spacing w:after="0"/>
              <w:rPr>
                <w:sz w:val="4"/>
                <w:szCs w:val="4"/>
                <w:color w:val="auto"/>
              </w:rPr>
            </w:pPr>
          </w:p>
        </w:tc>
        <w:tc>
          <w:tcPr>
            <w:tcW w:w="3060" w:type="dxa"/>
            <w:vAlign w:val="bottom"/>
          </w:tcPr>
          <w:p>
            <w:pPr>
              <w:spacing w:after="0"/>
              <w:rPr>
                <w:sz w:val="4"/>
                <w:szCs w:val="4"/>
                <w:color w:val="auto"/>
              </w:rPr>
            </w:pPr>
          </w:p>
        </w:tc>
        <w:tc>
          <w:tcPr>
            <w:tcW w:w="46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3060" w:type="dxa"/>
            <w:vAlign w:val="bottom"/>
          </w:tcPr>
          <w:p>
            <w:pPr>
              <w:spacing w:after="0"/>
              <w:rPr>
                <w:sz w:val="5"/>
                <w:szCs w:val="5"/>
                <w:color w:val="auto"/>
              </w:rPr>
            </w:pPr>
          </w:p>
        </w:tc>
        <w:tc>
          <w:tcPr>
            <w:tcW w:w="46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1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464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260" w:type="dxa"/>
            <w:vAlign w:val="bottom"/>
          </w:tcPr>
          <w:p>
            <w:pPr>
              <w:ind w:left="110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right="240"/>
        <w:spacing w:after="0" w:line="20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November 3, 2022 the registrant had 52,947,617 shares of Class A common stock and 87,115,600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648970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135890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156210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1840" w:type="dxa"/>
            <w:vAlign w:val="bottom"/>
            <w:tcBorders>
              <w:left w:val="single" w:sz="8" w:color="CCEEFF"/>
              <w:bottom w:val="single" w:sz="8" w:color="0000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0000FF"/>
              </w:rPr>
              <w:t>Part I - Financial Information</w:t>
            </w:r>
          </w:p>
        </w:tc>
        <w:tc>
          <w:tcPr>
            <w:tcW w:w="8640" w:type="dxa"/>
            <w:vAlign w:val="bottom"/>
            <w:tcBorders>
              <w:bottom w:val="single" w:sz="8" w:color="CCEEFF"/>
            </w:tcBorders>
            <w:gridSpan w:val="14"/>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54"/>
        </w:trPr>
        <w:tc>
          <w:tcPr>
            <w:tcW w:w="420" w:type="dxa"/>
            <w:vAlign w:val="bottom"/>
            <w:tcBorders>
              <w:bottom w:val="single" w:sz="8" w:color="0000FF"/>
            </w:tcBorders>
          </w:tcPr>
          <w:p>
            <w:pPr>
              <w:ind w:left="20"/>
              <w:spacing w:after="0" w:line="149" w:lineRule="exact"/>
              <w:rPr>
                <w:sz w:val="20"/>
                <w:szCs w:val="20"/>
                <w:color w:val="auto"/>
              </w:rPr>
            </w:pPr>
            <w:r>
              <w:rPr>
                <w:rFonts w:ascii="Times New Roman" w:cs="Times New Roman" w:eastAsia="Times New Roman" w:hAnsi="Times New Roman"/>
                <w:sz w:val="14"/>
                <w:szCs w:val="14"/>
                <w:color w:val="0000FF"/>
                <w:w w:val="95"/>
              </w:rPr>
              <w:t>Item 1.</w:t>
            </w:r>
          </w:p>
        </w:tc>
        <w:tc>
          <w:tcPr>
            <w:tcW w:w="600" w:type="dxa"/>
            <w:vAlign w:val="bottom"/>
            <w:gridSpan w:val="3"/>
          </w:tcPr>
          <w:p>
            <w:pPr>
              <w:spacing w:after="0"/>
              <w:rPr>
                <w:sz w:val="13"/>
                <w:szCs w:val="13"/>
                <w:color w:val="auto"/>
              </w:rPr>
            </w:pPr>
          </w:p>
        </w:tc>
        <w:tc>
          <w:tcPr>
            <w:tcW w:w="3040" w:type="dxa"/>
            <w:vAlign w:val="bottom"/>
            <w:tcBorders>
              <w:bottom w:val="single" w:sz="8" w:color="0000FF"/>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FF"/>
              </w:rPr>
              <w:t>Financial Statements of Arhaus, Inc. and Subsidiaries</w:t>
            </w:r>
          </w:p>
        </w:tc>
        <w:tc>
          <w:tcPr>
            <w:tcW w:w="6420" w:type="dxa"/>
            <w:vAlign w:val="bottom"/>
            <w:gridSpan w:val="8"/>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r>
      <w:tr>
        <w:trPr>
          <w:trHeight w:val="166"/>
        </w:trPr>
        <w:tc>
          <w:tcPr>
            <w:tcW w:w="42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3000" w:type="dxa"/>
            <w:vAlign w:val="bottom"/>
            <w:tcBorders>
              <w:bottom w:val="single" w:sz="8" w:color="0000FF"/>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Balance Sheets (unaudited)</w:t>
            </w:r>
          </w:p>
        </w:tc>
        <w:tc>
          <w:tcPr>
            <w:tcW w:w="6460" w:type="dxa"/>
            <w:vAlign w:val="bottom"/>
            <w:tcBorders>
              <w:bottom w:val="single" w:sz="8" w:color="CCEEFF"/>
            </w:tcBorders>
            <w:gridSpan w:val="9"/>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w:t>
            </w:r>
          </w:p>
        </w:tc>
      </w:tr>
      <w:tr>
        <w:trPr>
          <w:trHeight w:val="154"/>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300" w:type="dxa"/>
            <w:vAlign w:val="bottom"/>
            <w:tcBorders>
              <w:bottom w:val="single" w:sz="8" w:color="0000FF"/>
            </w:tcBorders>
            <w:gridSpan w:val="15"/>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Comprehensive Income (unaudited)</w:t>
            </w:r>
          </w:p>
        </w:tc>
        <w:tc>
          <w:tcPr>
            <w:tcW w:w="5160" w:type="dxa"/>
            <w:vAlign w:val="bottom"/>
            <w:gridSpan w:val="3"/>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r>
      <w:tr>
        <w:trPr>
          <w:trHeight w:val="166"/>
        </w:trPr>
        <w:tc>
          <w:tcPr>
            <w:tcW w:w="42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5340" w:type="dxa"/>
            <w:vAlign w:val="bottom"/>
            <w:tcBorders>
              <w:bottom w:val="single" w:sz="8" w:color="0000FF"/>
            </w:tcBorders>
            <w:gridSpan w:val="17"/>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Statements of Changes in Stockholders’ Equity (Deficit) (unaudited)</w:t>
            </w:r>
          </w:p>
        </w:tc>
        <w:tc>
          <w:tcPr>
            <w:tcW w:w="4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r>
      <w:tr>
        <w:trPr>
          <w:trHeight w:val="154"/>
        </w:trPr>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20" w:type="dxa"/>
            <w:vAlign w:val="bottom"/>
            <w:tcBorders>
              <w:bottom w:val="single" w:sz="8" w:color="0000FF"/>
            </w:tcBorders>
            <w:gridSpan w:val="13"/>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Cash Flows (unaudited)</w:t>
            </w:r>
          </w:p>
        </w:tc>
        <w:tc>
          <w:tcPr>
            <w:tcW w:w="5840" w:type="dxa"/>
            <w:vAlign w:val="bottom"/>
            <w:gridSpan w:val="5"/>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r>
      <w:tr>
        <w:trPr>
          <w:trHeight w:val="166"/>
        </w:trPr>
        <w:tc>
          <w:tcPr>
            <w:tcW w:w="420" w:type="dxa"/>
            <w:vAlign w:val="bottom"/>
            <w:tcBorders>
              <w:left w:val="single" w:sz="8" w:color="CCEEFF"/>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3840" w:type="dxa"/>
            <w:vAlign w:val="bottom"/>
            <w:tcBorders>
              <w:bottom w:val="single" w:sz="8" w:color="0000FF"/>
            </w:tcBorders>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Notes to Condensed Consolidated Financial Statements (unaudited)</w:t>
            </w:r>
          </w:p>
        </w:tc>
        <w:tc>
          <w:tcPr>
            <w:tcW w:w="5620" w:type="dxa"/>
            <w:vAlign w:val="bottom"/>
            <w:tcBorders>
              <w:bottom w:val="single" w:sz="8" w:color="CCEEFF"/>
            </w:tcBorders>
            <w:gridSpan w:val="4"/>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w:t>
            </w:r>
          </w:p>
        </w:tc>
      </w:tr>
      <w:tr>
        <w:trPr>
          <w:trHeight w:val="154"/>
        </w:trPr>
        <w:tc>
          <w:tcPr>
            <w:tcW w:w="4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0000FF"/>
                <w:w w:val="95"/>
              </w:rPr>
              <w:t>Item 2.</w:t>
            </w:r>
          </w:p>
        </w:tc>
        <w:tc>
          <w:tcPr>
            <w:tcW w:w="600" w:type="dxa"/>
            <w:vAlign w:val="bottom"/>
            <w:gridSpan w:val="3"/>
          </w:tcPr>
          <w:p>
            <w:pPr>
              <w:spacing w:after="0"/>
              <w:rPr>
                <w:sz w:val="13"/>
                <w:szCs w:val="13"/>
                <w:color w:val="auto"/>
              </w:rPr>
            </w:pPr>
          </w:p>
        </w:tc>
        <w:tc>
          <w:tcPr>
            <w:tcW w:w="946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r>
      <w:tr>
        <w:trPr>
          <w:trHeight w:val="166"/>
        </w:trPr>
        <w:tc>
          <w:tcPr>
            <w:tcW w:w="420" w:type="dxa"/>
            <w:vAlign w:val="bottom"/>
            <w:tcBorders>
              <w:top w:val="single" w:sz="8" w:color="0000FF"/>
              <w:left w:val="single" w:sz="8" w:color="CCEEFF"/>
              <w:bottom w:val="single" w:sz="8" w:color="0000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95"/>
              </w:rPr>
              <w:t>Item 3.</w:t>
            </w:r>
          </w:p>
        </w:tc>
        <w:tc>
          <w:tcPr>
            <w:tcW w:w="600" w:type="dxa"/>
            <w:vAlign w:val="bottom"/>
            <w:tcBorders>
              <w:bottom w:val="single" w:sz="8" w:color="CCEEFF"/>
            </w:tcBorders>
            <w:gridSpan w:val="3"/>
            <w:shd w:val="clear" w:color="auto" w:fill="CCEEFF"/>
          </w:tcPr>
          <w:p>
            <w:pPr>
              <w:spacing w:after="0"/>
              <w:rPr>
                <w:sz w:val="14"/>
                <w:szCs w:val="14"/>
                <w:color w:val="auto"/>
              </w:rPr>
            </w:pPr>
          </w:p>
        </w:tc>
        <w:tc>
          <w:tcPr>
            <w:tcW w:w="3440" w:type="dxa"/>
            <w:vAlign w:val="bottom"/>
            <w:tcBorders>
              <w:top w:val="single" w:sz="8" w:color="0000FF"/>
              <w:bottom w:val="single" w:sz="8" w:color="0000FF"/>
            </w:tcBorders>
            <w:gridSpan w:val="1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4380" w:type="dxa"/>
            <w:vAlign w:val="bottom"/>
            <w:tcBorders>
              <w:bottom w:val="single" w:sz="8" w:color="CCEEFF"/>
            </w:tcBorders>
            <w:gridSpan w:val="2"/>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w:t>
            </w:r>
          </w:p>
        </w:tc>
      </w:tr>
      <w:tr>
        <w:trPr>
          <w:trHeight w:val="154"/>
        </w:trPr>
        <w:tc>
          <w:tcPr>
            <w:tcW w:w="420" w:type="dxa"/>
            <w:vAlign w:val="bottom"/>
            <w:tcBorders>
              <w:bottom w:val="single" w:sz="8" w:color="0000FF"/>
            </w:tcBorders>
          </w:tcPr>
          <w:p>
            <w:pPr>
              <w:ind w:left="20"/>
              <w:spacing w:after="0" w:line="149" w:lineRule="exact"/>
              <w:rPr>
                <w:sz w:val="20"/>
                <w:szCs w:val="20"/>
                <w:color w:val="auto"/>
              </w:rPr>
            </w:pPr>
            <w:r>
              <w:rPr>
                <w:rFonts w:ascii="Times New Roman" w:cs="Times New Roman" w:eastAsia="Times New Roman" w:hAnsi="Times New Roman"/>
                <w:sz w:val="14"/>
                <w:szCs w:val="14"/>
                <w:color w:val="0000FF"/>
                <w:w w:val="95"/>
              </w:rPr>
              <w:t>Item 4.</w:t>
            </w:r>
          </w:p>
        </w:tc>
        <w:tc>
          <w:tcPr>
            <w:tcW w:w="600" w:type="dxa"/>
            <w:vAlign w:val="bottom"/>
            <w:gridSpan w:val="3"/>
          </w:tcPr>
          <w:p>
            <w:pPr>
              <w:spacing w:after="0"/>
              <w:rPr>
                <w:sz w:val="13"/>
                <w:szCs w:val="13"/>
                <w:color w:val="auto"/>
              </w:rPr>
            </w:pPr>
          </w:p>
        </w:tc>
        <w:tc>
          <w:tcPr>
            <w:tcW w:w="1400" w:type="dxa"/>
            <w:vAlign w:val="bottom"/>
            <w:tcBorders>
              <w:bottom w:val="single" w:sz="8" w:color="0000FF"/>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FF"/>
              </w:rPr>
              <w:t>Controls and Procedures</w:t>
            </w:r>
          </w:p>
        </w:tc>
        <w:tc>
          <w:tcPr>
            <w:tcW w:w="8060" w:type="dxa"/>
            <w:vAlign w:val="bottom"/>
            <w:gridSpan w:val="11"/>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r>
      <w:tr>
        <w:trPr>
          <w:trHeight w:val="166"/>
        </w:trPr>
        <w:tc>
          <w:tcPr>
            <w:tcW w:w="1640" w:type="dxa"/>
            <w:vAlign w:val="bottom"/>
            <w:tcBorders>
              <w:left w:val="single" w:sz="8" w:color="CCEEFF"/>
              <w:bottom w:val="single" w:sz="8" w:color="0000FF"/>
            </w:tcBorders>
            <w:gridSpan w:val="6"/>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0000FF"/>
                <w:w w:val="99"/>
              </w:rPr>
              <w:t>Part II. Other Information</w:t>
            </w:r>
          </w:p>
        </w:tc>
        <w:tc>
          <w:tcPr>
            <w:tcW w:w="8840" w:type="dxa"/>
            <w:vAlign w:val="bottom"/>
            <w:tcBorders>
              <w:bottom w:val="single" w:sz="8" w:color="CCEEFF"/>
            </w:tcBorders>
            <w:gridSpan w:val="16"/>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w:t>
            </w:r>
          </w:p>
        </w:tc>
      </w:tr>
      <w:tr>
        <w:trPr>
          <w:trHeight w:val="154"/>
        </w:trPr>
        <w:tc>
          <w:tcPr>
            <w:tcW w:w="420" w:type="dxa"/>
            <w:vAlign w:val="bottom"/>
            <w:tcBorders>
              <w:bottom w:val="single" w:sz="8" w:color="0000FF"/>
            </w:tcBorders>
          </w:tcPr>
          <w:p>
            <w:pPr>
              <w:ind w:left="20"/>
              <w:spacing w:after="0" w:line="149" w:lineRule="exact"/>
              <w:rPr>
                <w:sz w:val="20"/>
                <w:szCs w:val="20"/>
                <w:color w:val="auto"/>
              </w:rPr>
            </w:pPr>
            <w:r>
              <w:rPr>
                <w:rFonts w:ascii="Times New Roman" w:cs="Times New Roman" w:eastAsia="Times New Roman" w:hAnsi="Times New Roman"/>
                <w:sz w:val="14"/>
                <w:szCs w:val="14"/>
                <w:color w:val="0000FF"/>
                <w:w w:val="95"/>
              </w:rPr>
              <w:t>Item 1.</w:t>
            </w:r>
          </w:p>
        </w:tc>
        <w:tc>
          <w:tcPr>
            <w:tcW w:w="600" w:type="dxa"/>
            <w:vAlign w:val="bottom"/>
            <w:gridSpan w:val="3"/>
          </w:tcPr>
          <w:p>
            <w:pPr>
              <w:spacing w:after="0"/>
              <w:rPr>
                <w:sz w:val="13"/>
                <w:szCs w:val="13"/>
                <w:color w:val="auto"/>
              </w:rPr>
            </w:pPr>
          </w:p>
        </w:tc>
        <w:tc>
          <w:tcPr>
            <w:tcW w:w="1060" w:type="dxa"/>
            <w:vAlign w:val="bottom"/>
            <w:tcBorders>
              <w:bottom w:val="single" w:sz="8" w:color="0000FF"/>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8400" w:type="dxa"/>
            <w:vAlign w:val="bottom"/>
            <w:gridSpan w:val="12"/>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r>
      <w:tr>
        <w:trPr>
          <w:trHeight w:val="154"/>
        </w:trPr>
        <w:tc>
          <w:tcPr>
            <w:tcW w:w="1020" w:type="dxa"/>
            <w:vAlign w:val="bottom"/>
            <w:tcBorders>
              <w:left w:val="single" w:sz="8" w:color="CCEEFF"/>
            </w:tcBorders>
            <w:gridSpan w:val="4"/>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Item 1A.</w:t>
            </w:r>
          </w:p>
        </w:tc>
        <w:tc>
          <w:tcPr>
            <w:tcW w:w="9460" w:type="dxa"/>
            <w:vAlign w:val="bottom"/>
            <w:gridSpan w:val="1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Risk Factors</w:t>
            </w:r>
          </w:p>
        </w:tc>
        <w:tc>
          <w:tcPr>
            <w:tcW w:w="8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w:t>
            </w:r>
          </w:p>
        </w:tc>
      </w:tr>
      <w:tr>
        <w:trPr>
          <w:trHeight w:val="32"/>
        </w:trPr>
        <w:tc>
          <w:tcPr>
            <w:tcW w:w="420" w:type="dxa"/>
            <w:vAlign w:val="bottom"/>
            <w:tcBorders>
              <w:left w:val="single" w:sz="8" w:color="CCEE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r>
        <w:trPr>
          <w:trHeight w:val="154"/>
        </w:trPr>
        <w:tc>
          <w:tcPr>
            <w:tcW w:w="4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0000FF"/>
                <w:w w:val="95"/>
              </w:rPr>
              <w:t>Item 2.</w:t>
            </w:r>
          </w:p>
        </w:tc>
        <w:tc>
          <w:tcPr>
            <w:tcW w:w="10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9460" w:type="dxa"/>
            <w:vAlign w:val="bottom"/>
            <w:gridSpan w:val="18"/>
          </w:tcPr>
          <w:p>
            <w:pPr>
              <w:spacing w:after="0" w:line="149"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r>
      <w:tr>
        <w:trPr>
          <w:trHeight w:val="166"/>
        </w:trPr>
        <w:tc>
          <w:tcPr>
            <w:tcW w:w="420" w:type="dxa"/>
            <w:vAlign w:val="bottom"/>
            <w:tcBorders>
              <w:top w:val="single" w:sz="8" w:color="0000FF"/>
              <w:left w:val="single" w:sz="8" w:color="CCEEFF"/>
              <w:bottom w:val="single" w:sz="8" w:color="0000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95"/>
              </w:rPr>
              <w:t>Item 3.</w:t>
            </w:r>
          </w:p>
        </w:tc>
        <w:tc>
          <w:tcPr>
            <w:tcW w:w="600" w:type="dxa"/>
            <w:vAlign w:val="bottom"/>
            <w:tcBorders>
              <w:bottom w:val="single" w:sz="8" w:color="CCEEFF"/>
            </w:tcBorders>
            <w:gridSpan w:val="3"/>
            <w:shd w:val="clear" w:color="auto" w:fill="CCEEFF"/>
          </w:tcPr>
          <w:p>
            <w:pPr>
              <w:spacing w:after="0"/>
              <w:rPr>
                <w:sz w:val="14"/>
                <w:szCs w:val="14"/>
                <w:color w:val="auto"/>
              </w:rPr>
            </w:pPr>
          </w:p>
        </w:tc>
        <w:tc>
          <w:tcPr>
            <w:tcW w:w="1840" w:type="dxa"/>
            <w:vAlign w:val="bottom"/>
            <w:tcBorders>
              <w:top w:val="single" w:sz="8" w:color="0000FF"/>
              <w:bottom w:val="single" w:sz="8" w:color="0000FF"/>
            </w:tcBorders>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158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6040" w:type="dxa"/>
            <w:vAlign w:val="bottom"/>
            <w:tcBorders>
              <w:bottom w:val="single" w:sz="8" w:color="CCEEFF"/>
            </w:tcBorders>
            <w:gridSpan w:val="7"/>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w:t>
            </w:r>
          </w:p>
        </w:tc>
      </w:tr>
      <w:tr>
        <w:trPr>
          <w:trHeight w:val="154"/>
        </w:trPr>
        <w:tc>
          <w:tcPr>
            <w:tcW w:w="420" w:type="dxa"/>
            <w:vAlign w:val="bottom"/>
            <w:tcBorders>
              <w:bottom w:val="single" w:sz="8" w:color="0000FF"/>
            </w:tcBorders>
          </w:tcPr>
          <w:p>
            <w:pPr>
              <w:ind w:left="20"/>
              <w:spacing w:after="0" w:line="149" w:lineRule="exact"/>
              <w:rPr>
                <w:sz w:val="20"/>
                <w:szCs w:val="20"/>
                <w:color w:val="auto"/>
              </w:rPr>
            </w:pPr>
            <w:r>
              <w:rPr>
                <w:rFonts w:ascii="Times New Roman" w:cs="Times New Roman" w:eastAsia="Times New Roman" w:hAnsi="Times New Roman"/>
                <w:sz w:val="14"/>
                <w:szCs w:val="14"/>
                <w:color w:val="0000FF"/>
                <w:w w:val="95"/>
              </w:rPr>
              <w:t>Item 4.</w:t>
            </w:r>
          </w:p>
        </w:tc>
        <w:tc>
          <w:tcPr>
            <w:tcW w:w="600" w:type="dxa"/>
            <w:vAlign w:val="bottom"/>
            <w:gridSpan w:val="3"/>
          </w:tcPr>
          <w:p>
            <w:pPr>
              <w:spacing w:after="0"/>
              <w:rPr>
                <w:sz w:val="13"/>
                <w:szCs w:val="13"/>
                <w:color w:val="auto"/>
              </w:rPr>
            </w:pPr>
          </w:p>
        </w:tc>
        <w:tc>
          <w:tcPr>
            <w:tcW w:w="1400" w:type="dxa"/>
            <w:vAlign w:val="bottom"/>
            <w:tcBorders>
              <w:bottom w:val="single" w:sz="8" w:color="0000FF"/>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FF"/>
              </w:rPr>
              <w:t>Mine Safety Disclosures</w:t>
            </w:r>
          </w:p>
        </w:tc>
        <w:tc>
          <w:tcPr>
            <w:tcW w:w="8060" w:type="dxa"/>
            <w:vAlign w:val="bottom"/>
            <w:gridSpan w:val="11"/>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r>
      <w:tr>
        <w:trPr>
          <w:trHeight w:val="166"/>
        </w:trPr>
        <w:tc>
          <w:tcPr>
            <w:tcW w:w="420" w:type="dxa"/>
            <w:vAlign w:val="bottom"/>
            <w:tcBorders>
              <w:left w:val="single" w:sz="8" w:color="CCEEFF"/>
              <w:bottom w:val="single" w:sz="8" w:color="0000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95"/>
              </w:rPr>
              <w:t>Item 5.</w:t>
            </w:r>
          </w:p>
        </w:tc>
        <w:tc>
          <w:tcPr>
            <w:tcW w:w="600" w:type="dxa"/>
            <w:vAlign w:val="bottom"/>
            <w:tcBorders>
              <w:bottom w:val="single" w:sz="8" w:color="CCEEFF"/>
            </w:tcBorders>
            <w:gridSpan w:val="3"/>
            <w:shd w:val="clear" w:color="auto" w:fill="CCEEFF"/>
          </w:tcPr>
          <w:p>
            <w:pPr>
              <w:spacing w:after="0"/>
              <w:rPr>
                <w:sz w:val="14"/>
                <w:szCs w:val="14"/>
                <w:color w:val="auto"/>
              </w:rPr>
            </w:pPr>
          </w:p>
        </w:tc>
        <w:tc>
          <w:tcPr>
            <w:tcW w:w="1040" w:type="dxa"/>
            <w:vAlign w:val="bottom"/>
            <w:tcBorders>
              <w:bottom w:val="single" w:sz="8" w:color="0000FF"/>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Other Information</w:t>
            </w:r>
          </w:p>
        </w:tc>
        <w:tc>
          <w:tcPr>
            <w:tcW w:w="8420" w:type="dxa"/>
            <w:vAlign w:val="bottom"/>
            <w:tcBorders>
              <w:bottom w:val="single" w:sz="8" w:color="CCEEFF"/>
            </w:tcBorders>
            <w:gridSpan w:val="13"/>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w:t>
            </w:r>
          </w:p>
        </w:tc>
      </w:tr>
      <w:tr>
        <w:trPr>
          <w:trHeight w:val="154"/>
        </w:trPr>
        <w:tc>
          <w:tcPr>
            <w:tcW w:w="420" w:type="dxa"/>
            <w:vAlign w:val="bottom"/>
            <w:tcBorders>
              <w:bottom w:val="single" w:sz="8" w:color="0000FF"/>
            </w:tcBorders>
          </w:tcPr>
          <w:p>
            <w:pPr>
              <w:ind w:left="20"/>
              <w:spacing w:after="0" w:line="149" w:lineRule="exact"/>
              <w:rPr>
                <w:sz w:val="20"/>
                <w:szCs w:val="20"/>
                <w:color w:val="auto"/>
              </w:rPr>
            </w:pPr>
            <w:r>
              <w:rPr>
                <w:rFonts w:ascii="Times New Roman" w:cs="Times New Roman" w:eastAsia="Times New Roman" w:hAnsi="Times New Roman"/>
                <w:sz w:val="14"/>
                <w:szCs w:val="14"/>
                <w:color w:val="0000FF"/>
                <w:w w:val="95"/>
              </w:rPr>
              <w:t>Item 6.</w:t>
            </w:r>
          </w:p>
        </w:tc>
        <w:tc>
          <w:tcPr>
            <w:tcW w:w="600" w:type="dxa"/>
            <w:vAlign w:val="bottom"/>
            <w:gridSpan w:val="3"/>
          </w:tcPr>
          <w:p>
            <w:pPr>
              <w:spacing w:after="0"/>
              <w:rPr>
                <w:sz w:val="13"/>
                <w:szCs w:val="13"/>
                <w:color w:val="auto"/>
              </w:rPr>
            </w:pPr>
          </w:p>
        </w:tc>
        <w:tc>
          <w:tcPr>
            <w:tcW w:w="480" w:type="dxa"/>
            <w:vAlign w:val="bottom"/>
            <w:tcBorders>
              <w:bottom w:val="single" w:sz="8" w:color="0000FF"/>
            </w:tcBorders>
          </w:tcPr>
          <w:p>
            <w:pPr>
              <w:spacing w:after="0" w:line="149" w:lineRule="exact"/>
              <w:rPr>
                <w:sz w:val="20"/>
                <w:szCs w:val="20"/>
                <w:color w:val="auto"/>
              </w:rPr>
            </w:pPr>
            <w:r>
              <w:rPr>
                <w:rFonts w:ascii="Times New Roman" w:cs="Times New Roman" w:eastAsia="Times New Roman" w:hAnsi="Times New Roman"/>
                <w:sz w:val="14"/>
                <w:szCs w:val="14"/>
                <w:color w:val="0000FF"/>
                <w:w w:val="98"/>
              </w:rPr>
              <w:t>Exhibits</w:t>
            </w:r>
          </w:p>
        </w:tc>
        <w:tc>
          <w:tcPr>
            <w:tcW w:w="8980" w:type="dxa"/>
            <w:vAlign w:val="bottom"/>
            <w:gridSpan w:val="17"/>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r>
      <w:tr>
        <w:trPr>
          <w:trHeight w:val="166"/>
        </w:trPr>
        <w:tc>
          <w:tcPr>
            <w:tcW w:w="1020" w:type="dxa"/>
            <w:vAlign w:val="bottom"/>
            <w:tcBorders>
              <w:left w:val="single" w:sz="8" w:color="CCEEFF"/>
            </w:tcBorders>
            <w:gridSpan w:val="4"/>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0000FF"/>
              </w:rPr>
              <w:t>Signatures</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w:t>
            </w:r>
          </w:p>
        </w:tc>
      </w:tr>
      <w:tr>
        <w:trPr>
          <w:trHeight w:val="870"/>
        </w:trPr>
        <w:tc>
          <w:tcPr>
            <w:tcW w:w="4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080" w:type="dxa"/>
            <w:vAlign w:val="bottom"/>
            <w:tcBorders>
              <w:top w:val="single" w:sz="8" w:color="CCEEFF"/>
            </w:tcBorders>
            <w:gridSpan w:val="16"/>
          </w:tcPr>
          <w:p>
            <w:pPr>
              <w:ind w:left="4580"/>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top w:val="single" w:sz="8" w:color="CCEEFF"/>
            </w:tcBorders>
          </w:tcPr>
          <w:p>
            <w:pPr>
              <w:spacing w:after="0"/>
              <w:rPr>
                <w:sz w:val="24"/>
                <w:szCs w:val="24"/>
                <w:color w:val="auto"/>
              </w:rPr>
            </w:pPr>
          </w:p>
        </w:tc>
        <w:tc>
          <w:tcPr>
            <w:tcW w:w="41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256"/>
        </w:trPr>
        <w:tc>
          <w:tcPr>
            <w:tcW w:w="4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48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440" w:type="dxa"/>
            <w:vAlign w:val="bottom"/>
            <w:tcBorders>
              <w:bottom w:val="single" w:sz="8" w:color="9A9A9A"/>
            </w:tcBorders>
          </w:tcPr>
          <w:p>
            <w:pPr>
              <w:spacing w:after="0"/>
              <w:rPr>
                <w:sz w:val="22"/>
                <w:szCs w:val="22"/>
                <w:color w:val="auto"/>
              </w:rPr>
            </w:pPr>
          </w:p>
        </w:tc>
        <w:tc>
          <w:tcPr>
            <w:tcW w:w="116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78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4120" w:type="dxa"/>
            <w:vAlign w:val="bottom"/>
            <w:tcBorders>
              <w:bottom w:val="single" w:sz="8" w:color="9A9A9A"/>
            </w:tcBorders>
          </w:tcPr>
          <w:p>
            <w:pPr>
              <w:spacing w:after="0"/>
              <w:rPr>
                <w:sz w:val="22"/>
                <w:szCs w:val="22"/>
                <w:color w:val="auto"/>
              </w:rPr>
            </w:pPr>
          </w:p>
        </w:tc>
        <w:tc>
          <w:tcPr>
            <w:tcW w:w="80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 of Arhaus, Inc. and Subsidiaries</w:t>
      </w:r>
    </w:p>
    <w:p>
      <w:pPr>
        <w:spacing w:after="0" w:line="17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jc w:val="center"/>
        <w:ind w:right="460"/>
        <w:spacing w:after="0" w:line="221" w:lineRule="auto"/>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ind w:left="3360"/>
        <w:spacing w:after="0"/>
        <w:rPr>
          <w:sz w:val="20"/>
          <w:szCs w:val="20"/>
          <w:color w:val="auto"/>
        </w:rPr>
      </w:pPr>
      <w:r>
        <w:rPr>
          <w:rFonts w:ascii="Times New Roman" w:cs="Times New Roman" w:eastAsia="Times New Roman" w:hAnsi="Times New Roman"/>
          <w:sz w:val="14"/>
          <w:szCs w:val="14"/>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68649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4985" cy="698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4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7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145,737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123,777</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7,131</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Merchandise inventory, net</w:t>
            </w: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292,571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208,343</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28,517</w:t>
            </w:r>
          </w:p>
        </w:tc>
      </w:tr>
      <w:tr>
        <w:trPr>
          <w:trHeight w:val="181"/>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482,298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367,996</w:t>
            </w: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224,921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right-of-use assets</w:t>
            </w: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39,062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furniture and equipment, net</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128,783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179,631</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27,684</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10,961</w:t>
            </w: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r>
      <w:tr>
        <w:trPr>
          <w:trHeight w:val="196"/>
        </w:trPr>
        <w:tc>
          <w:tcPr>
            <w:tcW w:w="7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907,208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586,550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ectPr>
          <w:pgSz w:w="11900" w:h="16838" w:orient="portrait"/>
          <w:cols w:equalWidth="0" w:num="1">
            <w:col w:w="11280"/>
          </w:cols>
          <w:pgMar w:left="300" w:top="452" w:right="319" w:bottom="1440" w:gutter="0" w:footer="0" w:header="0"/>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61530" cy="128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liabilities</w:t>
      </w:r>
    </w:p>
    <w:p>
      <w:pPr>
        <w:spacing w:after="0" w:line="23" w:lineRule="exact"/>
        <w:rPr>
          <w:sz w:val="20"/>
          <w:szCs w:val="20"/>
          <w:color w:val="auto"/>
        </w:rPr>
      </w:pPr>
    </w:p>
    <w:p>
      <w:pPr>
        <w:ind w:left="20"/>
        <w:spacing w:after="0"/>
        <w:tabs>
          <w:tab w:leader="none" w:pos="7700" w:val="left"/>
        </w:tabs>
        <w:rPr>
          <w:sz w:val="20"/>
          <w:szCs w:val="20"/>
          <w:color w:val="auto"/>
        </w:rPr>
      </w:pPr>
      <w:r>
        <w:rPr>
          <w:rFonts w:ascii="Times New Roman" w:cs="Times New Roman" w:eastAsia="Times New Roman" w:hAnsi="Times New Roman"/>
          <w:sz w:val="14"/>
          <w:szCs w:val="14"/>
          <w:color w:val="auto"/>
        </w:rPr>
        <w:t>Accounts payable</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taxes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wages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Accrued other expenses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Client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portion of financing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lease liabilities,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16153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Financing lease liabilities, long-term</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Capital lease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Deferred rent and lease incentives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6153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6" w:lineRule="exact"/>
        <w:rPr>
          <w:sz w:val="20"/>
          <w:szCs w:val="20"/>
          <w:color w:val="auto"/>
        </w:rPr>
      </w:pPr>
    </w:p>
    <w:p>
      <w:pPr>
        <w:ind w:left="280"/>
        <w:spacing w:after="0"/>
        <w:tabs>
          <w:tab w:leader="none" w:pos="7700" w:val="left"/>
        </w:tabs>
        <w:rPr>
          <w:sz w:val="20"/>
          <w:szCs w:val="20"/>
          <w:color w:val="auto"/>
        </w:rPr>
      </w:pPr>
      <w:r>
        <w:rPr>
          <w:rFonts w:ascii="Times New Roman" w:cs="Times New Roman" w:eastAsia="Times New Roman" w:hAnsi="Times New Roman"/>
          <w:sz w:val="14"/>
          <w:szCs w:val="14"/>
          <w:color w:val="auto"/>
        </w:rPr>
        <w:t>Total liabilities</w:t>
      </w:r>
      <w:r>
        <w:rPr>
          <w:sz w:val="20"/>
          <w:szCs w:val="20"/>
          <w:color w:val="auto"/>
        </w:rPr>
        <w:tab/>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Stockholders' equity</w:t>
      </w:r>
    </w:p>
    <w:p>
      <w:pPr>
        <w:spacing w:after="0" w:line="19" w:lineRule="exact"/>
        <w:rPr>
          <w:sz w:val="20"/>
          <w:szCs w:val="20"/>
          <w:color w:val="auto"/>
        </w:rPr>
      </w:pPr>
    </w:p>
    <w:p>
      <w:pPr>
        <w:ind w:left="20" w:right="680"/>
        <w:spacing w:after="0" w:line="229" w:lineRule="auto"/>
        <w:rPr>
          <w:sz w:val="20"/>
          <w:szCs w:val="20"/>
          <w:color w:val="auto"/>
        </w:rPr>
      </w:pPr>
      <w:r>
        <w:rPr>
          <w:rFonts w:ascii="Times New Roman" w:cs="Times New Roman" w:eastAsia="Times New Roman" w:hAnsi="Times New Roman"/>
          <w:sz w:val="14"/>
          <w:szCs w:val="14"/>
          <w:color w:val="auto"/>
        </w:rPr>
        <w:t>Class A shares, par value $0.001 per share (600,000,000 shares authorized, 51,437,348 and 50,427,390 shares issued and outstanding as of September 30,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161530" cy="201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201930"/>
                    </a:xfrm>
                    <a:prstGeom prst="rect">
                      <a:avLst/>
                    </a:prstGeom>
                    <a:noFill/>
                  </pic:spPr>
                </pic:pic>
              </a:graphicData>
            </a:graphic>
          </wp:anchor>
        </w:drawing>
      </w:r>
    </w:p>
    <w:p>
      <w:pPr>
        <w:ind w:left="20" w:right="700"/>
        <w:spacing w:after="0" w:line="232" w:lineRule="auto"/>
        <w:rPr>
          <w:sz w:val="20"/>
          <w:szCs w:val="20"/>
          <w:color w:val="auto"/>
        </w:rPr>
      </w:pPr>
      <w:r>
        <w:rPr>
          <w:rFonts w:ascii="Times New Roman" w:cs="Times New Roman" w:eastAsia="Times New Roman" w:hAnsi="Times New Roman"/>
          <w:sz w:val="14"/>
          <w:szCs w:val="14"/>
          <w:color w:val="auto"/>
        </w:rPr>
        <w:t>Class B shares, par value $0.001 per share (100,000,000 shares authorized, 87,115,600 and 86,519,002 shares issued and outstanding as of September 30, 2022 and December 31, 2021, respectively)</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16153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58,455</w:t>
            </w: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51,429</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12,706</w:t>
            </w: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7,302</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17,498</w:t>
            </w: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16,524</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33,756</w:t>
            </w: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61,047</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261,801</w:t>
            </w: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264,929</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39,248</w:t>
            </w: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522</w:t>
            </w:r>
          </w:p>
        </w:tc>
        <w:tc>
          <w:tcPr>
            <w:tcW w:w="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8"/>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423,986</w:t>
            </w: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401,231</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263,753</w:t>
            </w: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51,908</w:t>
            </w: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50,525</w:t>
            </w:r>
          </w:p>
        </w:tc>
      </w:tr>
      <w:tr>
        <w:trPr>
          <w:trHeight w:val="180"/>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2,353</w:t>
            </w: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63,037</w:t>
            </w:r>
          </w:p>
        </w:tc>
      </w:tr>
      <w:tr>
        <w:trPr>
          <w:trHeight w:val="184"/>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4,413</w:t>
            </w:r>
          </w:p>
        </w:tc>
        <w:tc>
          <w:tcPr>
            <w:tcW w:w="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r>
      <w:tr>
        <w:trPr>
          <w:trHeight w:val="18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746,413</w:t>
            </w: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516,785</w:t>
            </w:r>
          </w:p>
        </w:tc>
      </w:tr>
      <w:tr>
        <w:trPr>
          <w:trHeight w:val="659"/>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51</w:t>
            </w: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315"/>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87</w:t>
            </w:r>
          </w:p>
        </w:tc>
        <w:tc>
          <w:tcPr>
            <w:tcW w:w="6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80"/>
        </w:trPr>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(26,948)</w:t>
            </w: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(116,581)</w:t>
            </w:r>
          </w:p>
        </w:tc>
      </w:tr>
      <w:tr>
        <w:trPr>
          <w:trHeight w:val="18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187,605</w:t>
            </w: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-988695</wp:posOffset>
            </wp:positionV>
            <wp:extent cx="112522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5220" cy="698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-1689100</wp:posOffset>
            </wp:positionV>
            <wp:extent cx="112522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25220" cy="69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240" w:space="720"/>
            <w:col w:w="2320"/>
          </w:cols>
          <w:pgMar w:left="300" w:top="452" w:right="3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77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Arhaus, Inc. stockholders' equity</w:t>
            </w:r>
          </w:p>
        </w:tc>
        <w:tc>
          <w:tcPr>
            <w:tcW w:w="68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160,795</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69,765</w:t>
            </w:r>
          </w:p>
        </w:tc>
      </w:tr>
      <w:tr>
        <w:trPr>
          <w:trHeight w:val="171"/>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6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907,208</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586,550</w:t>
            </w:r>
          </w:p>
        </w:tc>
      </w:tr>
      <w:tr>
        <w:trPr>
          <w:trHeight w:val="20"/>
        </w:trPr>
        <w:tc>
          <w:tcPr>
            <w:tcW w:w="7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52" w:right="3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6"/>
                <w:szCs w:val="16"/>
                <w:color w:val="auto"/>
              </w:rPr>
            </w:pPr>
          </w:p>
        </w:tc>
        <w:tc>
          <w:tcPr>
            <w:tcW w:w="2780" w:type="dxa"/>
            <w:vAlign w:val="bottom"/>
            <w:gridSpan w:val="4"/>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71"/>
        </w:trPr>
        <w:tc>
          <w:tcPr>
            <w:tcW w:w="482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872,595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558,690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320,030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203,333</w:t>
            </w:r>
          </w:p>
        </w:tc>
      </w:tr>
      <w:tr>
        <w:trPr>
          <w:trHeight w:val="18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505,561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325,710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183,739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118,522</w:t>
            </w:r>
          </w:p>
        </w:tc>
      </w:tr>
      <w:tr>
        <w:trPr>
          <w:trHeight w:val="171"/>
        </w:trPr>
        <w:tc>
          <w:tcPr>
            <w:tcW w:w="4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margin</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367,034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136,291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84,811</w:t>
            </w:r>
          </w:p>
        </w:tc>
      </w:tr>
      <w:tr>
        <w:trPr>
          <w:trHeight w:val="18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246,767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196,443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89,145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68,266</w:t>
            </w:r>
          </w:p>
        </w:tc>
      </w:t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r>
      <w:tr>
        <w:trPr>
          <w:trHeight w:val="171"/>
        </w:trPr>
        <w:tc>
          <w:tcPr>
            <w:tcW w:w="4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from operations</w:t>
            </w: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120,267</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36,071</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47,146</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16,093</w:t>
            </w:r>
          </w:p>
        </w:tc>
      </w:t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w:t>
            </w:r>
          </w:p>
        </w:tc>
      </w:tr>
      <w:tr>
        <w:trPr>
          <w:trHeight w:val="18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8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before taxes</w:t>
            </w:r>
          </w:p>
        </w:tc>
        <w:tc>
          <w:tcPr>
            <w:tcW w:w="2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117,484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14,728</w:t>
            </w:r>
          </w:p>
        </w:tc>
      </w:tr>
      <w:tr>
        <w:trPr>
          <w:trHeight w:val="18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27,851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71"/>
        </w:trPr>
        <w:tc>
          <w:tcPr>
            <w:tcW w:w="4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89,633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36,936</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14,228</w:t>
            </w:r>
          </w:p>
        </w:tc>
      </w:tr>
      <w:tr>
        <w:trPr>
          <w:trHeight w:val="171"/>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17,499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8,231</w:t>
            </w:r>
          </w:p>
        </w:tc>
      </w:tr>
      <w:tr>
        <w:trPr>
          <w:trHeight w:val="19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and comprehensive income attributable to Arhaus, Inc.</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89,633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and comprehensive income per share, basic</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Weighted-average number of common shares outstanding, basic</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137,939,577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112,058,742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138,484,495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112,058,742</w:t>
            </w:r>
          </w:p>
        </w:tc>
      </w:tr>
      <w:tr>
        <w:trPr>
          <w:trHeight w:val="180"/>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and comprehensive income per share, basic</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18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and comprehensive income per share, diluted</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Weighted-average number of common shares outstanding, diluted</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139,545,802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112,058,742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139,845,333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112,058,742</w:t>
            </w:r>
          </w:p>
        </w:tc>
      </w:tr>
      <w:tr>
        <w:trPr>
          <w:trHeight w:val="184"/>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and comprehensive income per share, diluted</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7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123" w:right="599" w:bottom="1440" w:gutter="0" w:footer="0" w:header="0"/>
        </w:sectPr>
      </w:pPr>
    </w:p>
    <w:bookmarkStart w:id="4" w:name="page5"/>
    <w:bookmarkEnd w:id="4"/>
    <w:p>
      <w:pPr>
        <w:ind w:left="47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Equity (Deficit)</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6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2820" w:type="dxa"/>
            <w:vAlign w:val="bottom"/>
            <w:tcBorders>
              <w:bottom w:val="single" w:sz="8" w:color="auto"/>
            </w:tcBorders>
            <w:gridSpan w:val="10"/>
          </w:tcPr>
          <w:p>
            <w:pPr>
              <w:ind w:left="260"/>
              <w:spacing w:after="0"/>
              <w:rPr>
                <w:sz w:val="20"/>
                <w:szCs w:val="20"/>
                <w:color w:val="auto"/>
              </w:rPr>
            </w:pPr>
            <w:r>
              <w:rPr>
                <w:rFonts w:ascii="Times New Roman" w:cs="Times New Roman" w:eastAsia="Times New Roman" w:hAnsi="Times New Roman"/>
                <w:sz w:val="11"/>
                <w:szCs w:val="11"/>
                <w:b w:val="1"/>
                <w:bCs w:val="1"/>
                <w:color w:val="auto"/>
              </w:rPr>
              <w:t>Common Shares in Homeworks Holdings, Inc.</w:t>
            </w: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Equity (Deficit)</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40" w:type="dxa"/>
            <w:vAlign w:val="bottom"/>
          </w:tcPr>
          <w:p>
            <w:pPr>
              <w:spacing w:after="0"/>
              <w:rPr>
                <w:sz w:val="13"/>
                <w:szCs w:val="13"/>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1"/>
                <w:szCs w:val="11"/>
                <w:b w:val="1"/>
                <w:bCs w:val="1"/>
                <w:color w:val="auto"/>
                <w:w w:val="94"/>
              </w:rPr>
              <w:t>Voting</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Non-Voting</w:t>
            </w:r>
          </w:p>
        </w:tc>
        <w:tc>
          <w:tcPr>
            <w:tcW w:w="1340" w:type="dxa"/>
            <w:vAlign w:val="bottom"/>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34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80" w:type="dxa"/>
            <w:vAlign w:val="bottom"/>
          </w:tcPr>
          <w:p>
            <w:pPr>
              <w:spacing w:after="0"/>
              <w:rPr>
                <w:sz w:val="11"/>
                <w:szCs w:val="11"/>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1"/>
                <w:szCs w:val="11"/>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127"/>
        </w:trPr>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3"/>
                <w:szCs w:val="13"/>
                <w:color w:val="auto"/>
              </w:rPr>
            </w:pPr>
          </w:p>
        </w:tc>
        <w:tc>
          <w:tcPr>
            <w:tcW w:w="92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Equity (Deficit)</w:t>
            </w:r>
          </w:p>
        </w:tc>
        <w:tc>
          <w:tcPr>
            <w:tcW w:w="0" w:type="dxa"/>
            <w:vAlign w:val="bottom"/>
          </w:tcPr>
          <w:p>
            <w:pPr>
              <w:spacing w:after="0"/>
              <w:rPr>
                <w:sz w:val="1"/>
                <w:szCs w:val="1"/>
                <w:color w:val="auto"/>
              </w:rPr>
            </w:pPr>
          </w:p>
        </w:tc>
      </w:tr>
      <w:tr>
        <w:trPr>
          <w:trHeight w:val="119"/>
        </w:trPr>
        <w:tc>
          <w:tcPr>
            <w:tcW w:w="1640" w:type="dxa"/>
            <w:vAlign w:val="bottom"/>
            <w:tcBorders>
              <w:top w:val="single" w:sz="8" w:color="CCEEFF"/>
            </w:tcBorders>
            <w:shd w:val="clear" w:color="auto" w:fill="CCEEFF"/>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Balances as of December 31,</w:t>
            </w: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2021</w:t>
            </w: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50,428</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w:t>
            </w:r>
          </w:p>
        </w:tc>
        <w:tc>
          <w:tcPr>
            <w:tcW w:w="6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86,519</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(116,581)</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186,209</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69,765</w:t>
            </w:r>
          </w:p>
        </w:tc>
        <w:tc>
          <w:tcPr>
            <w:tcW w:w="0" w:type="dxa"/>
            <w:vAlign w:val="bottom"/>
          </w:tcPr>
          <w:p>
            <w:pPr>
              <w:spacing w:after="0"/>
              <w:rPr>
                <w:sz w:val="1"/>
                <w:szCs w:val="1"/>
                <w:color w:val="auto"/>
              </w:rPr>
            </w:pPr>
          </w:p>
        </w:tc>
      </w:tr>
      <w:tr>
        <w:trPr>
          <w:trHeight w:val="151"/>
        </w:trPr>
        <w:tc>
          <w:tcPr>
            <w:tcW w:w="1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89,633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89,633</w:t>
            </w:r>
          </w:p>
        </w:tc>
        <w:tc>
          <w:tcPr>
            <w:tcW w:w="0" w:type="dxa"/>
            <w:vAlign w:val="bottom"/>
          </w:tcPr>
          <w:p>
            <w:pPr>
              <w:spacing w:after="0"/>
              <w:rPr>
                <w:sz w:val="1"/>
                <w:szCs w:val="1"/>
                <w:color w:val="auto"/>
              </w:rPr>
            </w:pPr>
          </w:p>
        </w:tc>
      </w:tr>
      <w:tr>
        <w:trPr>
          <w:trHeight w:val="141"/>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 to deferred tax asset</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impact of Reorganization from</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partnership to a corporation</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(1,278)</w:t>
            </w:r>
          </w:p>
        </w:tc>
        <w:tc>
          <w:tcPr>
            <w:tcW w:w="0" w:type="dxa"/>
            <w:vAlign w:val="bottom"/>
          </w:tcPr>
          <w:p>
            <w:pPr>
              <w:spacing w:after="0"/>
              <w:rPr>
                <w:sz w:val="1"/>
                <w:szCs w:val="1"/>
                <w:color w:val="auto"/>
              </w:rPr>
            </w:pPr>
          </w:p>
        </w:tc>
      </w:tr>
      <w:tr>
        <w:trPr>
          <w:trHeight w:val="160"/>
        </w:trPr>
        <w:tc>
          <w:tcPr>
            <w:tcW w:w="1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Shareholder capital contribution</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0" w:type="dxa"/>
            <w:vAlign w:val="bottom"/>
          </w:tcPr>
          <w:p>
            <w:pPr>
              <w:spacing w:after="0"/>
              <w:rPr>
                <w:sz w:val="1"/>
                <w:szCs w:val="1"/>
                <w:color w:val="auto"/>
              </w:rPr>
            </w:pPr>
          </w:p>
        </w:tc>
      </w:tr>
      <w:tr>
        <w:trPr>
          <w:trHeight w:val="17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based compensation</w:t>
            </w: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1,009</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597</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2,613</w:t>
            </w:r>
          </w:p>
        </w:tc>
        <w:tc>
          <w:tcPr>
            <w:tcW w:w="0" w:type="dxa"/>
            <w:vAlign w:val="bottom"/>
          </w:tcPr>
          <w:p>
            <w:pPr>
              <w:spacing w:after="0"/>
              <w:rPr>
                <w:sz w:val="1"/>
                <w:szCs w:val="1"/>
                <w:color w:val="auto"/>
              </w:rPr>
            </w:pPr>
          </w:p>
        </w:tc>
      </w:tr>
      <w:tr>
        <w:trPr>
          <w:trHeight w:val="109"/>
        </w:trPr>
        <w:tc>
          <w:tcPr>
            <w:tcW w:w="164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Balances as of September 30,</w:t>
            </w: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vMerge w:val="restart"/>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vMerge w:val="restart"/>
          </w:tcPr>
          <w:p>
            <w:pPr>
              <w:spacing w:after="0"/>
              <w:rPr>
                <w:sz w:val="9"/>
                <w:szCs w:val="9"/>
                <w:color w:val="auto"/>
              </w:rPr>
            </w:pP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vMerge w:val="restart"/>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vMerge w:val="restart"/>
          </w:tcPr>
          <w:p>
            <w:pPr>
              <w:spacing w:after="0"/>
              <w:rPr>
                <w:sz w:val="9"/>
                <w:szCs w:val="9"/>
                <w:color w:val="auto"/>
              </w:rPr>
            </w:pP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51,437</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51</w:t>
            </w:r>
          </w:p>
        </w:tc>
        <w:tc>
          <w:tcPr>
            <w:tcW w:w="60" w:type="dxa"/>
            <w:vAlign w:val="bottom"/>
          </w:tcPr>
          <w:p>
            <w:pPr>
              <w:spacing w:after="0"/>
              <w:rPr>
                <w:sz w:val="9"/>
                <w:szCs w:val="9"/>
                <w:color w:val="auto"/>
              </w:rPr>
            </w:pP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87,116</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6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(26,948)</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187,605</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vMerge w:val="restart"/>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160,795</w:t>
            </w:r>
          </w:p>
        </w:tc>
        <w:tc>
          <w:tcPr>
            <w:tcW w:w="0" w:type="dxa"/>
            <w:vAlign w:val="bottom"/>
          </w:tcPr>
          <w:p>
            <w:pPr>
              <w:spacing w:after="0"/>
              <w:rPr>
                <w:sz w:val="1"/>
                <w:szCs w:val="1"/>
                <w:color w:val="auto"/>
              </w:rPr>
            </w:pPr>
          </w:p>
        </w:tc>
      </w:tr>
      <w:tr>
        <w:trPr>
          <w:trHeight w:val="152"/>
        </w:trPr>
        <w:tc>
          <w:tcPr>
            <w:tcW w:w="1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66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16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2820" w:type="dxa"/>
            <w:vAlign w:val="bottom"/>
            <w:tcBorders>
              <w:bottom w:val="single" w:sz="8" w:color="auto"/>
            </w:tcBorders>
            <w:gridSpan w:val="10"/>
          </w:tcPr>
          <w:p>
            <w:pPr>
              <w:ind w:left="260"/>
              <w:spacing w:after="0"/>
              <w:rPr>
                <w:sz w:val="20"/>
                <w:szCs w:val="20"/>
                <w:color w:val="auto"/>
              </w:rPr>
            </w:pPr>
            <w:r>
              <w:rPr>
                <w:rFonts w:ascii="Times New Roman" w:cs="Times New Roman" w:eastAsia="Times New Roman" w:hAnsi="Times New Roman"/>
                <w:sz w:val="11"/>
                <w:szCs w:val="11"/>
                <w:b w:val="1"/>
                <w:bCs w:val="1"/>
                <w:color w:val="auto"/>
              </w:rPr>
              <w:t>Common Shares in Homeworks Holdings, Inc.</w:t>
            </w: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Equity (Deficit)</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40" w:type="dxa"/>
            <w:vAlign w:val="bottom"/>
          </w:tcPr>
          <w:p>
            <w:pPr>
              <w:spacing w:after="0"/>
              <w:rPr>
                <w:sz w:val="13"/>
                <w:szCs w:val="13"/>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1"/>
                <w:szCs w:val="11"/>
                <w:b w:val="1"/>
                <w:bCs w:val="1"/>
                <w:color w:val="auto"/>
                <w:w w:val="94"/>
              </w:rPr>
              <w:t>Voting</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Non-Voting</w:t>
            </w:r>
          </w:p>
        </w:tc>
        <w:tc>
          <w:tcPr>
            <w:tcW w:w="1340" w:type="dxa"/>
            <w:vAlign w:val="bottom"/>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34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80" w:type="dxa"/>
            <w:vAlign w:val="bottom"/>
          </w:tcPr>
          <w:p>
            <w:pPr>
              <w:spacing w:after="0"/>
              <w:rPr>
                <w:sz w:val="11"/>
                <w:szCs w:val="11"/>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1"/>
                <w:szCs w:val="11"/>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127"/>
        </w:trPr>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3"/>
                <w:szCs w:val="13"/>
                <w:color w:val="auto"/>
              </w:rPr>
            </w:pPr>
          </w:p>
        </w:tc>
        <w:tc>
          <w:tcPr>
            <w:tcW w:w="92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Equity (Deficit)</w:t>
            </w:r>
          </w:p>
        </w:tc>
        <w:tc>
          <w:tcPr>
            <w:tcW w:w="0" w:type="dxa"/>
            <w:vAlign w:val="bottom"/>
          </w:tcPr>
          <w:p>
            <w:pPr>
              <w:spacing w:after="0"/>
              <w:rPr>
                <w:sz w:val="1"/>
                <w:szCs w:val="1"/>
                <w:color w:val="auto"/>
              </w:rPr>
            </w:pPr>
          </w:p>
        </w:tc>
      </w:tr>
      <w:tr>
        <w:trPr>
          <w:trHeight w:val="119"/>
        </w:trPr>
        <w:tc>
          <w:tcPr>
            <w:tcW w:w="1640" w:type="dxa"/>
            <w:vAlign w:val="bottom"/>
            <w:tcBorders>
              <w:top w:val="single" w:sz="8" w:color="CCEEFF"/>
            </w:tcBorders>
            <w:shd w:val="clear" w:color="auto" w:fill="CCEEFF"/>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Balances as of December 31,</w:t>
            </w: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2020</w:t>
            </w: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645</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4,158</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(28,422)</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1,670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(7,689)</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(34,441)</w:t>
            </w:r>
          </w:p>
        </w:tc>
        <w:tc>
          <w:tcPr>
            <w:tcW w:w="0" w:type="dxa"/>
            <w:vAlign w:val="bottom"/>
          </w:tcPr>
          <w:p>
            <w:pPr>
              <w:spacing w:after="0"/>
              <w:rPr>
                <w:sz w:val="1"/>
                <w:szCs w:val="1"/>
                <w:color w:val="auto"/>
              </w:rPr>
            </w:pPr>
          </w:p>
        </w:tc>
      </w:tr>
      <w:tr>
        <w:trPr>
          <w:trHeight w:val="151"/>
        </w:trPr>
        <w:tc>
          <w:tcPr>
            <w:tcW w:w="1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12,777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17,499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30,276</w:t>
            </w:r>
          </w:p>
        </w:tc>
        <w:tc>
          <w:tcPr>
            <w:tcW w:w="0" w:type="dxa"/>
            <w:vAlign w:val="bottom"/>
          </w:tcPr>
          <w:p>
            <w:pPr>
              <w:spacing w:after="0"/>
              <w:rPr>
                <w:sz w:val="1"/>
                <w:szCs w:val="1"/>
                <w:color w:val="auto"/>
              </w:rPr>
            </w:pPr>
          </w:p>
        </w:tc>
      </w:tr>
      <w:tr>
        <w:trPr>
          <w:trHeight w:val="17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 distribution</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(7,865)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(7,865)</w:t>
            </w:r>
          </w:p>
        </w:tc>
        <w:tc>
          <w:tcPr>
            <w:tcW w:w="0" w:type="dxa"/>
            <w:vAlign w:val="bottom"/>
          </w:tcPr>
          <w:p>
            <w:pPr>
              <w:spacing w:after="0"/>
              <w:rPr>
                <w:sz w:val="1"/>
                <w:szCs w:val="1"/>
                <w:color w:val="auto"/>
              </w:rPr>
            </w:pPr>
          </w:p>
        </w:tc>
      </w:tr>
      <w:tr>
        <w:trPr>
          <w:trHeight w:val="160"/>
        </w:trPr>
        <w:tc>
          <w:tcPr>
            <w:tcW w:w="1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Shareholder distribution</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(12,350)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(12,350)</w:t>
            </w:r>
          </w:p>
        </w:tc>
        <w:tc>
          <w:tcPr>
            <w:tcW w:w="0" w:type="dxa"/>
            <w:vAlign w:val="bottom"/>
          </w:tcPr>
          <w:p>
            <w:pPr>
              <w:spacing w:after="0"/>
              <w:rPr>
                <w:sz w:val="1"/>
                <w:szCs w:val="1"/>
                <w:color w:val="auto"/>
              </w:rPr>
            </w:pPr>
          </w:p>
        </w:tc>
      </w:tr>
      <w:tr>
        <w:trPr>
          <w:trHeight w:val="17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based compensation</w:t>
            </w: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0" w:type="dxa"/>
            <w:vAlign w:val="bottom"/>
          </w:tcPr>
          <w:p>
            <w:pPr>
              <w:spacing w:after="0"/>
              <w:rPr>
                <w:sz w:val="1"/>
                <w:szCs w:val="1"/>
                <w:color w:val="auto"/>
              </w:rPr>
            </w:pPr>
          </w:p>
        </w:tc>
      </w:tr>
      <w:tr>
        <w:trPr>
          <w:trHeight w:val="109"/>
        </w:trPr>
        <w:tc>
          <w:tcPr>
            <w:tcW w:w="164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Balances as of September 30,</w:t>
            </w: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645</w:t>
            </w:r>
          </w:p>
        </w:tc>
        <w:tc>
          <w:tcPr>
            <w:tcW w:w="6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4,158</w:t>
            </w:r>
          </w:p>
        </w:tc>
        <w:tc>
          <w:tcPr>
            <w:tcW w:w="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(27,995)</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2,805</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1,945</w:t>
            </w:r>
          </w:p>
        </w:tc>
        <w:tc>
          <w:tcPr>
            <w:tcW w:w="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(23,245)</w:t>
            </w:r>
          </w:p>
        </w:tc>
        <w:tc>
          <w:tcPr>
            <w:tcW w:w="0" w:type="dxa"/>
            <w:vAlign w:val="bottom"/>
          </w:tcPr>
          <w:p>
            <w:pPr>
              <w:spacing w:after="0"/>
              <w:rPr>
                <w:sz w:val="1"/>
                <w:szCs w:val="1"/>
                <w:color w:val="auto"/>
              </w:rPr>
            </w:pPr>
          </w:p>
        </w:tc>
      </w:tr>
      <w:tr>
        <w:trPr>
          <w:trHeight w:val="147"/>
        </w:trPr>
        <w:tc>
          <w:tcPr>
            <w:tcW w:w="1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2021</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5"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13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Equity (Deficit)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6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2820" w:type="dxa"/>
            <w:vAlign w:val="bottom"/>
            <w:tcBorders>
              <w:bottom w:val="single" w:sz="8" w:color="auto"/>
            </w:tcBorders>
            <w:gridSpan w:val="10"/>
          </w:tcPr>
          <w:p>
            <w:pPr>
              <w:ind w:left="260"/>
              <w:spacing w:after="0"/>
              <w:rPr>
                <w:sz w:val="20"/>
                <w:szCs w:val="20"/>
                <w:color w:val="auto"/>
              </w:rPr>
            </w:pPr>
            <w:r>
              <w:rPr>
                <w:rFonts w:ascii="Times New Roman" w:cs="Times New Roman" w:eastAsia="Times New Roman" w:hAnsi="Times New Roman"/>
                <w:sz w:val="11"/>
                <w:szCs w:val="11"/>
                <w:b w:val="1"/>
                <w:bCs w:val="1"/>
                <w:color w:val="auto"/>
              </w:rPr>
              <w:t>Common Shares in Homeworks Holdings, Inc.</w:t>
            </w: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Equity (Deficit)</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40" w:type="dxa"/>
            <w:vAlign w:val="bottom"/>
          </w:tcPr>
          <w:p>
            <w:pPr>
              <w:spacing w:after="0"/>
              <w:rPr>
                <w:sz w:val="13"/>
                <w:szCs w:val="13"/>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1"/>
                <w:szCs w:val="11"/>
                <w:b w:val="1"/>
                <w:bCs w:val="1"/>
                <w:color w:val="auto"/>
                <w:w w:val="94"/>
              </w:rPr>
              <w:t>Voting</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Non-Voting</w:t>
            </w:r>
          </w:p>
        </w:tc>
        <w:tc>
          <w:tcPr>
            <w:tcW w:w="1340" w:type="dxa"/>
            <w:vAlign w:val="bottom"/>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340" w:type="dxa"/>
            <w:vAlign w:val="bottom"/>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80" w:type="dxa"/>
            <w:vAlign w:val="bottom"/>
          </w:tcPr>
          <w:p>
            <w:pPr>
              <w:spacing w:after="0"/>
              <w:rPr>
                <w:sz w:val="11"/>
                <w:szCs w:val="11"/>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1"/>
                <w:szCs w:val="11"/>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127"/>
        </w:trPr>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3"/>
                <w:szCs w:val="13"/>
                <w:color w:val="auto"/>
              </w:rPr>
            </w:pPr>
          </w:p>
        </w:tc>
        <w:tc>
          <w:tcPr>
            <w:tcW w:w="92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Equity (Deficit)</w:t>
            </w:r>
          </w:p>
        </w:tc>
        <w:tc>
          <w:tcPr>
            <w:tcW w:w="0" w:type="dxa"/>
            <w:vAlign w:val="bottom"/>
          </w:tcPr>
          <w:p>
            <w:pPr>
              <w:spacing w:after="0"/>
              <w:rPr>
                <w:sz w:val="1"/>
                <w:szCs w:val="1"/>
                <w:color w:val="auto"/>
              </w:rPr>
            </w:pPr>
          </w:p>
        </w:tc>
      </w:tr>
      <w:tr>
        <w:trPr>
          <w:trHeight w:val="159"/>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as of June 30, 2022</w:t>
            </w: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51,360</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w:t>
            </w:r>
          </w:p>
        </w:tc>
        <w:tc>
          <w:tcPr>
            <w:tcW w:w="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87,116</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(63,884)</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187,640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123,894</w:t>
            </w:r>
          </w:p>
        </w:tc>
        <w:tc>
          <w:tcPr>
            <w:tcW w:w="0" w:type="dxa"/>
            <w:vAlign w:val="bottom"/>
          </w:tcPr>
          <w:p>
            <w:pPr>
              <w:spacing w:after="0"/>
              <w:rPr>
                <w:sz w:val="1"/>
                <w:szCs w:val="1"/>
                <w:color w:val="auto"/>
              </w:rPr>
            </w:pPr>
          </w:p>
        </w:tc>
      </w:tr>
      <w:tr>
        <w:trPr>
          <w:trHeight w:val="151"/>
        </w:trPr>
        <w:tc>
          <w:tcPr>
            <w:tcW w:w="1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36,936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36,936</w:t>
            </w:r>
          </w:p>
        </w:tc>
        <w:tc>
          <w:tcPr>
            <w:tcW w:w="0" w:type="dxa"/>
            <w:vAlign w:val="bottom"/>
          </w:tcPr>
          <w:p>
            <w:pPr>
              <w:spacing w:after="0"/>
              <w:rPr>
                <w:sz w:val="1"/>
                <w:szCs w:val="1"/>
                <w:color w:val="auto"/>
              </w:rPr>
            </w:pPr>
          </w:p>
        </w:tc>
      </w:tr>
      <w:tr>
        <w:trPr>
          <w:trHeight w:val="141"/>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 to deferred tax asset</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impact of Reorganization from</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partnership to a corporation</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(1,278)</w:t>
            </w:r>
          </w:p>
        </w:tc>
        <w:tc>
          <w:tcPr>
            <w:tcW w:w="0" w:type="dxa"/>
            <w:vAlign w:val="bottom"/>
          </w:tcPr>
          <w:p>
            <w:pPr>
              <w:spacing w:after="0"/>
              <w:rPr>
                <w:sz w:val="1"/>
                <w:szCs w:val="1"/>
                <w:color w:val="auto"/>
              </w:rPr>
            </w:pPr>
          </w:p>
        </w:tc>
      </w:tr>
      <w:tr>
        <w:trPr>
          <w:trHeight w:val="160"/>
        </w:trPr>
        <w:tc>
          <w:tcPr>
            <w:tcW w:w="1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Shareholder capital contribution</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7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based compensation</w:t>
            </w: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1,224</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1,224</w:t>
            </w:r>
          </w:p>
        </w:tc>
        <w:tc>
          <w:tcPr>
            <w:tcW w:w="0" w:type="dxa"/>
            <w:vAlign w:val="bottom"/>
          </w:tcPr>
          <w:p>
            <w:pPr>
              <w:spacing w:after="0"/>
              <w:rPr>
                <w:sz w:val="1"/>
                <w:szCs w:val="1"/>
                <w:color w:val="auto"/>
              </w:rPr>
            </w:pPr>
          </w:p>
        </w:tc>
      </w:tr>
      <w:tr>
        <w:trPr>
          <w:trHeight w:val="109"/>
        </w:trPr>
        <w:tc>
          <w:tcPr>
            <w:tcW w:w="164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Balances as of September 30,</w:t>
            </w: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vMerge w:val="restart"/>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vMerge w:val="restart"/>
          </w:tcPr>
          <w:p>
            <w:pPr>
              <w:spacing w:after="0"/>
              <w:rPr>
                <w:sz w:val="9"/>
                <w:szCs w:val="9"/>
                <w:color w:val="auto"/>
              </w:rPr>
            </w:pP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vMerge w:val="restart"/>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vMerge w:val="restart"/>
          </w:tcPr>
          <w:p>
            <w:pPr>
              <w:spacing w:after="0"/>
              <w:rPr>
                <w:sz w:val="9"/>
                <w:szCs w:val="9"/>
                <w:color w:val="auto"/>
              </w:rPr>
            </w:pP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51,437</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51</w:t>
            </w:r>
          </w:p>
        </w:tc>
        <w:tc>
          <w:tcPr>
            <w:tcW w:w="60" w:type="dxa"/>
            <w:vAlign w:val="bottom"/>
          </w:tcPr>
          <w:p>
            <w:pPr>
              <w:spacing w:after="0"/>
              <w:rPr>
                <w:sz w:val="9"/>
                <w:szCs w:val="9"/>
                <w:color w:val="auto"/>
              </w:rPr>
            </w:pP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87,116</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6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(26,948)</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187,605</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vMerge w:val="restart"/>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160,795</w:t>
            </w:r>
          </w:p>
        </w:tc>
        <w:tc>
          <w:tcPr>
            <w:tcW w:w="0" w:type="dxa"/>
            <w:vAlign w:val="bottom"/>
          </w:tcPr>
          <w:p>
            <w:pPr>
              <w:spacing w:after="0"/>
              <w:rPr>
                <w:sz w:val="1"/>
                <w:szCs w:val="1"/>
                <w:color w:val="auto"/>
              </w:rPr>
            </w:pPr>
          </w:p>
        </w:tc>
      </w:tr>
      <w:tr>
        <w:trPr>
          <w:trHeight w:val="152"/>
        </w:trPr>
        <w:tc>
          <w:tcPr>
            <w:tcW w:w="1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66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16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2820" w:type="dxa"/>
            <w:vAlign w:val="bottom"/>
            <w:tcBorders>
              <w:bottom w:val="single" w:sz="8" w:color="auto"/>
            </w:tcBorders>
            <w:gridSpan w:val="10"/>
          </w:tcPr>
          <w:p>
            <w:pPr>
              <w:ind w:left="260"/>
              <w:spacing w:after="0"/>
              <w:rPr>
                <w:sz w:val="20"/>
                <w:szCs w:val="20"/>
                <w:color w:val="auto"/>
              </w:rPr>
            </w:pPr>
            <w:r>
              <w:rPr>
                <w:rFonts w:ascii="Times New Roman" w:cs="Times New Roman" w:eastAsia="Times New Roman" w:hAnsi="Times New Roman"/>
                <w:sz w:val="11"/>
                <w:szCs w:val="11"/>
                <w:b w:val="1"/>
                <w:bCs w:val="1"/>
                <w:color w:val="auto"/>
              </w:rPr>
              <w:t>Common Shares in Homeworks Holdings, Inc.</w:t>
            </w: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Equity (Deficit)</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40" w:type="dxa"/>
            <w:vAlign w:val="bottom"/>
          </w:tcPr>
          <w:p>
            <w:pPr>
              <w:spacing w:after="0"/>
              <w:rPr>
                <w:sz w:val="13"/>
                <w:szCs w:val="13"/>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1"/>
                <w:szCs w:val="11"/>
                <w:b w:val="1"/>
                <w:bCs w:val="1"/>
                <w:color w:val="auto"/>
                <w:w w:val="94"/>
              </w:rPr>
              <w:t>Voting</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Non-Voting</w:t>
            </w:r>
          </w:p>
        </w:tc>
        <w:tc>
          <w:tcPr>
            <w:tcW w:w="1340" w:type="dxa"/>
            <w:vAlign w:val="bottom"/>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340" w:type="dxa"/>
            <w:vAlign w:val="bottom"/>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80" w:type="dxa"/>
            <w:vAlign w:val="bottom"/>
          </w:tcPr>
          <w:p>
            <w:pPr>
              <w:spacing w:after="0"/>
              <w:rPr>
                <w:sz w:val="11"/>
                <w:szCs w:val="11"/>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1"/>
                <w:szCs w:val="11"/>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127"/>
        </w:trPr>
        <w:tc>
          <w:tcPr>
            <w:tcW w:w="1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3"/>
                <w:szCs w:val="13"/>
                <w:color w:val="auto"/>
              </w:rPr>
            </w:pPr>
          </w:p>
        </w:tc>
        <w:tc>
          <w:tcPr>
            <w:tcW w:w="92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Equity (Deficit)</w:t>
            </w:r>
          </w:p>
        </w:tc>
        <w:tc>
          <w:tcPr>
            <w:tcW w:w="0" w:type="dxa"/>
            <w:vAlign w:val="bottom"/>
          </w:tcPr>
          <w:p>
            <w:pPr>
              <w:spacing w:after="0"/>
              <w:rPr>
                <w:sz w:val="1"/>
                <w:szCs w:val="1"/>
                <w:color w:val="auto"/>
              </w:rPr>
            </w:pPr>
          </w:p>
        </w:tc>
      </w:tr>
      <w:tr>
        <w:trPr>
          <w:trHeight w:val="159"/>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as of June 30, 2021</w:t>
            </w: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645</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4,158</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(33,992)</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2,097</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(6,286)</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(38,181)</w:t>
            </w:r>
          </w:p>
        </w:tc>
        <w:tc>
          <w:tcPr>
            <w:tcW w:w="0" w:type="dxa"/>
            <w:vAlign w:val="bottom"/>
          </w:tcPr>
          <w:p>
            <w:pPr>
              <w:spacing w:after="0"/>
              <w:rPr>
                <w:sz w:val="1"/>
                <w:szCs w:val="1"/>
                <w:color w:val="auto"/>
              </w:rPr>
            </w:pPr>
          </w:p>
        </w:tc>
      </w:tr>
      <w:tr>
        <w:trPr>
          <w:trHeight w:val="151"/>
        </w:trPr>
        <w:tc>
          <w:tcPr>
            <w:tcW w:w="1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5,997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14,228</w:t>
            </w:r>
          </w:p>
        </w:tc>
        <w:tc>
          <w:tcPr>
            <w:tcW w:w="0" w:type="dxa"/>
            <w:vAlign w:val="bottom"/>
          </w:tcPr>
          <w:p>
            <w:pPr>
              <w:spacing w:after="0"/>
              <w:rPr>
                <w:sz w:val="1"/>
                <w:szCs w:val="1"/>
                <w:color w:val="auto"/>
              </w:rPr>
            </w:pPr>
          </w:p>
        </w:tc>
      </w:tr>
      <w:tr>
        <w:trPr>
          <w:trHeight w:val="17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based compensation</w:t>
            </w: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708</w:t>
            </w:r>
          </w:p>
        </w:tc>
        <w:tc>
          <w:tcPr>
            <w:tcW w:w="0" w:type="dxa"/>
            <w:vAlign w:val="bottom"/>
          </w:tcPr>
          <w:p>
            <w:pPr>
              <w:spacing w:after="0"/>
              <w:rPr>
                <w:sz w:val="1"/>
                <w:szCs w:val="1"/>
                <w:color w:val="auto"/>
              </w:rPr>
            </w:pPr>
          </w:p>
        </w:tc>
      </w:tr>
      <w:tr>
        <w:trPr>
          <w:trHeight w:val="109"/>
        </w:trPr>
        <w:tc>
          <w:tcPr>
            <w:tcW w:w="164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Balances as of September 30,</w:t>
            </w: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645</w:t>
            </w:r>
          </w:p>
        </w:tc>
        <w:tc>
          <w:tcPr>
            <w:tcW w:w="6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4,158</w:t>
            </w:r>
          </w:p>
        </w:tc>
        <w:tc>
          <w:tcPr>
            <w:tcW w:w="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(27,995)</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2,805</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1,945</w:t>
            </w:r>
          </w:p>
        </w:tc>
        <w:tc>
          <w:tcPr>
            <w:tcW w:w="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(23,245)</w:t>
            </w:r>
          </w:p>
        </w:tc>
        <w:tc>
          <w:tcPr>
            <w:tcW w:w="0" w:type="dxa"/>
            <w:vAlign w:val="bottom"/>
          </w:tcPr>
          <w:p>
            <w:pPr>
              <w:spacing w:after="0"/>
              <w:rPr>
                <w:sz w:val="1"/>
                <w:szCs w:val="1"/>
                <w:color w:val="auto"/>
              </w:rPr>
            </w:pPr>
          </w:p>
        </w:tc>
      </w:tr>
      <w:tr>
        <w:trPr>
          <w:trHeight w:val="147"/>
        </w:trPr>
        <w:tc>
          <w:tcPr>
            <w:tcW w:w="1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2021</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2760" w:type="dxa"/>
            <w:vAlign w:val="bottom"/>
            <w:tcBorders>
              <w:top w:val="single" w:sz="8" w:color="auto"/>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4"/>
        </w:trPr>
        <w:tc>
          <w:tcPr>
            <w:tcW w:w="8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3"/>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89,633</w:t>
            </w:r>
          </w:p>
        </w:tc>
        <w:tc>
          <w:tcPr>
            <w:tcW w:w="80" w:type="dxa"/>
            <w:vAlign w:val="bottom"/>
          </w:tcPr>
          <w:p>
            <w:pPr>
              <w:spacing w:after="0"/>
              <w:rPr>
                <w:sz w:val="15"/>
                <w:szCs w:val="15"/>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30,276</w:t>
            </w:r>
          </w:p>
        </w:tc>
      </w:tr>
      <w:tr>
        <w:trPr>
          <w:trHeight w:val="18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73"/>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18,319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17,206</w:t>
            </w:r>
          </w:p>
        </w:tc>
      </w:tr>
      <w:tr>
        <w:trPr>
          <w:trHeight w:val="18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of operating lease right-of-use asset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21,976</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of deferred financing fees and interest on finance lease in excess of principal paid</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w:t>
            </w:r>
          </w:p>
        </w:tc>
      </w:tr>
      <w:tr>
        <w:trPr>
          <w:trHeight w:val="18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based compensation</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2,613</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w:t>
            </w:r>
          </w:p>
        </w:tc>
      </w:tr>
      <w:tr>
        <w:trPr>
          <w:trHeight w:val="173"/>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tax assets</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Derivative expense</w:t>
            </w:r>
          </w:p>
        </w:tc>
        <w:tc>
          <w:tcPr>
            <w:tcW w:w="3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29,905</w:t>
            </w:r>
          </w:p>
        </w:tc>
      </w:tr>
      <w:tr>
        <w:trPr>
          <w:trHeight w:val="173"/>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 on disposal of property, furniture and equipment</w:t>
            </w:r>
          </w:p>
        </w:tc>
        <w:tc>
          <w:tcPr>
            <w:tcW w:w="3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w:t>
            </w:r>
          </w:p>
        </w:tc>
      </w:tr>
      <w:tr>
        <w:trPr>
          <w:trHeight w:val="18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and write-off of lease incentives</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(5,889)</w:t>
            </w:r>
          </w:p>
        </w:tc>
      </w:tr>
      <w:tr>
        <w:trPr>
          <w:trHeight w:val="173"/>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8"/>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Accounts receivable</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r>
      <w:tr>
        <w:trPr>
          <w:trHeight w:val="173"/>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Merchandise inventory</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(84,228)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(62,533)</w:t>
            </w:r>
          </w:p>
        </w:tc>
      </w:tr>
      <w:tr>
        <w:trPr>
          <w:trHeight w:val="188"/>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Prepaid and other current assets</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w:t>
            </w:r>
          </w:p>
        </w:tc>
      </w:tr>
      <w:tr>
        <w:trPr>
          <w:trHeight w:val="173"/>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w:t>
            </w:r>
          </w:p>
        </w:tc>
      </w:tr>
      <w:tr>
        <w:trPr>
          <w:trHeight w:val="188"/>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Accounts payable</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10,334</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w:t>
            </w:r>
          </w:p>
        </w:tc>
      </w:tr>
      <w:tr>
        <w:trPr>
          <w:trHeight w:val="173"/>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Accrued expenses</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23,682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16,259</w:t>
            </w:r>
          </w:p>
        </w:tc>
      </w:tr>
      <w:tr>
        <w:trPr>
          <w:trHeight w:val="188"/>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(22,586)</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rent and lease incentives</w:t>
            </w:r>
          </w:p>
        </w:tc>
        <w:tc>
          <w:tcPr>
            <w:tcW w:w="3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6,959</w:t>
            </w:r>
          </w:p>
        </w:tc>
      </w:tr>
      <w:tr>
        <w:trPr>
          <w:trHeight w:val="188"/>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Client deposits</w:t>
            </w: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(3,128)</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106,076</w:t>
            </w:r>
          </w:p>
        </w:tc>
      </w:tr>
      <w:tr>
        <w:trPr>
          <w:trHeight w:val="164"/>
        </w:trPr>
        <w:tc>
          <w:tcPr>
            <w:tcW w:w="82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58,237</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141,190</w:t>
            </w:r>
          </w:p>
        </w:tc>
      </w:tr>
      <w:tr>
        <w:trPr>
          <w:trHeight w:val="189"/>
        </w:trPr>
        <w:tc>
          <w:tcPr>
            <w:tcW w:w="8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74"/>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property, furniture and equipment</w:t>
            </w: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(36,950)</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(29,533)</w:t>
            </w:r>
          </w:p>
        </w:tc>
      </w:tr>
      <w:tr>
        <w:trPr>
          <w:trHeight w:val="164"/>
        </w:trPr>
        <w:tc>
          <w:tcPr>
            <w:tcW w:w="82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(36,950)</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(29,533)</w:t>
            </w:r>
          </w:p>
        </w:tc>
      </w:tr>
      <w:tr>
        <w:trPr>
          <w:trHeight w:val="189"/>
        </w:trPr>
        <w:tc>
          <w:tcPr>
            <w:tcW w:w="8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74"/>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related party notes</w:t>
            </w:r>
          </w:p>
        </w:tc>
        <w:tc>
          <w:tcPr>
            <w:tcW w:w="3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73"/>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related party notes</w:t>
            </w:r>
          </w:p>
        </w:tc>
        <w:tc>
          <w:tcPr>
            <w:tcW w:w="3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8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Principal payments under capital leases</w:t>
            </w:r>
          </w:p>
        </w:tc>
        <w:tc>
          <w:tcPr>
            <w:tcW w:w="3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173"/>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Principal payments under finance leases</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Shareholder distributions</w:t>
            </w:r>
          </w:p>
        </w:tc>
        <w:tc>
          <w:tcPr>
            <w:tcW w:w="3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(12,350)</w:t>
            </w:r>
          </w:p>
        </w:tc>
      </w:tr>
      <w:tr>
        <w:trPr>
          <w:trHeight w:val="173"/>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 holders</w:t>
            </w:r>
          </w:p>
        </w:tc>
        <w:tc>
          <w:tcPr>
            <w:tcW w:w="3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(7,865)</w:t>
            </w:r>
          </w:p>
        </w:tc>
      </w:tr>
      <w:tr>
        <w:trPr>
          <w:trHeight w:val="178"/>
        </w:trPr>
        <w:tc>
          <w:tcPr>
            <w:tcW w:w="822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(20,321)</w:t>
            </w:r>
          </w:p>
        </w:tc>
      </w:tr>
      <w:tr>
        <w:trPr>
          <w:trHeight w:val="164"/>
        </w:trPr>
        <w:tc>
          <w:tcPr>
            <w:tcW w:w="82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Net increase in cash, cash equivalents and restricted cash equivalents</w:t>
            </w: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21,174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91,336</w:t>
            </w:r>
          </w:p>
        </w:tc>
      </w:tr>
      <w:tr>
        <w:trPr>
          <w:trHeight w:val="209"/>
        </w:trPr>
        <w:tc>
          <w:tcPr>
            <w:tcW w:w="8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74"/>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equivalents</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of period</w:t>
            </w:r>
          </w:p>
        </w:tc>
        <w:tc>
          <w:tcPr>
            <w:tcW w:w="3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130,908</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64,002</w:t>
            </w:r>
          </w:p>
        </w:tc>
      </w:tr>
      <w:tr>
        <w:trPr>
          <w:trHeight w:val="17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 of period</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152,082</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155,338</w:t>
            </w:r>
          </w:p>
        </w:tc>
      </w:tr>
      <w:tr>
        <w:trPr>
          <w:trHeight w:val="20"/>
        </w:trPr>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2760" w:type="dxa"/>
            <w:vAlign w:val="bottom"/>
            <w:tcBorders>
              <w:top w:val="single" w:sz="8" w:color="auto"/>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4"/>
        </w:trPr>
        <w:tc>
          <w:tcPr>
            <w:tcW w:w="8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73"/>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paid in cash</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3,858</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4,006</w:t>
            </w:r>
          </w:p>
        </w:tc>
      </w:tr>
      <w:tr>
        <w:trPr>
          <w:trHeight w:val="18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received in cash</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316</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 paid in cash</w:t>
            </w:r>
          </w:p>
        </w:tc>
        <w:tc>
          <w:tcPr>
            <w:tcW w:w="300" w:type="dxa"/>
            <w:vAlign w:val="bottom"/>
          </w:tcPr>
          <w:p>
            <w:pPr>
              <w:spacing w:after="0"/>
              <w:rPr>
                <w:sz w:val="15"/>
                <w:szCs w:val="15"/>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20,579</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1,394</w:t>
            </w:r>
          </w:p>
        </w:tc>
      </w:tr>
      <w:tr>
        <w:trPr>
          <w:trHeight w:val="18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operating activities: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73"/>
        </w:trPr>
        <w:tc>
          <w:tcPr>
            <w:tcW w:w="82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Lease incentives</w:t>
            </w:r>
          </w:p>
        </w:tc>
        <w:tc>
          <w:tcPr>
            <w:tcW w:w="300" w:type="dxa"/>
            <w:vAlign w:val="bottom"/>
          </w:tcPr>
          <w:p>
            <w:pPr>
              <w:spacing w:after="0"/>
              <w:rPr>
                <w:sz w:val="15"/>
                <w:szCs w:val="15"/>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7,532</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4,253</w:t>
            </w:r>
          </w:p>
        </w:tc>
      </w:tr>
      <w:tr>
        <w:trPr>
          <w:trHeight w:val="18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investing activities: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73"/>
        </w:trPr>
        <w:tc>
          <w:tcPr>
            <w:tcW w:w="82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Purchase of property, furniture and equipment in accounts payable</w:t>
            </w:r>
          </w:p>
        </w:tc>
        <w:tc>
          <w:tcPr>
            <w:tcW w:w="300" w:type="dxa"/>
            <w:vAlign w:val="bottom"/>
          </w:tcPr>
          <w:p>
            <w:pPr>
              <w:spacing w:after="0"/>
              <w:rPr>
                <w:sz w:val="15"/>
                <w:szCs w:val="15"/>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2,661</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r>
      <w:tr>
        <w:trPr>
          <w:trHeight w:val="18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financing activities: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73"/>
        </w:trPr>
        <w:tc>
          <w:tcPr>
            <w:tcW w:w="82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Adjustment to deferred tax asset impact of Reorganization from partnership to a corporation</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8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Derecognition of build-to-suit assets as a result of ASC 842 adoption</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(31,017)</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82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Property, furniture and equipment additions due to build-to-suit lease transactions</w:t>
            </w:r>
          </w:p>
        </w:tc>
        <w:tc>
          <w:tcPr>
            <w:tcW w:w="300" w:type="dxa"/>
            <w:vAlign w:val="bottom"/>
          </w:tcPr>
          <w:p>
            <w:pPr>
              <w:spacing w:after="0"/>
              <w:rPr>
                <w:sz w:val="15"/>
                <w:szCs w:val="15"/>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w:t>
            </w:r>
          </w:p>
        </w:tc>
      </w:tr>
      <w:tr>
        <w:trPr>
          <w:trHeight w:val="188"/>
        </w:trPr>
        <w:tc>
          <w:tcPr>
            <w:tcW w:w="8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Capital contributions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62</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82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Capital lease obligation</w:t>
            </w:r>
          </w:p>
        </w:tc>
        <w:tc>
          <w:tcPr>
            <w:tcW w:w="300" w:type="dxa"/>
            <w:vAlign w:val="bottom"/>
          </w:tcPr>
          <w:p>
            <w:pPr>
              <w:spacing w:after="0"/>
              <w:rPr>
                <w:sz w:val="14"/>
                <w:szCs w:val="14"/>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2,591</w:t>
            </w:r>
          </w:p>
        </w:tc>
      </w:tr>
    </w:tbl>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440" w:firstLine="5"/>
        <w:spacing w:after="0" w:line="468" w:lineRule="auto"/>
        <w:tabs>
          <w:tab w:leader="none" w:pos="141"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Nature of Business and Basis of Presentation Nature of Business</w:t>
      </w:r>
    </w:p>
    <w:p>
      <w:pPr>
        <w:ind w:right="280"/>
        <w:spacing w:after="0" w:line="264" w:lineRule="auto"/>
        <w:rPr>
          <w:sz w:val="20"/>
          <w:szCs w:val="20"/>
          <w:color w:val="auto"/>
        </w:rPr>
      </w:pPr>
      <w:r>
        <w:rPr>
          <w:rFonts w:ascii="Times New Roman" w:cs="Times New Roman" w:eastAsia="Times New Roman" w:hAnsi="Times New Roman"/>
          <w:sz w:val="14"/>
          <w:szCs w:val="14"/>
          <w:color w:val="auto"/>
        </w:rPr>
        <w:t>Arhaus, Inc. (the “Company,” “we” or “Arhaus”) is a Delaware corporation and is a premium retailer in the home furnishings market, specializing in livable luxury supported by heirloom quality merchandise. We offer merchandise in a number of categories, including furniture, outdoor, lighting, textiles and décor. Our curated assortments are presented across our sales channels in sophisticated, family friendly and unique lifestyle settings. We position our retail locations as Showrooms for our brand, while our website acts as a virtual extension of our Showrooms. The Company operated 80 Showrooms at September 30, 2022.</w:t>
      </w:r>
    </w:p>
    <w:p>
      <w:pPr>
        <w:spacing w:after="0" w:line="109"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Arhaus was formed on July 14, 2021 for the purpose of completing an initial public offering (“IPO”) of its common stock and related transactions in order to carry on the business of Arhaus, LLC (“LLC”) and its subsidiaries. Pursuant to the corporate reorganization and completion of the IPO in November 2021, the Company became a holding company for LLC and its subsidiaries.</w:t>
      </w:r>
    </w:p>
    <w:p>
      <w:pPr>
        <w:spacing w:after="0" w:line="1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 connection with the IPO, the Company reorganized its ownership structure from a limited liability company to a corporation. Pursuant to the terms of the Integrated Contribution Agreement by and among the Company, FS Arhaus Holding, Inc. (“FS Arhaus,” “Class B Units,” or “noncontrolling interest”), a Delaware corporation, Homeworks Holdings Inc. (“Homeworks,” or “Class A Units”) and the unit holders (“Management Unitholders”) of LLC, a series of transactions were completed on November 8, 2021, which we refer to, collectively, as the “Reorganization.” LLC and Homeworks were identified as entities under common control, in which both entities are ultimately controlled by the same party before and after the Reorganization and therefore resulted in a change in reporting entity. In accordance with ASC 805-50-45-5, for transactions between entities under common control, the condensed consolidated financial statements for periods prior to the Reorganization have been adjusted to retrospectively combine the previously separate entities for presentation purposes.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49"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The condensed consolidated financial statements have been prepared in conformity with accounting principles generally accepted in the United States of America (“U.S. GAAP”). The accompanying condensed consolidated financial statements include our accounts and those of our wholly owned subsidiaries. Accordingly, all intercompany balances and transactions have been eliminated through the consolidation process. Certain reclassifications have been made to prior years' condensed consolidated financial statements to conform to the current year's presentation.</w:t>
      </w:r>
    </w:p>
    <w:p>
      <w:pPr>
        <w:spacing w:after="0" w:line="11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accompanying condensed consolidated balance sheets at September 30, 2022 and December 31, 2021, the condensed consolidated statements of comprehensive income and changes in stockholders’equity (deficit) for the nine and three months ended September 30, 2022 and 2021, the condensed consolidated statements of cash flows for the nine months ended September 30, 2022 and 2021 and the related interim condensed consolidated disclosures are unaudited and have been prepared pursuant to the rules and regulations of the Securities and Exchange Commission (“SEC”) for interim financial information. Accordingly, they do not include all of the information and footnotes required by U.S. GAAP for complete financial statements.</w:t>
      </w:r>
    </w:p>
    <w:p>
      <w:pPr>
        <w:spacing w:after="0" w:line="10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In management’s opinion, the accompanying condensed consolidated financial statements contain all adjustments, consisting of only normal recurring adjustments, necessary for a fair statement of the Company’s financial position at September 30, 2022; the results of operations and changes in stockholders’equity (deficit) for the nine and three months ended September 30, 2022 and 2021 and the condensed consolidated statements of cash flows for the nine months ended September 30, 2022 and 2021. The condensed consolidated balance sheet as of December 31, 2021 included herein was derived from audited financial statements, but does not include all disclosures required by U.S. GAAP.</w:t>
      </w:r>
    </w:p>
    <w:p>
      <w:pPr>
        <w:spacing w:after="0" w:line="10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results for the nine and three months ended September 30, 2022 and 2021 are not necessarily indicative of the operating results to be expected for the full fiscal year or any future period. Certain information and footnote disclosures normally included in annual financial statements prepared in accordance with U.S. GAAP have been condensed or omitted. Therefore, these condensed consolidated financial statements should be read in conjunction with the consolidated financial statements and notes thereto included in our Annual Report on Form 10-K for the year ended December 31, 2021.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preparation of our condensed consolidated financial statements in conformity with U.S. GAAP requires management to make estimates and assumptions that affect the reported amounts of assets and liabilities, disclosures of contingent assets and liabilities at the date of the condensed consolidated financial statements and the reported amounts of revenues and expenses during the reporting period. Actual results could differ from those estimates. The accounting estimates and other matters included within our condensed consolidated financial statements and notes to the condensed consolidated financial statements are revenue recognition, including a reserve for merchandise returns, goodwill and fair value of financial instruments which include, but are not limited to, accounts receivable, payables, lease obligations, derivative and equity based compensation instruments.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Client Deposits</w:t>
      </w:r>
    </w:p>
    <w:p>
      <w:pPr>
        <w:spacing w:after="0" w:line="14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Client deposits represent payments made by clients on orders. At the time of purchase, the Company collects deposits for all orders equivalent to at least 50 percent of the clients’ purchase price. Orders are recognized as revenue when the merchandise is delivered to the client and at the time of delivery the client deposit is no longer recorded as a liability. The Company expects substantially all client deposits as of September 30, 2022 will be recognized as net revenue within the next 12 months as the performance obligations are satisfied.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Gift Cards</w:t>
      </w:r>
    </w:p>
    <w:p>
      <w:pPr>
        <w:spacing w:after="0" w:line="149"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Company sells gift cards to clients in our Showrooms and through our website. Such gift cards do not have expiration dates. We defer revenue when payments are received in advance of performance for unsatisfied obligations related to our gift cards. The liability related to unredeemed gift cards of $0.9 million and $0.9 million at September 30, 2022 and December 31, 2021, respectively, is recorded in the accrued other expenses line item of the condensed consolidated balance sheets. The Company recognizes income associated with breakage proportional to actual gift card redemptions.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Values of Financial Instruments</w:t>
      </w:r>
    </w:p>
    <w:p>
      <w:pPr>
        <w:spacing w:after="0" w:line="15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Company’s primary financial instruments are cash and cash equivalent investments, accounts receivable, payables, lease obligations, a derivative and equity based compensation instruments. Due to the short-term maturities of cash and cash equivalent investments, accounts receivable and payables, the Company believes the fair values of these instruments approximate their respective carrying values at September 30, 2022 and December 31, 2021. See Note 4 for discussion of our derivative, Note 5 for discussion of our lease obligations and Note 6 for discussion of our equity based compensation instruments.</w:t>
      </w:r>
    </w:p>
    <w:p>
      <w:pPr>
        <w:spacing w:after="0" w:line="109"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04" w:lineRule="exact"/>
        <w:rPr>
          <w:sz w:val="20"/>
          <w:szCs w:val="20"/>
          <w:color w:val="auto"/>
        </w:rPr>
      </w:pPr>
    </w:p>
    <w:p>
      <w:pPr>
        <w:ind w:left="520"/>
        <w:spacing w:after="0"/>
        <w:tabs>
          <w:tab w:leader="none" w:pos="126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Unadjusted quoted prices in active markets for identical, unrestricted assets and liabilities that the reporting entity has the ability to access at the measurement date.</w:t>
      </w:r>
    </w:p>
    <w:p>
      <w:pPr>
        <w:spacing w:after="0" w:line="157" w:lineRule="exact"/>
        <w:rPr>
          <w:sz w:val="20"/>
          <w:szCs w:val="20"/>
          <w:color w:val="auto"/>
        </w:rPr>
      </w:pPr>
    </w:p>
    <w:p>
      <w:pPr>
        <w:ind w:left="1280" w:right="240" w:hanging="763"/>
        <w:spacing w:after="0" w:line="287" w:lineRule="auto"/>
        <w:tabs>
          <w:tab w:leader="none" w:pos="126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other than quoted prices included within Level 1 that are observable for the asset and liability or can be corroborated with observable market data for substantially the entire contractual term of the asset or liability.</w:t>
      </w:r>
    </w:p>
    <w:p>
      <w:pPr>
        <w:spacing w:after="0" w:line="92" w:lineRule="exact"/>
        <w:rPr>
          <w:sz w:val="20"/>
          <w:szCs w:val="20"/>
          <w:color w:val="auto"/>
        </w:rPr>
      </w:pPr>
    </w:p>
    <w:p>
      <w:pPr>
        <w:ind w:left="1280" w:right="180" w:hanging="763"/>
        <w:spacing w:after="0" w:line="287" w:lineRule="auto"/>
        <w:tabs>
          <w:tab w:leader="none" w:pos="126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135"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4"/>
          <w:szCs w:val="14"/>
          <w:color w:val="auto"/>
        </w:rPr>
        <w:t>From time to time, the Company invests in money market funds and other Level 1 cash and cash equivalent investments. For the nine and three months ended September 30, 2022, the Company earned $0.6 million and $0.6 million, respectively in interest income. Interest income is included within interest expense, net on our condensed consolidated statements of comprehensive income.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right="8780" w:firstLine="5"/>
        <w:spacing w:after="0" w:line="466" w:lineRule="auto"/>
        <w:tabs>
          <w:tab w:leader="none" w:pos="141"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Recently Issued Accounting Standards New Accounting Standards Adopted</w:t>
      </w:r>
    </w:p>
    <w:p>
      <w:pPr>
        <w:spacing w:after="0" w:line="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 xml:space="preserve">In February 2016, the Financial Accounting Standards Board (“FASB”) issued Accounting Standards Update (“ASU”) 2016-02,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which, for operating leases, requires a lessee to recognize a right-of-use asset and a lease liability, initially measured at the present value of the lease payments, in its balance sheets. While it will still be necessary for lessees to distinguish between “operating” and “financing” (formerly known as “capital”) leases, these distinctions will primarily affect how a lessee must recognize expense in its income statement. The new guidance is effective for financial statements issued for annual periods beginning after December 15, 2021.</w:t>
      </w:r>
    </w:p>
    <w:p>
      <w:pPr>
        <w:spacing w:after="0" w:line="10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 adopted ASC 842 as of January 1, 2022, using the modified retrospective approach by applying the transition provisions at the beginning of the period of adoption. Comparative periods will continue to be presented in accordance with ASC 840. The Company elected the package of practical expedients permitted under the transition guidance, which allowed the Company to carryforward the historical lease classification, lease identification and initial direct costs. The Company did not elect the “Land Easements” or “Hindsight” practical expedients. Additionally, the Company made the following accounting policy elections in connection with the adoption:</w:t>
      </w:r>
    </w:p>
    <w:p>
      <w:pPr>
        <w:spacing w:after="0" w:line="119"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 short-term leases from our consolidated balance sheets; and</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both the lease and non-lease components as a single component and account for it as a lease.</w:t>
      </w:r>
    </w:p>
    <w:p>
      <w:pPr>
        <w:spacing w:after="0" w:line="13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 xml:space="preserve">As a result, the Company measured the right-of-use asset and lease liability for operating and finance leases as of January 1, 2022, using the remaining portion of the lease term that was determined under ASC 840. The adoption resulted in $242.0 million recognized as total right-of-use assets and $326.5 million recognized as total lease liabilities on our consolidated balance sheets as of January 1, 2022. For certain previous operating and capital leases, we qualified as the deemed owner of the construction project due to our significant involvement during the construction period under build-to-suit lease accounting requirements within ASC 840. As part of our adoption of ASC 842, we derecognized the cost of these construction projects of $31.0 million, which were previously recorded in property, furniture and equipment, net with an offsetting obligation in accrued other expenses on our consolidated balance sheets at December 31, 2021. See Note 5 —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additional information.</w:t>
      </w:r>
    </w:p>
    <w:p>
      <w:pPr>
        <w:spacing w:after="0" w:line="1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 October 2020, the FASB issued ASU 2020-10, “Codification Improvements.” The amendments in this update represent changes to clarify the Codification or correct unintended application of guidance that are not expected to have a significant effect on current accounting practice. The amendments in this update affect a wide variety of Topics in the Codification and apply to all reporting entities within the scope of the affected accounting guidance. ASU 2020-10 is effective for annual periods beginning after December 15, 2021 for non-public business entities. Early application is permitted. The amendments in this update should be applied retrospectively. The Company adopted the standard as of January 1, 2022. The adoption of this standard did not have a material impact on our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Merchandise Warranties</w:t>
      </w:r>
    </w:p>
    <w:p>
      <w:pPr>
        <w:spacing w:after="0" w:line="14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changes in our limited merchandise warranty liability is as follows (amounts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71"/>
        </w:trPr>
        <w:tc>
          <w:tcPr>
            <w:tcW w:w="40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beginning of period</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4,724</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3,326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5,412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w w:val="95"/>
              </w:rPr>
              <w:t>3,868</w:t>
            </w:r>
          </w:p>
        </w:tc>
      </w:tr>
      <w:tr>
        <w:trPr>
          <w:trHeight w:val="180"/>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Accruals during the period</w:t>
            </w:r>
          </w:p>
        </w:tc>
        <w:tc>
          <w:tcPr>
            <w:tcW w:w="960" w:type="dxa"/>
            <w:vAlign w:val="bottom"/>
          </w:tcPr>
          <w:p>
            <w:pPr>
              <w:spacing w:after="0"/>
              <w:rPr>
                <w:sz w:val="15"/>
                <w:szCs w:val="15"/>
                <w:color w:val="auto"/>
              </w:rPr>
            </w:pPr>
          </w:p>
        </w:tc>
        <w:tc>
          <w:tcPr>
            <w:tcW w:w="5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8,285</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5,652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3,181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center"/>
              <w:ind w:left="649"/>
              <w:spacing w:after="0"/>
              <w:rPr>
                <w:sz w:val="20"/>
                <w:szCs w:val="20"/>
                <w:color w:val="auto"/>
              </w:rPr>
            </w:pPr>
            <w:r>
              <w:rPr>
                <w:rFonts w:ascii="Times New Roman" w:cs="Times New Roman" w:eastAsia="Times New Roman" w:hAnsi="Times New Roman"/>
                <w:sz w:val="14"/>
                <w:szCs w:val="14"/>
                <w:color w:val="auto"/>
                <w:w w:val="95"/>
              </w:rPr>
              <w:t>2,138</w:t>
            </w:r>
          </w:p>
        </w:tc>
      </w:tr>
      <w:tr>
        <w:trPr>
          <w:trHeight w:val="18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Settlements during the period</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(7,152)</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(4,712)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center"/>
              <w:ind w:left="689"/>
              <w:spacing w:after="0"/>
              <w:rPr>
                <w:sz w:val="20"/>
                <w:szCs w:val="20"/>
                <w:color w:val="auto"/>
              </w:rPr>
            </w:pPr>
            <w:r>
              <w:rPr>
                <w:rFonts w:ascii="Times New Roman" w:cs="Times New Roman" w:eastAsia="Times New Roman" w:hAnsi="Times New Roman"/>
                <w:sz w:val="14"/>
                <w:szCs w:val="14"/>
                <w:color w:val="auto"/>
              </w:rPr>
              <w:t>(2,736)</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w w:val="97"/>
              </w:rPr>
              <w:t>(1,740)</w:t>
            </w:r>
          </w:p>
        </w:tc>
      </w:tr>
      <w:tr>
        <w:trPr>
          <w:trHeight w:val="171"/>
        </w:trPr>
        <w:tc>
          <w:tcPr>
            <w:tcW w:w="406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color w:val="auto"/>
              </w:rPr>
              <w:t>Balance as of end of the period</w:t>
            </w:r>
            <w:r>
              <w:rPr>
                <w:rFonts w:ascii="Times New Roman" w:cs="Times New Roman" w:eastAsia="Times New Roman" w:hAnsi="Times New Roman"/>
                <w:sz w:val="18"/>
                <w:szCs w:val="18"/>
                <w:color w:val="auto"/>
                <w:vertAlign w:val="superscript"/>
              </w:rPr>
              <w:t>(1)</w:t>
            </w: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rPr>
              <w:t>5,857</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4,266</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center"/>
              <w:ind w:left="709"/>
              <w:spacing w:after="0"/>
              <w:rPr>
                <w:sz w:val="20"/>
                <w:szCs w:val="20"/>
                <w:color w:val="auto"/>
              </w:rPr>
            </w:pPr>
            <w:r>
              <w:rPr>
                <w:rFonts w:ascii="Times New Roman" w:cs="Times New Roman" w:eastAsia="Times New Roman" w:hAnsi="Times New Roman"/>
                <w:sz w:val="14"/>
                <w:szCs w:val="14"/>
                <w:color w:val="auto"/>
              </w:rPr>
              <w:t>5,857</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center"/>
              <w:ind w:left="649"/>
              <w:spacing w:after="0"/>
              <w:rPr>
                <w:sz w:val="20"/>
                <w:szCs w:val="20"/>
                <w:color w:val="auto"/>
              </w:rPr>
            </w:pPr>
            <w:r>
              <w:rPr>
                <w:rFonts w:ascii="Times New Roman" w:cs="Times New Roman" w:eastAsia="Times New Roman" w:hAnsi="Times New Roman"/>
                <w:sz w:val="14"/>
                <w:szCs w:val="14"/>
                <w:color w:val="auto"/>
                <w:w w:val="95"/>
              </w:rPr>
              <w:t>4,266</w:t>
            </w:r>
          </w:p>
        </w:tc>
      </w:tr>
      <w:tr>
        <w:trPr>
          <w:trHeight w:val="20"/>
        </w:trPr>
        <w:tc>
          <w:tcPr>
            <w:tcW w:w="4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40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pacing w:after="0" w:line="96" w:lineRule="exact"/>
        <w:rPr>
          <w:sz w:val="20"/>
          <w:szCs w:val="20"/>
          <w:color w:val="auto"/>
        </w:rPr>
      </w:pPr>
    </w:p>
    <w:p>
      <w:pPr>
        <w:ind w:left="120" w:hanging="115"/>
        <w:spacing w:after="0"/>
        <w:tabs>
          <w:tab w:leader="none" w:pos="120" w:val="left"/>
        </w:tabs>
        <w:numPr>
          <w:ilvl w:val="0"/>
          <w:numId w:val="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$3.4 million and $2.7 million were recorded in accrued other expenses at September 30, 2022 and December 31, 2021, respectively. The remainder is recorded in other long-term liabilities on our condensed consolidated balance sheets.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recorded accruals during the periods presented in the table above, primarily to reflect charges that relate to limited merchandise warranties issued during the respective periods.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Long-Term Debt</w:t>
      </w:r>
    </w:p>
    <w:p>
      <w:pPr>
        <w:spacing w:after="0" w:line="14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On June 25, 2020, the Company entered into a credit agreement (“Revolver”), which included a revolving credit facility of $30.0 million with availability limited pursuant to a borrowing base formula based on specified percentages of eligible inventory, net of reserves. The Company’s borrowings under the Revolver bore variable interest rates at the LIBOR index rate (“LIBOR”) plus the applicable margin (5.5% at September 30, 2021). In the event LIBOR ceased to be available during the term of the Revolver, the Revolver provided procedures to determine an Alternate Base Rate. The Revolver was to expire on June 25, 2023.</w:t>
      </w:r>
    </w:p>
    <w:p>
      <w:pPr>
        <w:spacing w:after="0" w:line="11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Loan costs related to the Revolver of $1.5 million were recorded in other noncurrent assets and were amortized over the term of the debt on a straight-line basis, which approximated the effective interest method. Amortization expense was $0.4 million and $0.1 million for the nine and three months ended September 30, 2021, respectively, and was included in interest expense, net within the condensed consolidated statements of comprehensive income. On November 4, 2021, the Company terminated the Revolver of which there were no borrowings drawn.</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On November 8, 2021, the Company entered into a new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is $50.0 million, which may be increased pursuant to the terms of the 2021 Credit Facility. The 2021 Credit Facility contains restrictive covenants and has certain financial covenants, including a minimum rent-adjusted total leverage ratio and a minimum fixed charge ratio. The 2021 Credit Facility bears variable interest rates at the prevailing Bloomberg Short-Term Bank Yield index rate plus the applicable margin (1.50% at September 30, 2022), whereas the applicable margin is adjusted quarterly based on the Company’s consolidated rent-adjusted total leverage ratio. The 2021 Credit Facility expires on November 8, 2026.</w:t>
      </w:r>
    </w:p>
    <w:p>
      <w:pPr>
        <w:spacing w:after="0" w:line="11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At September 30, 2022 and December 31, 2021, we had no borrowings on the 2021 Credit Facility. Deferred financing costs related to the 2021 Credit Facility of $0.3 million are recorded in other noncurrent assets on the consolidated balance sheets and will be amortized over the term of the 2021 Credit Facility on a straight-line basis, which approximates the effective interest method. Accumulated amortization related to deferred financing costs for the 2021 Credit Facility was $0.1 million as of September 30, 2022.</w:t>
      </w:r>
    </w:p>
    <w:p>
      <w:pPr>
        <w:spacing w:after="0" w:line="11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Prior to the Company entering into the Revolver and 2021 Credit Facility, the debt structure (“Prior Credit Facilities”) included a revolving credit facility (the “Prior Revolver”) and a term loan (the “Term Loan”). The Prior Revolver was terminated on June 25, 2020 and Term Loan was paid in full on December 28, 2020.</w:t>
      </w:r>
    </w:p>
    <w:p>
      <w:pPr>
        <w:spacing w:after="0" w:line="9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Company’s Term Loan had an exit fee clause which allowed the holder of the Term Loan to receive either $3.0 million upon repayment of the Term Loan or a payout equivalent to 4.0% of the total equity value of the Company. The 4.0% of</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total equity value of the Company payout was payable upon a change of control, qualified IPO or sale of all or substantially all assets of the Company. In connection with the repayment of the Term Loan on December 28, 2020, the holder informed the Company they would decline the option to receive the $3.0 million and elect to receive a payout equivalent to 4.0% of the equity value of the Company. The exit fee was treated as a derivative and adjusted to fair value each reporting period. The Company recorded derivative expense of $29.9 million and $0.1 million for the nine and three months ended September 30, 2021, respectively, which was included in selling, general and administrative expense within the condensed consolidated statements of comprehensive income. The Company used a portion of the net proceeds from the IPO to pay the derivative liability on November 8, 2021.</w:t>
      </w:r>
    </w:p>
    <w:p>
      <w:pPr>
        <w:spacing w:after="0" w:line="12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At September 30, 2021, the Company’s valuation of the derivative liability was measured using the probability-weighted expected return model (“PWERM”). The PWERM is a scenario-based methodology that estimates the fair value of the derivative based upon an analysis of future values for the Company. The Company considered two different scenarios:(a) remain private; and (b) IPO. Under the remain private scenario, as of September 30, 2021, the Company estimated the enterprise value by weighting the guideline public company method and the discounted cash flow method, and then relied on the option pricing method (“OPM”) and applied a discount for lack of marketability (“DLOM”). The OPM estimated the value using the Black-Scholes OPM. The fair value of the exit fee was determined utilizing unobservable inputs and therefore is a Level 3 measurement under the fair value hierarchy. The key assumptions used within the Black-Scholes OPM as of September 30, 2021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8"/>
        </w:trPr>
        <w:tc>
          <w:tcPr>
            <w:tcW w:w="224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7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 years</w:t>
            </w:r>
          </w:p>
        </w:tc>
      </w:tr>
      <w:tr>
        <w:trPr>
          <w:trHeight w:val="18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rate of return</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1.50%</w:t>
            </w:r>
          </w:p>
        </w:tc>
      </w:tr>
      <w:tr>
        <w:trPr>
          <w:trHeight w:val="18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40.00%</w:t>
            </w:r>
          </w:p>
        </w:tc>
      </w:tr>
      <w:tr>
        <w:trPr>
          <w:trHeight w:val="18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0.00%</w:t>
            </w:r>
          </w:p>
        </w:tc>
      </w:tr>
      <w:tr>
        <w:trPr>
          <w:trHeight w:val="18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DLOM</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24.70%</w:t>
            </w:r>
          </w:p>
        </w:tc>
      </w:tr>
    </w:tbl>
    <w:p>
      <w:pPr>
        <w:spacing w:after="0" w:line="198"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The assumed volatility assumption is based on that of an identified group of comparable public companies. The fair value of the exit fee has been determined utilizing unobservable inputs and therefore is a Level 3 measurement under the fair value hierarchy.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was in compliance with all applicable debt covenants at September 30, 2022 and December 31,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Leases</w:t>
      </w:r>
    </w:p>
    <w:p>
      <w:pPr>
        <w:spacing w:after="0" w:line="1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Company leases real estate and equipment under operating and finance leases, some of which are from related parties as discussed in Note 10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The most significant obligations under these lease agreements require the payments of periodic rentals, real estate taxes, insurance and maintenance costs. Depending on particular Showroom leases, the Company can also owe a percentage rent payment if particular Showrooms meet certain sales figures.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amounts recognized in our condensed consolidated balance sheets related to leases as of September 30, 2022 (amounts in thousands):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 Classification</w:t>
            </w:r>
          </w:p>
        </w:tc>
        <w:tc>
          <w:tcPr>
            <w:tcW w:w="240" w:type="dxa"/>
            <w:vAlign w:val="bottom"/>
          </w:tcPr>
          <w:p>
            <w:pPr>
              <w:spacing w:after="0"/>
              <w:rPr>
                <w:sz w:val="16"/>
                <w:szCs w:val="16"/>
                <w:color w:val="auto"/>
              </w:rPr>
            </w:pPr>
          </w:p>
        </w:tc>
        <w:tc>
          <w:tcPr>
            <w:tcW w:w="17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161"/>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740" w:type="dxa"/>
            <w:vAlign w:val="bottom"/>
            <w:tcBorders>
              <w:top w:val="single" w:sz="8" w:color="auto"/>
            </w:tcBorders>
            <w:shd w:val="clear" w:color="auto" w:fill="CCEEFF"/>
          </w:tcPr>
          <w:p>
            <w:pPr>
              <w:spacing w:after="0"/>
              <w:rPr>
                <w:sz w:val="13"/>
                <w:szCs w:val="13"/>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224,921</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assets</w:t>
            </w: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right-of-use assets</w:t>
            </w:r>
          </w:p>
        </w:tc>
        <w:tc>
          <w:tcPr>
            <w:tcW w:w="2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39,062</w:t>
            </w:r>
          </w:p>
        </w:tc>
      </w:tr>
      <w:tr>
        <w:trPr>
          <w:trHeight w:val="17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leased assets</w:t>
            </w:r>
          </w:p>
        </w:tc>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263,983</w:t>
            </w: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89"/>
        </w:trPr>
        <w:tc>
          <w:tcPr>
            <w:tcW w:w="3480" w:type="dxa"/>
            <w:vAlign w:val="bottom"/>
            <w:shd w:val="clear" w:color="auto" w:fill="CCEEFF"/>
          </w:tcPr>
          <w:p>
            <w:pPr>
              <w:spacing w:after="0"/>
              <w:rPr>
                <w:sz w:val="7"/>
                <w:szCs w:val="7"/>
                <w:color w:val="auto"/>
              </w:rPr>
            </w:pPr>
          </w:p>
        </w:tc>
        <w:tc>
          <w:tcPr>
            <w:tcW w:w="5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740" w:type="dxa"/>
            <w:vAlign w:val="bottom"/>
            <w:shd w:val="clear" w:color="auto" w:fill="CCEEFF"/>
          </w:tcPr>
          <w:p>
            <w:pPr>
              <w:spacing w:after="0"/>
              <w:rPr>
                <w:sz w:val="7"/>
                <w:szCs w:val="7"/>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operating leases</w:t>
            </w: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39,248</w:t>
            </w:r>
          </w:p>
        </w:tc>
      </w:tr>
      <w:tr>
        <w:trPr>
          <w:trHeight w:val="18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operating leases</w:t>
            </w:r>
          </w:p>
        </w:tc>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Operating lease liabilities, long-term</w:t>
            </w: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263,753</w:t>
            </w:r>
          </w:p>
        </w:tc>
      </w:tr>
      <w:tr>
        <w:trPr>
          <w:trHeight w:val="17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5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303,001</w:t>
            </w:r>
          </w:p>
        </w:tc>
      </w:tr>
      <w:tr>
        <w:trPr>
          <w:trHeight w:val="212"/>
        </w:trPr>
        <w:tc>
          <w:tcPr>
            <w:tcW w:w="34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finance leases</w:t>
            </w: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financing lease liabilities</w:t>
            </w:r>
          </w:p>
        </w:tc>
        <w:tc>
          <w:tcPr>
            <w:tcW w:w="24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r>
      <w:tr>
        <w:trPr>
          <w:trHeight w:val="18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finance leases</w:t>
            </w:r>
          </w:p>
        </w:tc>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Financing lease liabilities, long-term</w:t>
            </w: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51,908</w:t>
            </w:r>
          </w:p>
        </w:tc>
      </w:tr>
      <w:tr>
        <w:trPr>
          <w:trHeight w:val="17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liabilities</w:t>
            </w:r>
          </w:p>
        </w:tc>
        <w:tc>
          <w:tcPr>
            <w:tcW w:w="5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52,430</w:t>
            </w:r>
          </w:p>
        </w:tc>
      </w:tr>
      <w:tr>
        <w:trPr>
          <w:trHeight w:val="17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355,431</w:t>
            </w:r>
          </w:p>
        </w:tc>
      </w:tr>
      <w:tr>
        <w:trPr>
          <w:trHeight w:val="20"/>
        </w:trPr>
        <w:tc>
          <w:tcPr>
            <w:tcW w:w="34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components of lease cost recognized within our condensed consolidated statements of comprehensive income for the nine and three months ended September 30, 2022 are as follows (amounts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48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5"/>
        </w:trPr>
        <w:tc>
          <w:tcPr>
            <w:tcW w:w="36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4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6"/>
        </w:trPr>
        <w:tc>
          <w:tcPr>
            <w:tcW w:w="3600" w:type="dxa"/>
            <w:vAlign w:val="bottom"/>
          </w:tcPr>
          <w:p>
            <w:pPr>
              <w:spacing w:after="0"/>
              <w:rPr>
                <w:sz w:val="16"/>
                <w:szCs w:val="16"/>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Income Statement Classification</w:t>
            </w:r>
          </w:p>
        </w:tc>
        <w:tc>
          <w:tcPr>
            <w:tcW w:w="160" w:type="dxa"/>
            <w:vAlign w:val="bottom"/>
          </w:tcPr>
          <w:p>
            <w:pPr>
              <w:spacing w:after="0"/>
              <w:rPr>
                <w:sz w:val="16"/>
                <w:szCs w:val="16"/>
                <w:color w:val="auto"/>
              </w:rPr>
            </w:pPr>
          </w:p>
        </w:tc>
        <w:tc>
          <w:tcPr>
            <w:tcW w:w="146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6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costs:</w:t>
            </w:r>
          </w:p>
        </w:tc>
        <w:tc>
          <w:tcPr>
            <w:tcW w:w="4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r>
      <w:tr>
        <w:trPr>
          <w:trHeight w:val="180"/>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costs</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25,798</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8,716</w:t>
            </w:r>
          </w:p>
        </w:tc>
      </w:t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costs</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w:t>
            </w:r>
          </w:p>
        </w:tc>
      </w:tr>
      <w:tr>
        <w:trPr>
          <w:trHeight w:val="180"/>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costs</w:t>
            </w: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 on lease liabilities</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w:t>
            </w:r>
          </w:p>
        </w:tc>
      </w:tr>
      <w:tr>
        <w:trPr>
          <w:trHeight w:val="180"/>
        </w:trPr>
        <w:tc>
          <w:tcPr>
            <w:tcW w:w="36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lease costs</w:t>
            </w:r>
            <w:r>
              <w:rPr>
                <w:rFonts w:ascii="Times New Roman" w:cs="Times New Roman" w:eastAsia="Times New Roman" w:hAnsi="Times New Roman"/>
                <w:sz w:val="18"/>
                <w:szCs w:val="18"/>
                <w:color w:val="auto"/>
                <w:vertAlign w:val="superscript"/>
              </w:rPr>
              <w:t>(1)</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9,961</w:t>
            </w:r>
          </w:p>
        </w:tc>
      </w:tr>
      <w:tr>
        <w:trPr>
          <w:trHeight w:val="180"/>
        </w:trPr>
        <w:tc>
          <w:tcPr>
            <w:tcW w:w="36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lease costs</w:t>
            </w:r>
            <w:r>
              <w:rPr>
                <w:rFonts w:ascii="Times New Roman" w:cs="Times New Roman" w:eastAsia="Times New Roman" w:hAnsi="Times New Roman"/>
                <w:sz w:val="18"/>
                <w:szCs w:val="18"/>
                <w:color w:val="auto"/>
                <w:vertAlign w:val="superscript"/>
              </w:rPr>
              <w:t>(1)</w:t>
            </w:r>
          </w:p>
        </w:tc>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96"/>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costs</w:t>
            </w:r>
          </w:p>
        </w:tc>
        <w:tc>
          <w:tcPr>
            <w:tcW w:w="4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63,086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22,612</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360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bl>
    <w:p>
      <w:pPr>
        <w:spacing w:after="0" w:line="46" w:lineRule="exact"/>
        <w:rPr>
          <w:sz w:val="20"/>
          <w:szCs w:val="20"/>
          <w:color w:val="auto"/>
        </w:rPr>
      </w:pPr>
    </w:p>
    <w:p>
      <w:pPr>
        <w:ind w:left="100" w:hanging="95"/>
        <w:spacing w:after="0"/>
        <w:tabs>
          <w:tab w:leader="none" w:pos="100" w:val="left"/>
        </w:tabs>
        <w:numPr>
          <w:ilvl w:val="0"/>
          <w:numId w:val="6"/>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Other lease costs includes short-term lease costs and variable lease costs.</w:t>
      </w:r>
    </w:p>
    <w:p>
      <w:pPr>
        <w:spacing w:after="0" w:line="15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Rent expense, amortization of landlord improvements and percentage rent expense calculated under ASC 840 were $47.1 million, $8.7 million and $2.5 million for the nine months ended September 30, 2021, respectively. Rent expense, amortization of landlord improvements and percentage rent expense calculated under ASC 840 were $15.8 million, $3.1 million and $1.3 million for the three months ended September 30, 2021, respectively.</w:t>
      </w:r>
    </w:p>
    <w:p>
      <w:pPr>
        <w:spacing w:after="0" w:line="114"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We often have options to renew lease terms for Showrooms and other assets. The exercise of lease renewal options is generally at our sole discretion. In addition, certain lease agreements may be terminated prior to their original expiration date at our discretion. We evaluate each renewal and termination options at the lease commencement date to determine if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reasonably certain to exercise the option on the basis of economic factors. The table below summarizes the weighted average remaining lease terms as of September 30,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Remaining Lease Term (In Years)</w:t>
            </w:r>
          </w:p>
        </w:tc>
        <w:tc>
          <w:tcPr>
            <w:tcW w:w="172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171"/>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8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r>
      <w:tr>
        <w:trPr>
          <w:trHeight w:val="184"/>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w:t>
            </w:r>
          </w:p>
        </w:tc>
      </w:tr>
    </w:tbl>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discount rate implicit within our finance leases was determined at the time of lease commencement. However, the discount rate implicit within our operating leases is generally not determinable at the time of lease commencement and therefore the Company determines the discount rate based on its incremental borrowing rate. For all operating leases, the Company utilized a market-based approach to estimate the incremental borrowing rate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table below summarizes the weighted average discount rate used to measure our lease liabilities as of September 30, 2022.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Discount Rate</w:t>
            </w:r>
          </w:p>
        </w:tc>
        <w:tc>
          <w:tcPr>
            <w:tcW w:w="1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171"/>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4.39 %</w:t>
            </w:r>
          </w:p>
        </w:tc>
      </w:tr>
      <w:tr>
        <w:trPr>
          <w:trHeight w:val="184"/>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9.72 %</w:t>
            </w:r>
          </w:p>
        </w:tc>
      </w:tr>
      <w:tr>
        <w:trPr>
          <w:trHeight w:val="378"/>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Future lease liabilities at September 30, 2022 are as follows (amounts in thousands):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Lease Liabilities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24"/>
                <w:szCs w:val="24"/>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Finance Lease Liabilities</w:t>
            </w:r>
          </w:p>
        </w:tc>
        <w:tc>
          <w:tcPr>
            <w:tcW w:w="180" w:type="dxa"/>
            <w:vAlign w:val="bottom"/>
          </w:tcPr>
          <w:p>
            <w:pPr>
              <w:spacing w:after="0"/>
              <w:rPr>
                <w:sz w:val="24"/>
                <w:szCs w:val="24"/>
                <w:color w:val="auto"/>
              </w:rPr>
            </w:pPr>
          </w:p>
        </w:tc>
        <w:tc>
          <w:tcPr>
            <w:tcW w:w="18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r>
      <w:tr>
        <w:trPr>
          <w:trHeight w:val="171"/>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2022</w:t>
            </w:r>
          </w:p>
        </w:tc>
        <w:tc>
          <w:tcPr>
            <w:tcW w:w="1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13,655</w:t>
            </w:r>
          </w:p>
        </w:tc>
        <w:tc>
          <w:tcPr>
            <w:tcW w:w="180" w:type="dxa"/>
            <w:vAlign w:val="bottom"/>
          </w:tcPr>
          <w:p>
            <w:pPr>
              <w:spacing w:after="0"/>
              <w:rPr>
                <w:sz w:val="14"/>
                <w:szCs w:val="14"/>
                <w:color w:val="auto"/>
              </w:rPr>
            </w:pP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51,708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57,041</w:t>
            </w:r>
          </w:p>
        </w:tc>
        <w:tc>
          <w:tcPr>
            <w:tcW w:w="180" w:type="dxa"/>
            <w:vAlign w:val="bottom"/>
          </w:tcPr>
          <w:p>
            <w:pPr>
              <w:spacing w:after="0"/>
              <w:rPr>
                <w:sz w:val="15"/>
                <w:szCs w:val="15"/>
                <w:color w:val="auto"/>
              </w:rPr>
            </w:pP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46,897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52,050</w:t>
            </w:r>
          </w:p>
        </w:tc>
        <w:tc>
          <w:tcPr>
            <w:tcW w:w="180" w:type="dxa"/>
            <w:vAlign w:val="bottom"/>
          </w:tcPr>
          <w:p>
            <w:pPr>
              <w:spacing w:after="0"/>
              <w:rPr>
                <w:sz w:val="15"/>
                <w:szCs w:val="15"/>
                <w:color w:val="auto"/>
              </w:rPr>
            </w:pP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40,472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45,625</w:t>
            </w:r>
          </w:p>
        </w:tc>
        <w:tc>
          <w:tcPr>
            <w:tcW w:w="180" w:type="dxa"/>
            <w:vAlign w:val="bottom"/>
          </w:tcPr>
          <w:p>
            <w:pPr>
              <w:spacing w:after="0"/>
              <w:rPr>
                <w:sz w:val="15"/>
                <w:szCs w:val="15"/>
                <w:color w:val="auto"/>
              </w:rPr>
            </w:pP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43,438</w:t>
            </w:r>
          </w:p>
        </w:tc>
        <w:tc>
          <w:tcPr>
            <w:tcW w:w="180" w:type="dxa"/>
            <w:vAlign w:val="bottom"/>
          </w:tcPr>
          <w:p>
            <w:pPr>
              <w:spacing w:after="0"/>
              <w:rPr>
                <w:sz w:val="15"/>
                <w:szCs w:val="15"/>
                <w:color w:val="auto"/>
              </w:rPr>
            </w:pP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39,641</w:t>
            </w:r>
          </w:p>
        </w:tc>
        <w:tc>
          <w:tcPr>
            <w:tcW w:w="180" w:type="dxa"/>
            <w:vAlign w:val="bottom"/>
          </w:tcPr>
          <w:p>
            <w:pPr>
              <w:spacing w:after="0"/>
              <w:rPr>
                <w:sz w:val="15"/>
                <w:szCs w:val="15"/>
                <w:color w:val="auto"/>
              </w:rPr>
            </w:pP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146,193</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115,168</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261,361</w:t>
            </w:r>
          </w:p>
        </w:tc>
        <w:tc>
          <w:tcPr>
            <w:tcW w:w="180" w:type="dxa"/>
            <w:vAlign w:val="bottom"/>
          </w:tcPr>
          <w:p>
            <w:pPr>
              <w:spacing w:after="0"/>
              <w:rPr>
                <w:sz w:val="15"/>
                <w:szCs w:val="15"/>
                <w:color w:val="auto"/>
              </w:rPr>
            </w:pP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1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369,636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143,175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512,811</w:t>
            </w:r>
          </w:p>
        </w:tc>
        <w:tc>
          <w:tcPr>
            <w:tcW w:w="180" w:type="dxa"/>
            <w:vAlign w:val="bottom"/>
          </w:tcPr>
          <w:p>
            <w:pPr>
              <w:spacing w:after="0"/>
              <w:rPr>
                <w:sz w:val="14"/>
                <w:szCs w:val="14"/>
                <w:color w:val="auto"/>
              </w:rPr>
            </w:pP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Amounts representing interest</w:t>
            </w:r>
          </w:p>
        </w:tc>
        <w:tc>
          <w:tcPr>
            <w:tcW w:w="1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(66,635)</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(90,745)</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(157,380)</w:t>
            </w:r>
          </w:p>
        </w:tc>
        <w:tc>
          <w:tcPr>
            <w:tcW w:w="180" w:type="dxa"/>
            <w:vAlign w:val="bottom"/>
          </w:tcPr>
          <w:p>
            <w:pPr>
              <w:spacing w:after="0"/>
              <w:rPr>
                <w:sz w:val="15"/>
                <w:szCs w:val="15"/>
                <w:color w:val="auto"/>
              </w:rPr>
            </w:pPr>
          </w:p>
        </w:tc>
      </w:tr>
      <w:tr>
        <w:trPr>
          <w:trHeight w:val="171"/>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303,001</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52,430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355,431</w:t>
            </w:r>
          </w:p>
        </w:tc>
        <w:tc>
          <w:tcPr>
            <w:tcW w:w="180" w:type="dxa"/>
            <w:vAlign w:val="bottom"/>
          </w:tcPr>
          <w:p>
            <w:pPr>
              <w:spacing w:after="0"/>
              <w:rPr>
                <w:sz w:val="14"/>
                <w:szCs w:val="14"/>
                <w:color w:val="auto"/>
              </w:rPr>
            </w:pPr>
          </w:p>
        </w:tc>
      </w:tr>
      <w:tr>
        <w:trPr>
          <w:trHeight w:val="20"/>
        </w:trPr>
        <w:tc>
          <w:tcPr>
            <w:tcW w:w="3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8"/>
        </w:trPr>
        <w:tc>
          <w:tcPr>
            <w:tcW w:w="37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r>
    </w:tbl>
    <w:p>
      <w:pPr>
        <w:spacing w:after="0" w:line="66" w:lineRule="exact"/>
        <w:rPr>
          <w:sz w:val="20"/>
          <w:szCs w:val="20"/>
          <w:color w:val="auto"/>
        </w:rPr>
      </w:pPr>
    </w:p>
    <w:p>
      <w:pPr>
        <w:ind w:left="120" w:hanging="115"/>
        <w:spacing w:after="0"/>
        <w:tabs>
          <w:tab w:leader="none" w:pos="120" w:val="left"/>
        </w:tabs>
        <w:numPr>
          <w:ilvl w:val="0"/>
          <w:numId w:val="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 xml:space="preserve">Includes leases with related parties. See Note 10 — </w:t>
      </w:r>
      <w:r>
        <w:rPr>
          <w:rFonts w:ascii="Times New Roman" w:cs="Times New Roman" w:eastAsia="Times New Roman" w:hAnsi="Times New Roman"/>
          <w:sz w:val="11"/>
          <w:szCs w:val="11"/>
          <w:i w:val="1"/>
          <w:iCs w:val="1"/>
          <w:color w:val="auto"/>
        </w:rPr>
        <w:t>Related Party Transactions</w:t>
      </w:r>
      <w:r>
        <w:rPr>
          <w:rFonts w:ascii="Times New Roman" w:cs="Times New Roman" w:eastAsia="Times New Roman" w:hAnsi="Times New Roman"/>
          <w:sz w:val="11"/>
          <w:szCs w:val="11"/>
          <w:color w:val="auto"/>
        </w:rPr>
        <w:t xml:space="preserve"> for amounts leased from related parties.</w:t>
      </w:r>
    </w:p>
    <w:p>
      <w:pPr>
        <w:spacing w:after="0" w:line="20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At September 30, 2022, the Company has entered into leases for the expansion of our Boston Heights distribution center, Showrooms and equipment which have not yet commenced with expected lease terms ranging from 5 to 23 years. The aggregate minimum rental payments over the term of the leases of approximately $166.7 million are not included in the above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3"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Future minimum lease payments for operating and capital leases under ASC 840 at December 31, 2021, were as follows (amounts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Operating Leases </w:t>
            </w:r>
            <w:r>
              <w:rPr>
                <w:rFonts w:ascii="Times New Roman" w:cs="Times New Roman" w:eastAsia="Times New Roman" w:hAnsi="Times New Roman"/>
                <w:sz w:val="18"/>
                <w:szCs w:val="18"/>
                <w:b w:val="1"/>
                <w:bCs w:val="1"/>
                <w:color w:val="auto"/>
                <w:vertAlign w:val="superscript"/>
              </w:rPr>
              <w:t>(1)</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Capital Leases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Future Lease Payments</w:t>
            </w:r>
          </w:p>
        </w:tc>
      </w:tr>
      <w:tr>
        <w:trPr>
          <w:trHeight w:val="171"/>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45,892</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50,565</w:t>
            </w: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43,507</w:t>
            </w: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48,180</w:t>
            </w:r>
          </w:p>
        </w:tc>
      </w:tr>
      <w:tr>
        <w:trPr>
          <w:trHeight w:val="18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38,659</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43,332</w:t>
            </w: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33,125</w:t>
            </w: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37,798</w:t>
            </w:r>
          </w:p>
        </w:tc>
      </w:tr>
      <w:tr>
        <w:trPr>
          <w:trHeight w:val="18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29,903</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35,035</w:t>
            </w:r>
          </w:p>
        </w:tc>
      </w:tr>
      <w:tr>
        <w:trPr>
          <w:trHeight w:val="180"/>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4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129,498</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120,390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249,888</w:t>
            </w:r>
          </w:p>
        </w:tc>
      </w:tr>
      <w:tr>
        <w:trPr>
          <w:trHeight w:val="183"/>
        </w:trPr>
        <w:tc>
          <w:tcPr>
            <w:tcW w:w="4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320,584</w:t>
            </w:r>
          </w:p>
        </w:tc>
        <w:tc>
          <w:tcPr>
            <w:tcW w:w="8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144,214</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464,798</w:t>
            </w:r>
          </w:p>
        </w:tc>
      </w:tr>
      <w:tr>
        <w:trPr>
          <w:trHeight w:val="18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Amounts representing interest</w:t>
            </w:r>
          </w:p>
        </w:tc>
        <w:tc>
          <w:tcPr>
            <w:tcW w:w="14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(94,064)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(94,064)</w:t>
            </w:r>
          </w:p>
        </w:tc>
      </w:tr>
      <w:tr>
        <w:trPr>
          <w:trHeight w:val="228"/>
        </w:trPr>
        <w:tc>
          <w:tcPr>
            <w:tcW w:w="4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370,734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43"/>
        </w:trPr>
        <w:tc>
          <w:tcPr>
            <w:tcW w:w="40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r>
      <w:tr>
        <w:trPr>
          <w:trHeight w:val="184"/>
        </w:trPr>
        <w:tc>
          <w:tcPr>
            <w:tcW w:w="5600" w:type="dxa"/>
            <w:vAlign w:val="bottom"/>
            <w:gridSpan w:val="3"/>
          </w:tcPr>
          <w:p>
            <w:pPr>
              <w:spacing w:after="0"/>
              <w:rPr>
                <w:sz w:val="20"/>
                <w:szCs w:val="20"/>
                <w:color w:val="auto"/>
              </w:rPr>
            </w:pPr>
            <w:r>
              <w:rPr>
                <w:rFonts w:ascii="Times New Roman" w:cs="Times New Roman" w:eastAsia="Times New Roman" w:hAnsi="Times New Roman"/>
                <w:sz w:val="7"/>
                <w:szCs w:val="7"/>
                <w:color w:val="auto"/>
              </w:rPr>
              <w:t xml:space="preserve">(1) </w:t>
            </w:r>
            <w:r>
              <w:rPr>
                <w:rFonts w:ascii="Times New Roman" w:cs="Times New Roman" w:eastAsia="Times New Roman" w:hAnsi="Times New Roman"/>
                <w:sz w:val="11"/>
                <w:szCs w:val="11"/>
                <w:color w:val="auto"/>
              </w:rPr>
              <w:t>Includes leases with related parties. See Note 10 —</w:t>
            </w: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11"/>
                <w:szCs w:val="11"/>
                <w:i w:val="1"/>
                <w:iCs w:val="1"/>
                <w:color w:val="auto"/>
              </w:rPr>
              <w:t>Related Party Transactions</w:t>
            </w: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11"/>
                <w:szCs w:val="11"/>
                <w:color w:val="auto"/>
              </w:rPr>
              <w:t>for amounts leased from related parties.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05"/>
        </w:trPr>
        <w:tc>
          <w:tcPr>
            <w:tcW w:w="79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for the nine months ended September 30, 2022, is as follows (amounts in thousands):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2"/>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6"/>
        </w:trPr>
        <w:tc>
          <w:tcPr>
            <w:tcW w:w="4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r>
      <w:tr>
        <w:trPr>
          <w:trHeight w:val="161"/>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paid for amounts included in the measurement of lease liabilities:</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60" w:type="dxa"/>
            <w:vAlign w:val="bottom"/>
          </w:tcPr>
          <w:p>
            <w:pPr>
              <w:spacing w:after="0"/>
              <w:rPr>
                <w:sz w:val="13"/>
                <w:szCs w:val="13"/>
                <w:color w:val="auto"/>
              </w:rPr>
            </w:pPr>
          </w:p>
        </w:tc>
      </w:tr>
      <w:tr>
        <w:trPr>
          <w:trHeight w:val="18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cash flows for operating leases</w:t>
            </w:r>
          </w:p>
        </w:tc>
        <w:tc>
          <w:tcPr>
            <w:tcW w:w="1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6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35,587</w:t>
            </w:r>
          </w:p>
        </w:tc>
        <w:tc>
          <w:tcPr>
            <w:tcW w:w="160" w:type="dxa"/>
            <w:vAlign w:val="bottom"/>
          </w:tcPr>
          <w:p>
            <w:pPr>
              <w:spacing w:after="0"/>
              <w:rPr>
                <w:sz w:val="15"/>
                <w:szCs w:val="15"/>
                <w:color w:val="auto"/>
              </w:rPr>
            </w:pPr>
          </w:p>
        </w:tc>
      </w:tr>
      <w:tr>
        <w:trPr>
          <w:trHeight w:val="180"/>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flows for finance leases</w:t>
            </w: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w:t>
            </w:r>
          </w:p>
        </w:tc>
        <w:tc>
          <w:tcPr>
            <w:tcW w:w="160" w:type="dxa"/>
            <w:vAlign w:val="bottom"/>
          </w:tcPr>
          <w:p>
            <w:pPr>
              <w:spacing w:after="0"/>
              <w:rPr>
                <w:sz w:val="15"/>
                <w:szCs w:val="15"/>
                <w:color w:val="auto"/>
              </w:rPr>
            </w:pPr>
          </w:p>
        </w:tc>
      </w:tr>
      <w:tr>
        <w:trPr>
          <w:trHeight w:val="18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Financing cash flows for finance leases</w:t>
            </w:r>
          </w:p>
        </w:tc>
        <w:tc>
          <w:tcPr>
            <w:tcW w:w="1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60" w:type="dxa"/>
            <w:vAlign w:val="bottom"/>
          </w:tcPr>
          <w:p>
            <w:pPr>
              <w:spacing w:after="0"/>
              <w:rPr>
                <w:sz w:val="15"/>
                <w:szCs w:val="15"/>
                <w:color w:val="auto"/>
              </w:rPr>
            </w:pPr>
          </w:p>
        </w:tc>
      </w:tr>
      <w:tr>
        <w:trPr>
          <w:trHeight w:val="180"/>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Right-of-use assets obtained in exchange for lease obligations:</w:t>
            </w: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6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43,474</w:t>
            </w:r>
          </w:p>
        </w:tc>
        <w:tc>
          <w:tcPr>
            <w:tcW w:w="160" w:type="dxa"/>
            <w:vAlign w:val="bottom"/>
          </w:tcPr>
          <w:p>
            <w:pPr>
              <w:spacing w:after="0"/>
              <w:rPr>
                <w:sz w:val="15"/>
                <w:szCs w:val="15"/>
                <w:color w:val="auto"/>
              </w:rPr>
            </w:pPr>
          </w:p>
        </w:tc>
      </w:tr>
      <w:tr>
        <w:trPr>
          <w:trHeight w:val="180"/>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1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60" w:type="dxa"/>
            <w:vAlign w:val="bottom"/>
          </w:tcPr>
          <w:p>
            <w:pPr>
              <w:spacing w:after="0"/>
              <w:rPr>
                <w:sz w:val="15"/>
                <w:szCs w:val="15"/>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Equity Based Compensation</w:t>
      </w:r>
    </w:p>
    <w:p>
      <w:pPr>
        <w:spacing w:after="0" w:line="15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tables summarize the activity of the Company’s management incentive unit awards granted pre-IPO for the nine months ended September 30, 2022 and their equity based compensation expense for the nine and three months ended September 30, 2022 and 2021, respectively (amounts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3560" w:type="dxa"/>
            <w:vAlign w:val="bottom"/>
            <w:gridSpan w:val="5"/>
          </w:tcPr>
          <w:p>
            <w:pPr>
              <w:ind w:left="15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100" w:type="dxa"/>
            <w:vAlign w:val="bottom"/>
          </w:tcPr>
          <w:p>
            <w:pPr>
              <w:spacing w:after="0"/>
              <w:rPr>
                <w:sz w:val="16"/>
                <w:szCs w:val="16"/>
                <w:color w:val="auto"/>
              </w:rPr>
            </w:pPr>
          </w:p>
        </w:tc>
        <w:tc>
          <w:tcPr>
            <w:tcW w:w="2340" w:type="dxa"/>
            <w:vAlign w:val="bottom"/>
            <w:gridSpan w:val="4"/>
          </w:tcPr>
          <w:p>
            <w:pPr>
              <w:jc w:val="right"/>
              <w:ind w:right="142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129"/>
        </w:trPr>
        <w:tc>
          <w:tcPr>
            <w:tcW w:w="3160" w:type="dxa"/>
            <w:vAlign w:val="bottom"/>
          </w:tcPr>
          <w:p>
            <w:pPr>
              <w:spacing w:after="0"/>
              <w:rPr>
                <w:sz w:val="11"/>
                <w:szCs w:val="11"/>
                <w:color w:val="auto"/>
              </w:rPr>
            </w:pPr>
          </w:p>
        </w:tc>
        <w:tc>
          <w:tcPr>
            <w:tcW w:w="1780" w:type="dxa"/>
            <w:vAlign w:val="bottom"/>
            <w:tcBorders>
              <w:top w:val="single" w:sz="8" w:color="auto"/>
            </w:tcBorders>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00" w:type="dxa"/>
            <w:vAlign w:val="bottom"/>
          </w:tcPr>
          <w:p>
            <w:pPr>
              <w:spacing w:after="0"/>
              <w:rPr>
                <w:sz w:val="11"/>
                <w:szCs w:val="11"/>
                <w:color w:val="auto"/>
              </w:rPr>
            </w:pPr>
          </w:p>
        </w:tc>
        <w:tc>
          <w:tcPr>
            <w:tcW w:w="1100" w:type="dxa"/>
            <w:vAlign w:val="bottom"/>
            <w:tcBorders>
              <w:top w:val="single" w:sz="8" w:color="auto"/>
            </w:tcBorders>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right"/>
              <w:ind w:right="9"/>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 Average Grant</w:t>
            </w: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1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2021</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2,520,229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596,598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(1,009,960)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(596,598)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September 30, 2022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1,510,269</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71"/>
        </w:trPr>
        <w:tc>
          <w:tcPr>
            <w:tcW w:w="476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47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Equity based compensation expense - management incentive units pre-IPO</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695261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52615" cy="6985"/>
                    </a:xfrm>
                    <a:prstGeom prst="rect">
                      <a:avLst/>
                    </a:prstGeom>
                    <a:noFill/>
                  </pic:spPr>
                </pic:pic>
              </a:graphicData>
            </a:graphic>
          </wp:anchor>
        </w:drawing>
      </w:r>
    </w:p>
    <w:p>
      <w:pPr>
        <w:spacing w:after="0" w:line="260" w:lineRule="exact"/>
        <w:rPr>
          <w:sz w:val="20"/>
          <w:szCs w:val="20"/>
          <w:color w:val="auto"/>
        </w:rPr>
      </w:pPr>
    </w:p>
    <w:p>
      <w:pPr>
        <w:ind w:firstLine="5"/>
        <w:spacing w:after="0" w:line="340" w:lineRule="auto"/>
        <w:tabs>
          <w:tab w:leader="none" w:pos="104" w:val="left"/>
        </w:tabs>
        <w:numPr>
          <w:ilvl w:val="0"/>
          <w:numId w:val="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Total unrecognized equity based compensation for the management incentive unit awards granted pre-IPO to be recognized in future periods is $9.5 million at September 30, 2022, and will be recognized over a weighted average period of 3.60 years. Equity based compensation expense is recorded within selling, general and administrative expenses on our condensed consolidated statements of comprehensive income.</w:t>
      </w:r>
    </w:p>
    <w:p>
      <w:pPr>
        <w:spacing w:after="0" w:line="7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On August 2, 2022, the Compensation Committee (the "Committee") of the Board of Directors of the Company approved grants of performance stock units (“PSUs”) and restricted stock units (“RSUs”) under the Arhaus, Inc. 2021 Equity Incentive Plan (the “2021 Plan”) to certain of the Company’s named executive officers and other key employees (“Award Recipient”). The Committee also approved RSU awards to certain members of the Board of Directors.</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Each RSU represents a contingent right to receive one share of the Company’s Class A common stock upon vesting. The RSUs granted to Award Recipients vest in one-third increments on each of the first, second and third anniversary of the date of grant, provided that the Award Recipient continues to serve the Company through the applicable vesting date (“Continuous Service”). If the Award Recipient’s Continuous Service terminates for any reason other than death, disability or in connection with a change in control (as such terms are defined in the 2021 Plan), unless the Committee determines otherwise, all RSUs that are unvested at the time of such termination shall be forfeited and canceled immediately without consideration. The RSUs issued to certain members of the Board of Directors will vest on the one-year anniversary of the grant date. The Company accounts for forfeitures as they occur.</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Each PSU represents a contingent right to receive one share of the Company’s Class A common stock upon vesting. The number of PSUs earned will be based on the Company’s financial performance as measured against pre-established target goals for cumulative demand revenue and cumulative adjusted EBITDA (the “Performance Goals”) over the period beginning on January 1, 2022 and ending on December 31, 2024 (the “Performance Period”). PSUs will vest as of the end of the Performance Period (December 31, 2024) subject to the Award Recipient’s Continuous Service, but will not settle and payout until the number of PSUs earned is determined by the Committee. The Award Recipient may earn between 0% and 200% of the PSU target award based on the Company’s achievement of the Performance Goals. The Company accounts for forfeitures as they occur.</w:t>
      </w:r>
    </w:p>
    <w:p>
      <w:pPr>
        <w:spacing w:after="0" w:line="11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fair value of each PSU and RSU is based on the grant date market price of $5.75. The aggregate grant date fair value of the PSUs and RSUs granted during the nine months ended September 30, 2022 was $2.9 million and $4.1 million, respectively.</w:t>
      </w:r>
    </w:p>
    <w:p>
      <w:pPr>
        <w:spacing w:after="0" w:line="9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activity of the Company’s PSU and RSU awards for the nine months ended September 30, 2022, and their equity based compensation expense for the nine and three months ended September 30, 2022 and 2021, respectively (amounts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PSU Awards</w:t>
            </w:r>
          </w:p>
        </w:tc>
        <w:tc>
          <w:tcPr>
            <w:tcW w:w="4560" w:type="dxa"/>
            <w:vAlign w:val="bottom"/>
            <w:gridSpan w:val="5"/>
          </w:tcPr>
          <w:p>
            <w:pPr>
              <w:ind w:left="1340"/>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0" w:type="dxa"/>
            <w:vAlign w:val="bottom"/>
          </w:tcPr>
          <w:p>
            <w:pPr>
              <w:spacing w:after="0"/>
              <w:rPr>
                <w:sz w:val="1"/>
                <w:szCs w:val="1"/>
                <w:color w:val="auto"/>
              </w:rPr>
            </w:pPr>
          </w:p>
        </w:tc>
      </w:tr>
      <w:tr>
        <w:trPr>
          <w:trHeight w:val="129"/>
        </w:trPr>
        <w:tc>
          <w:tcPr>
            <w:tcW w:w="3160" w:type="dxa"/>
            <w:vAlign w:val="bottom"/>
          </w:tcPr>
          <w:p>
            <w:pPr>
              <w:spacing w:after="0"/>
              <w:rPr>
                <w:sz w:val="11"/>
                <w:szCs w:val="11"/>
                <w:color w:val="auto"/>
              </w:rPr>
            </w:pPr>
          </w:p>
        </w:tc>
        <w:tc>
          <w:tcPr>
            <w:tcW w:w="1140" w:type="dxa"/>
            <w:vAlign w:val="bottom"/>
            <w:tcBorders>
              <w:top w:val="single" w:sz="8" w:color="auto"/>
            </w:tcBorders>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00" w:type="dxa"/>
            <w:vAlign w:val="bottom"/>
          </w:tcPr>
          <w:p>
            <w:pPr>
              <w:spacing w:after="0"/>
              <w:rPr>
                <w:sz w:val="11"/>
                <w:szCs w:val="11"/>
                <w:color w:val="auto"/>
              </w:rPr>
            </w:pPr>
          </w:p>
        </w:tc>
        <w:tc>
          <w:tcPr>
            <w:tcW w:w="1760" w:type="dxa"/>
            <w:vAlign w:val="bottom"/>
            <w:tcBorders>
              <w:top w:val="single" w:sz="8" w:color="auto"/>
            </w:tcBorders>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 Average Grant</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2021</w:t>
            </w:r>
          </w:p>
        </w:tc>
        <w:tc>
          <w:tcPr>
            <w:tcW w:w="1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496,375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720,411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0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1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shd w:val="clear" w:color="auto" w:fill="BFE4FF"/>
          </w:tcPr>
          <w:p>
            <w:pPr>
              <w:spacing w:after="0"/>
              <w:rPr>
                <w:sz w:val="15"/>
                <w:szCs w:val="15"/>
                <w:color w:val="auto"/>
              </w:rPr>
            </w:pPr>
          </w:p>
        </w:tc>
        <w:tc>
          <w:tcPr>
            <w:tcW w:w="16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8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1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BFE4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FE4FF"/>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BFE4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30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Unvested at September 30, 2022</w:t>
            </w:r>
          </w:p>
        </w:tc>
        <w:tc>
          <w:tcPr>
            <w:tcW w:w="5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495,625</w:t>
            </w:r>
          </w:p>
        </w:tc>
        <w:tc>
          <w:tcPr>
            <w:tcW w:w="80" w:type="dxa"/>
            <w:vAlign w:val="bottom"/>
            <w:shd w:val="clear" w:color="auto" w:fill="BFE4FF"/>
          </w:tcPr>
          <w:p>
            <w:pPr>
              <w:spacing w:after="0"/>
              <w:rPr>
                <w:sz w:val="16"/>
                <w:szCs w:val="16"/>
                <w:color w:val="auto"/>
              </w:rPr>
            </w:pP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shd w:val="clear" w:color="auto" w:fill="BFE4FF"/>
          </w:tcPr>
          <w:p>
            <w:pPr>
              <w:spacing w:after="0"/>
              <w:rPr>
                <w:sz w:val="16"/>
                <w:szCs w:val="16"/>
                <w:color w:val="auto"/>
              </w:rPr>
            </w:pPr>
          </w:p>
        </w:tc>
        <w:tc>
          <w:tcPr>
            <w:tcW w:w="16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717,161</w:t>
            </w:r>
          </w:p>
        </w:tc>
        <w:tc>
          <w:tcPr>
            <w:tcW w:w="80" w:type="dxa"/>
            <w:vAlign w:val="bottom"/>
            <w:shd w:val="clear" w:color="auto" w:fill="BFE4FF"/>
          </w:tcPr>
          <w:p>
            <w:pPr>
              <w:spacing w:after="0"/>
              <w:rPr>
                <w:sz w:val="16"/>
                <w:szCs w:val="16"/>
                <w:color w:val="auto"/>
              </w:rPr>
            </w:pP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BFE4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FE4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1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71"/>
        </w:trPr>
        <w:tc>
          <w:tcPr>
            <w:tcW w:w="49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49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Equity based compensation expense - PSUs</w:t>
            </w:r>
            <w:r>
              <w:rPr>
                <w:rFonts w:ascii="Times New Roman" w:cs="Times New Roman" w:eastAsia="Times New Roman" w:hAnsi="Times New Roman"/>
                <w:sz w:val="18"/>
                <w:szCs w:val="18"/>
                <w:color w:val="auto"/>
                <w:vertAlign w:val="superscript"/>
              </w:rPr>
              <w:t>(1)</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46"/>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 compensation expense - RSUs</w:t>
            </w:r>
            <w:r>
              <w:rPr>
                <w:rFonts w:ascii="Times New Roman" w:cs="Times New Roman" w:eastAsia="Times New Roman" w:hAnsi="Times New Roman"/>
                <w:sz w:val="18"/>
                <w:szCs w:val="18"/>
                <w:color w:val="auto"/>
                <w:vertAlign w:val="superscript"/>
              </w:rPr>
              <w:t>(2)</w:t>
            </w:r>
          </w:p>
        </w:tc>
        <w:tc>
          <w:tcPr>
            <w:tcW w:w="104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21"/>
                <w:szCs w:val="21"/>
                <w:color w:val="auto"/>
              </w:rPr>
            </w:pPr>
          </w:p>
        </w:tc>
        <w:tc>
          <w:tcPr>
            <w:tcW w:w="114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21"/>
                <w:szCs w:val="21"/>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04024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40245" cy="6985"/>
                    </a:xfrm>
                    <a:prstGeom prst="rect">
                      <a:avLst/>
                    </a:prstGeom>
                    <a:noFill/>
                  </pic:spPr>
                </pic:pic>
              </a:graphicData>
            </a:graphic>
          </wp:anchor>
        </w:drawing>
      </w:r>
    </w:p>
    <w:p>
      <w:pPr>
        <w:spacing w:after="0" w:line="183" w:lineRule="exact"/>
        <w:rPr>
          <w:sz w:val="20"/>
          <w:szCs w:val="20"/>
          <w:color w:val="auto"/>
        </w:rPr>
      </w:pPr>
    </w:p>
    <w:p>
      <w:pPr>
        <w:ind w:right="220" w:firstLine="5"/>
        <w:spacing w:after="0" w:line="282" w:lineRule="auto"/>
        <w:tabs>
          <w:tab w:leader="none" w:pos="104" w:val="left"/>
        </w:tabs>
        <w:numPr>
          <w:ilvl w:val="0"/>
          <w:numId w:val="9"/>
        </w:numPr>
        <w:rPr>
          <w:rFonts w:ascii="Times New Roman" w:cs="Times New Roman" w:eastAsia="Times New Roman" w:hAnsi="Times New Roman"/>
          <w:sz w:val="12"/>
          <w:szCs w:val="12"/>
          <w:b w:val="1"/>
          <w:bCs w:val="1"/>
          <w:color w:val="auto"/>
          <w:vertAlign w:val="superscript"/>
        </w:rPr>
      </w:pPr>
      <w:r>
        <w:rPr>
          <w:rFonts w:ascii="Times New Roman" w:cs="Times New Roman" w:eastAsia="Times New Roman" w:hAnsi="Times New Roman"/>
          <w:sz w:val="9"/>
          <w:szCs w:val="9"/>
          <w:color w:val="auto"/>
        </w:rPr>
        <w:t>Total unrecognized equity based compensation for the PSUs to be recognized in future periods is $3.2 million at September 30, 2022, and will be recognized over a weighted average period of 2.25 years. Equity based compensation expense is recorded within selling, general and administrative expenses on our condensed consolidated statements of comprehensive income.</w:t>
      </w:r>
    </w:p>
    <w:p>
      <w:pPr>
        <w:ind w:right="200" w:firstLine="5"/>
        <w:spacing w:after="0" w:line="295" w:lineRule="auto"/>
        <w:tabs>
          <w:tab w:leader="none" w:pos="104" w:val="left"/>
        </w:tabs>
        <w:numPr>
          <w:ilvl w:val="0"/>
          <w:numId w:val="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Total unrecognized equity based compensation for the RSUs to be recognized in future periods is $3.8 million at September 30, 2022, and will be recognized over a weighted average period of 2.55 years. Equity based compensation expense is recorded within selling, general and administrative expenses on our condensed consolidated statements of comprehensive income.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Segment Reporting</w:t>
      </w:r>
    </w:p>
    <w:p>
      <w:pPr>
        <w:spacing w:after="0" w:line="14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chief operating decision maker is our Chief Executive Officer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outdoor, lighting, textiles, and décor. The assortment of merchandise can be purchased through our retail and eCommerce sales channels.</w:t>
      </w:r>
    </w:p>
    <w:p>
      <w:pPr>
        <w:spacing w:after="0" w:line="10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majority of our net revenue is generated through sales to clients in the United States. Sales to clients outside of the United States are not significant. Further, no single client represents more than ten percent or more of our net revenue.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net revenue by merchandise sales channel for the nine and three months ended September 30, 2022 and 2021, respectively (amounts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314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71"/>
        </w:trPr>
        <w:tc>
          <w:tcPr>
            <w:tcW w:w="476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92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727,953</w:t>
            </w:r>
          </w:p>
        </w:tc>
        <w:tc>
          <w:tcPr>
            <w:tcW w:w="80" w:type="dxa"/>
            <w:vAlign w:val="bottom"/>
          </w:tcPr>
          <w:p>
            <w:pPr>
              <w:spacing w:after="0"/>
              <w:rPr>
                <w:sz w:val="14"/>
                <w:szCs w:val="14"/>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457,439</w:t>
            </w:r>
          </w:p>
        </w:tc>
        <w:tc>
          <w:tcPr>
            <w:tcW w:w="80" w:type="dxa"/>
            <w:vAlign w:val="bottom"/>
          </w:tcPr>
          <w:p>
            <w:pPr>
              <w:spacing w:after="0"/>
              <w:rPr>
                <w:sz w:val="14"/>
                <w:szCs w:val="14"/>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268,988</w:t>
            </w:r>
          </w:p>
        </w:tc>
        <w:tc>
          <w:tcPr>
            <w:tcW w:w="80" w:type="dxa"/>
            <w:vAlign w:val="bottom"/>
          </w:tcPr>
          <w:p>
            <w:pPr>
              <w:spacing w:after="0"/>
              <w:rPr>
                <w:sz w:val="14"/>
                <w:szCs w:val="14"/>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166,928</w:t>
            </w:r>
          </w:p>
        </w:tc>
      </w:tr>
      <w:tr>
        <w:trPr>
          <w:trHeight w:val="18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eCommerce</w:t>
            </w: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144,642</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101,251</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51,042</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36,405</w:t>
            </w:r>
          </w:p>
        </w:tc>
      </w:tr>
      <w:tr>
        <w:trPr>
          <w:trHeight w:val="171"/>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revenue</w:t>
            </w: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872,595</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558,690</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320,030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203,333</w:t>
            </w:r>
          </w:p>
        </w:tc>
      </w:tr>
      <w:tr>
        <w:trPr>
          <w:trHeight w:val="20"/>
        </w:trPr>
        <w:tc>
          <w:tcPr>
            <w:tcW w:w="4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Net and Comprehensive Income per Share</w:t>
      </w:r>
    </w:p>
    <w:p>
      <w:pPr>
        <w:spacing w:after="0" w:line="149"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As a result of the Reorganization and IPO, existing Class A and Class B Unitholders of LLC were issued Class B and Class A common stock in the Company, respectively. The Class A Unitholders received 80,792,206 shares of Class B common stock and the Class B Unitholders received 31,266,536 shares of Class A common stock. Accordingly, all share and per share amounts for all periods presented in the condensed consolidated statements of comprehensive income and this note have been adjusted retroactively, where applicable, to reflect the Reorganization.</w:t>
      </w:r>
    </w:p>
    <w:p>
      <w:pPr>
        <w:spacing w:after="0" w:line="10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Basic and diluted net and comprehensive income per share for the nine and three months ended September 30, 2022 and 2021, was calculated by adjusting net and comprehensive income attributable to Arhaus, Inc. for net and comprehensive income attributable to noncontrolling interest, and dividing by basic and diluted weighted-average number of common shares outstanding. Management Incentive Unitholders did not participate in the earnings or losses of the Company as of September 30, 2021 and therefore were not participating securities. As such, they were not included within the calculation of basic or diluted earnings per share as of September 30,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 and diluted net and comprehensive income per share for the nine and three months ended September 30, 2022 and 2021, is as follows (amounts in thousands except share and per share data):</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71"/>
        </w:trPr>
        <w:tc>
          <w:tcPr>
            <w:tcW w:w="50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89,633</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30,276</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36,936</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14,228</w:t>
            </w: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and comprehensive income attributable to noncontrolling interest</w:t>
            </w:r>
          </w:p>
        </w:tc>
        <w:tc>
          <w:tcPr>
            <w:tcW w:w="3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8,231</w:t>
            </w:r>
          </w:p>
        </w:tc>
      </w:tr>
      <w:tr>
        <w:trPr>
          <w:trHeight w:val="17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and comprehensive income attributable to Arhaus, Inc.</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89,633</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12,777</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36,936</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5,997</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5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Denominator—Weighted Average Shares Outstanding</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outstanding, basic</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137,939,577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112,058,742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138,484,495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112,058,742</w:t>
            </w:r>
          </w:p>
        </w:tc>
      </w:tr>
      <w:tr>
        <w:trPr>
          <w:trHeight w:val="180"/>
        </w:trPr>
        <w:tc>
          <w:tcPr>
            <w:tcW w:w="50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Effect of dilutive restricted stock </w:t>
            </w:r>
            <w:r>
              <w:rPr>
                <w:rFonts w:ascii="Times New Roman" w:cs="Times New Roman" w:eastAsia="Times New Roman" w:hAnsi="Times New Roman"/>
                <w:sz w:val="18"/>
                <w:szCs w:val="18"/>
                <w:color w:val="auto"/>
                <w:vertAlign w:val="superscript"/>
              </w:rPr>
              <w:t>(1)</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1,606,225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1,360,838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outstanding, diluted</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139,545,802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112,058,742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139,845,333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112,058,742</w:t>
            </w:r>
          </w:p>
        </w:tc>
      </w:tr>
      <w:tr>
        <w:trPr>
          <w:trHeight w:val="212"/>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and Comprehensive Income Per Share</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and comprehensive income per share, basic</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and comprehensive income per share, diluted</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16153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0" w:lineRule="exact"/>
        <w:rPr>
          <w:sz w:val="20"/>
          <w:szCs w:val="20"/>
          <w:color w:val="auto"/>
        </w:rPr>
      </w:pPr>
    </w:p>
    <w:p>
      <w:pPr>
        <w:ind w:left="120" w:hanging="115"/>
        <w:spacing w:after="0"/>
        <w:tabs>
          <w:tab w:leader="none" w:pos="120" w:val="left"/>
        </w:tabs>
        <w:numPr>
          <w:ilvl w:val="0"/>
          <w:numId w:val="1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During the nine and three months ended September 30, 2022, 594,312 and 546,164 shares of unvested restricted stock were excluded from the computation of diluted earnings per share because their effect would have been anti-dilutive.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Commitments and Contingencies</w:t>
      </w:r>
    </w:p>
    <w:p>
      <w:pPr>
        <w:spacing w:after="0" w:line="159"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Company is involved in litigation and claims that are incidental to its business. Although the outcome of these matters cannot be determined at the present time, the Company believes that the ultimate resolution of these matters will not have a material adverse effect on the Company’s consolidated financial position, results of operations or cash flows.</w:t>
      </w:r>
    </w:p>
    <w:p>
      <w:pPr>
        <w:spacing w:after="0" w:line="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September 30, 2022 and December 31, 2021, we recorded liabilities of $1.2 million and $1.2 million, respectively, in accrued taxes on the condensed consolidated balance sheets for non-income tax matters that were probable and reasonably estimable.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Related Party Transactions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Leasing transactions</w:t>
      </w:r>
    </w:p>
    <w:p>
      <w:pPr>
        <w:spacing w:after="0" w:line="14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November 2000, the Company entered into a lease agreement with Pagoda Partners, LLC, a company of which John Reed, our CEO, indirectly owns 50%, for our warehouse in Walton Hills, Ohio. The base lease term was 17 years with a 5-year renewal option. In August 2020, the Company amended the lease agreement to extend the lease term to April 2024 with the ability to extend the lease in 12-month increments thereafter. The monthly rental payments are $0.1 million. Rent expense was $1.0 million and $1.0 million for the nine months ended September 30, 2022 and 2021, respectively. Rent expense was $0.3 million and $0.3 million for the three months ended September 30, 2022 and 2021, respectively.</w:t>
      </w:r>
    </w:p>
    <w:p>
      <w:pPr>
        <w:spacing w:after="0" w:line="10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In July 2010, the Company entered into a lease agreement with Brooklyn Arhaus, a company of which our CEO and Mr. Beargie, a Director of the Company, own 85% and 15%, respectively, for our Outlet in Brooklyn, Ohio. The base lease term is 15 years with no lease renewal options. The monthly rental payments are $20 thousand. Rent expense was $0.2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million and $0.2 million for the nine months ended September 30, 2022 and 2021, respectively. Rent expense was $0.1 million and $0.1 million for the three months ended September 30, 2022 and 2021, respectively.</w:t>
      </w:r>
    </w:p>
    <w:p>
      <w:pPr>
        <w:spacing w:after="0" w:line="1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In September 2014, the Company entered into a lease agreement with Premier Arhaus, LLC, a company of which our CEO indirectly owned 50% during 2021, on a triple net basis for our headquarters building and distribution center, with construction completed during 2016. The base lease term is 17 years, with a 10-year renewal option at fixed rental payments, and with two additional 5-year renewal options at fair market rent. The monthly rental payments range from $0.2 million to $0.5 million during the 17-year base lease term and from $0.5 million to $0.6 million during the 10-year renewal period. In September 2021, the Company amended the existing finance lease agreement to extend the lease term for an additional three years, which included monthly rental payments of $0.6 million. Further, the amended lease agreement provides for the expansion of the Company’s distribution center and monthly rental payments range from $0.1 million to $0.2 million. During the fourth quarter of 2021, the lessor sold its interest in the leased assets to a third party. As a result, the lease is no longer with a related party of the Company. Rent expense was $4.4 million and $1.5 million for the nine and three months ended September 30, 2021, respectively.</w:t>
      </w:r>
    </w:p>
    <w:p>
      <w:pPr>
        <w:spacing w:after="0" w:line="11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March 2021, the Company entered into a lease agreement with Premier Conover, LLC, a company of which our CEO indirectly owns 10%, for a distribution center and manufacturing building, for which construction was completed in the fourth quarter of 2021.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$2.8 million and $1.0 million for the nine and three months ended September 30, 2022,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transactions</w:t>
      </w:r>
    </w:p>
    <w:p>
      <w:pPr>
        <w:spacing w:after="0" w:line="159"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In accordance with the change in reporting entity, the Company’s condensed consolidated statements of cash flows include the payment and receipt of a related-party receivable and a related-party note receivable between Homeworks and our CEO for $0.1 million and $1.0 million, respectively for the nine months ended September 30, 2021. The receivable and the full principal on the note receivable, including accrued interest, were paid back to the Company by the CEO in May 2021.</w:t>
      </w:r>
    </w:p>
    <w:p>
      <w:pPr>
        <w:spacing w:after="0" w:line="10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 accordance with the Reorganization, the Company has accounts payable due to noncontrolling interests of LLC for state and federal income tax refunds filed for tax periods prior to the Reorganization. The accounts payable due to related parties were $1.8 million and $2.9 million at September 30, 2022 and December 31, 2021, respectively, and are included within accounts payable on the condensed consolidated balance sheets.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Income Taxes</w:t>
      </w:r>
    </w:p>
    <w:p>
      <w:pPr>
        <w:spacing w:after="0" w:line="159"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Income taxes were $27.9 million and $1.7 million in the nine months ended September 30, 2022 and 2021, respectively. Income taxes were $9.6 million and $0.5 million in the three months ended September 30, 2022 and 2021, respectively. The effective tax rate was 23.7% and 5.3% for the nine months ended September 30, 2022 and 2021, respectively. The effective tax rate was 20.6% and 3.4% for the three months ended September 30, 2022 and 2021, respectively.</w:t>
      </w:r>
    </w:p>
    <w:p>
      <w:pPr>
        <w:spacing w:after="0" w:line="10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Prior to the Reorganization, the Company was a limited liability company under the Internal Revenue Code that had elected to be taxed as a partnership and did not pay federal or most state corporate income taxes on its taxable income, but rather its members were liable for their respective portions of the taxable income (loss) of LLC. The income tax provision included state and local tax in certain jurisdictions prior to the Reorganization. Subsequent to the Reorganization, LLC’s taxable income flows through to FS Arhaus and Homeworks who are subject to U.S. federal and state corporate income taxes. For the year ended December 31, 2021, the Company recorded a $17.4 million adjustment to additional paid-in capital related to the Reorganization representing FS Arhaus, Inc.’s investment in LLC. The tax investment amount changed as a result of LLC’s federal tax filing in 2022, therefore the Company recorded a return-to-provision adjustment of $1.3 million to additional paid-in capital for the period ending September 30, 2022.</w:t>
      </w:r>
    </w:p>
    <w:p>
      <w:pPr>
        <w:spacing w:after="0" w:line="10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The Inflation Reduction Act was enacted on August 16, 2022 and includes a new 15% minimum tax on “adjusted financial statement income” beginning with the Company’s fiscal year 2023, a new 1% excise tax on stock repurchases after December 31, 2022, and several tax incentives to promote clean energy. While these tax law changes have no immediate</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Arhaus, Inc. and Subsidiaries</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 and are not expected to have a material adverse effect on our results of operations going forward, we will continue to evaluate their impact as further information becomes available.</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As of September 30, 2022, no unrecognized tax benefits have been recognized. The Company files income tax returns in the U.S. and various state and local jurisdictions. The tax years after 2017 remain open to examination by the state taxing jurisdictions in which the Company is subject to tax. As of September 30, 2022, the Company was not under examination by the Internal Revenue Service or any state tax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123" w:right="5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5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together with our condensed consolidated financial statements and the related notes included elsewhere in this Form 10-Q and our Annual Report on Form 10-K for the year ended December 31, 2021. This Quarterly Report on Form 10-Q contains forward 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“believe,”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 risks:</w:t>
      </w:r>
    </w:p>
    <w:p>
      <w:pPr>
        <w:spacing w:after="0" w:line="114"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reliance on third-party transportation carriers and risks associated with increased freight and transportation costs;</w:t>
      </w:r>
    </w:p>
    <w:p>
      <w:pPr>
        <w:spacing w:after="0" w:line="25" w:lineRule="exact"/>
        <w:rPr>
          <w:rFonts w:ascii="Times New Roman" w:cs="Times New Roman" w:eastAsia="Times New Roman" w:hAnsi="Times New Roman"/>
          <w:sz w:val="14"/>
          <w:szCs w:val="14"/>
          <w:i w:val="1"/>
          <w:iCs w:val="1"/>
          <w:color w:val="auto"/>
        </w:rPr>
      </w:pPr>
    </w:p>
    <w:p>
      <w:pPr>
        <w:ind w:left="520" w:right="120" w:hanging="260"/>
        <w:spacing w:after="0" w:line="253" w:lineRule="auto"/>
        <w:tabs>
          <w:tab w:leader="none" w:pos="516"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Disruption in our receiving and distribution system, including delays in the integration of our new distribution centers and the possibility that we may not realize the anticipated benefits of multiple distribution centers;</w:t>
      </w: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obtain quality merchandise in sufficient quantities;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Risks as a result of constraints in our supply chain;</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failure of our vendors to meet our quality standards;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Declines in general economic conditions that affect consumer confidence and consumer spending that could adversely affect our revenue;</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possibility of cyberattacks and our ability to maintain adequate cybersecurity systems and procedures;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Loss, corruption and misappropriation of data and information relating to clients and employees;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Changes in and compliance with applicable data privacy rules and regulations;</w:t>
      </w:r>
    </w:p>
    <w:p>
      <w:pPr>
        <w:spacing w:after="0" w:line="14" w:lineRule="exact"/>
        <w:rPr>
          <w:rFonts w:ascii="Times New Roman" w:cs="Times New Roman" w:eastAsia="Times New Roman" w:hAnsi="Times New Roman"/>
          <w:sz w:val="14"/>
          <w:szCs w:val="14"/>
          <w:i w:val="1"/>
          <w:iCs w:val="1"/>
          <w:color w:val="auto"/>
        </w:rPr>
      </w:pPr>
    </w:p>
    <w:p>
      <w:pPr>
        <w:ind w:left="500" w:hanging="240"/>
        <w:spacing w:after="0"/>
        <w:tabs>
          <w:tab w:leader="none" w:pos="5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i w:val="1"/>
          <w:iCs w:val="1"/>
          <w:color w:val="auto"/>
        </w:rPr>
        <w:t>Our ability to manage and maintain the growth rate of our business;</w:t>
      </w:r>
    </w:p>
    <w:p>
      <w:pPr>
        <w:spacing w:after="0" w:line="1"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anticipate changes in consumer preferences;</w:t>
      </w:r>
    </w:p>
    <w:p>
      <w:pPr>
        <w:spacing w:after="0" w:line="7"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Risks related to maintaining and increasing Showroom traffic and sales;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compete in our market;</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ability to adequately protect our intellectual property;</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Compliance with applicable governmental regulations;</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COVID-19 pandemic and its effect on our business;</w:t>
      </w:r>
    </w:p>
    <w:p>
      <w:pPr>
        <w:spacing w:after="0" w:line="14" w:lineRule="exact"/>
        <w:rPr>
          <w:rFonts w:ascii="Times New Roman" w:cs="Times New Roman" w:eastAsia="Times New Roman" w:hAnsi="Times New Roman"/>
          <w:sz w:val="14"/>
          <w:szCs w:val="14"/>
          <w:i w:val="1"/>
          <w:iCs w:val="1"/>
          <w:color w:val="auto"/>
        </w:rPr>
      </w:pPr>
    </w:p>
    <w:p>
      <w:pPr>
        <w:ind w:left="500" w:hanging="240"/>
        <w:spacing w:after="0"/>
        <w:tabs>
          <w:tab w:leader="none" w:pos="5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i w:val="1"/>
          <w:iCs w:val="1"/>
          <w:color w:val="auto"/>
        </w:rPr>
        <w:t>Effectively managing our eCommerce business and digital marketing efforts; and</w:t>
      </w:r>
    </w:p>
    <w:p>
      <w:pPr>
        <w:spacing w:after="0" w:line="1"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Compliance with SEC rules and regulations as a public reporting company.</w:t>
      </w:r>
    </w:p>
    <w:p>
      <w:pPr>
        <w:spacing w:after="0" w:line="13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4"/>
          <w:szCs w:val="14"/>
          <w:i w:val="1"/>
          <w:iCs w:val="1"/>
          <w:color w:val="auto"/>
        </w:rPr>
        <w:t>The risks, uncertainties and assumptions referred to above that could cause our results to differ materially from the results expressed or implied by such forward-looking statements include, but are not limited to, those discussed under Item 1A. Risk Factors, Item 7. Management's Discussion and Analysis of Financial Condition and Results of Operations, and elsewhere in our Annual Report on Form 10-K for the year ended December 31, 2021. All forward-looking statements included in this document are based on information available to us as of the date hereof, and we assume no obligation to update these forward-looking statements.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10"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i w:val="1"/>
          <w:iCs w:val="1"/>
          <w:color w:val="auto"/>
        </w:rPr>
        <w:t>The following discussion contains references to the nine and three months ended September 30, 2022 and 2021, which represents the condensed consolidated financial results of Arhaus, Inc. and subsidiaries for the nine and three months ended September 30, 2022 and 2021, respectively.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5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Arhaus is a rapidly growing lifestyle brand and premium retailer in the home furnishings market, specializing in livable luxury supported by globally-sourced, heirloom-quality merchandise. We offer a differentiated direct-to-consumer approach to furniture and décor. Our curated assortments are presented across our sales channels in sophisticated, family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friendly and unique lifestyle settings. We offer merchandise assortments across a number of categories, including furniture, lighting, textiles, décor, and outdoor. Our products, designed to be used and enjoyed throughout the home, are sourced directly from factories and suppliers with no wholesale or dealer markup, allowing us to offer an exclusive assortment at an attractive value. Our direct sourcing network consists of more than 400 vendors, some of whom we have had relationships with since our founding. Our product development teams work alongside our direct sourcing partners to bring to market proprietary merchandise that is a great value to clients, while delivering attractive margins.</w:t>
      </w:r>
    </w:p>
    <w:p>
      <w:pPr>
        <w:spacing w:after="0" w:line="11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w:t>
      </w:r>
    </w:p>
    <w:p>
      <w:pPr>
        <w:spacing w:after="0" w:line="109"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We have one reportable segment as of September 30, 2022. At September 30, 2022, we operated 80 Showrooms, 67 with in-home interior designers. At December 31, 2021, we operated 79 Showrooms, 58 with in-home interior designers.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70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7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2"/>
        </w:trPr>
        <w:tc>
          <w:tcPr>
            <w:tcW w:w="5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Traditional showrooms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91"/>
        </w:trPr>
        <w:tc>
          <w:tcPr>
            <w:tcW w:w="5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Design Studios</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1"/>
        </w:trPr>
        <w:tc>
          <w:tcPr>
            <w:tcW w:w="5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Outlets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5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Showroom locations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square footage (in thousands)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2022, we generated $872.6 million of net revenue, $367.0 million of gross margin and $89.6 million of net and comprehensive income. For the three months ended September 30, 2022, we generated $320.0 million of net revenue, $136.3 million of gross margin and $36.9 million of net and comprehensive income.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Effects of COVID-19 on Our Business</w:t>
      </w:r>
    </w:p>
    <w:p>
      <w:pPr>
        <w:spacing w:after="0" w:line="1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While we have been able to serve our clients and operate our business through the ongoing COVID-19 pandemic, there can be no assurance that future events will not have an impact on our business, results of operations or financial condition since the extent and duration of the pandemic remains uncertain. Future adverse developments in connection with the COVID-19 pandemic, including additional waves or resurgences of COVID-19 outbreaks, new strains or variants of the virus, evolving international, federal, state and local restrictions and safety regulations in response to COVID-19 risks, changes in consumer behavior and health concerns, the pace of economic activity in the wake of the COVID-19 pandemic, or other similar issues could adversely affect our business, results of operations or financial condition in the future.</w:t>
      </w:r>
    </w:p>
    <w:p>
      <w:pPr>
        <w:spacing w:after="0" w:line="11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Various constraints in our merchandise supply chain have resulted in delays in our ability to convert demand into net revenue at normal historical rates. We anticipate that the business conditions related to the COVID-19 pandemic will continue to adversely affect the capacity of our vendors and supply chain to meet our demand during fiscal year 2022. We expect that our supply chain may catch up to demand in the foreseeable future, but business circumstances and operational conditions in numerous international locations where our vendors operate cannot be predicted with certainty.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We Assess the Performance of Our Business</w:t>
      </w:r>
    </w:p>
    <w:p>
      <w:pPr>
        <w:spacing w:after="0" w:line="14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In addition to U.S. GAAP results, this Form 10-Q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are useful to our investors as they present an informative supplemental view of our results from period to period by removing the effect of non-recurring items.</w:t>
      </w:r>
    </w:p>
    <w:p>
      <w:pPr>
        <w:spacing w:after="0" w:line="10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construed as an inference that our future results will be unaffected by unusual or non-recurring items. We consider the following financial and operating measures that affect our results of operations:</w:t>
      </w:r>
    </w:p>
    <w:p>
      <w:pPr>
        <w:spacing w:after="0" w:line="15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i w:val="1"/>
          <w:iCs w:val="1"/>
          <w:color w:val="auto"/>
        </w:rPr>
        <w:t>Net Revenue and Demand</w:t>
      </w:r>
      <w:r>
        <w:rPr>
          <w:rFonts w:ascii="Times New Roman" w:cs="Times New Roman" w:eastAsia="Times New Roman" w:hAnsi="Times New Roman"/>
          <w:sz w:val="14"/>
          <w:szCs w:val="14"/>
          <w:color w:val="auto"/>
        </w:rPr>
        <w:t>. Net revenue is recognized when a client obtains control of the merchandise. We also track demand in our business which is a key performance indicator linked to the level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client orders placed. Demand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demand is measured net of cancellations, all demand will eventually become net revenue, with appropriate reserves, when delivered to the client.</w:t>
      </w:r>
    </w:p>
    <w:p>
      <w:pPr>
        <w:spacing w:after="0" w:line="10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Comparable Growth</w:t>
      </w:r>
      <w:r>
        <w:rPr>
          <w:rFonts w:ascii="Times New Roman" w:cs="Times New Roman" w:eastAsia="Times New Roman" w:hAnsi="Times New Roman"/>
          <w:sz w:val="14"/>
          <w:szCs w:val="14"/>
          <w:color w:val="auto"/>
        </w:rPr>
        <w:t>. Comparable growth is the year-over-year percentage change of the dollar value of orders delivered (based on purchase price), net of the dollar value of returns (based on amount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 opening, while orders delivered take additional time because product must be delivered to the client. Comparable Showrooms that were temporarily closed during portions of 2021 were not excluded from the comparable Showroom calculation. The dollar value of orders delivered for Outlet comparable locations are included.</w:t>
      </w:r>
    </w:p>
    <w:p>
      <w:pPr>
        <w:spacing w:after="0" w:line="11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i w:val="1"/>
          <w:iCs w:val="1"/>
          <w:color w:val="auto"/>
        </w:rPr>
        <w:t>Demand Comparable Growth</w:t>
      </w:r>
      <w:r>
        <w:rPr>
          <w:rFonts w:ascii="Times New Roman" w:cs="Times New Roman" w:eastAsia="Times New Roman" w:hAnsi="Times New Roman"/>
          <w:sz w:val="14"/>
          <w:szCs w:val="14"/>
          <w:color w:val="auto"/>
        </w:rPr>
        <w:t>. Demand comparable growth is the year-over-year percentage change of demand from our comparable Showrooms and eCommerce, including through our direct-mail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catalog. This metric is a key performance indicator used by management to evaluate Showroom demand performance for locations that have been opened for at least 13 consecutive months, which enables management to view the performance of those Showrooms without new Showroom demand included. For demand purposes, comparable Showrooms are defined as permanent Showrooms open for at least 13 consecutive months, including relocations in the same market. Comparable Showrooms that were temporarily closed during portions of 2021 were not excluded from the comparable Showroom calculation. Outlet comparable location demand is included.</w:t>
      </w:r>
    </w:p>
    <w:p>
      <w:pPr>
        <w:spacing w:after="0" w:line="12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spacing w:after="0" w:line="11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Gross Margin. </w:t>
      </w:r>
      <w:r>
        <w:rPr>
          <w:rFonts w:ascii="Times New Roman" w:cs="Times New Roman" w:eastAsia="Times New Roman" w:hAnsi="Times New Roman"/>
          <w:sz w:val="14"/>
          <w:szCs w:val="14"/>
          <w:color w:val="auto"/>
        </w:rPr>
        <w:t>Gross margin is equal to our net revenue less cost of goods sold. Cost of goods sold includes the direct cost of purchased merchandise, inventory shrinkage, inbound freight, all freight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costs to get merchandise to our Showrooms, credit card fees, design, buying and allocation costs, occupancy costs related to Showroom operations and our supply chain, such as rent and common area maintenance for our leases, depreciation and amortization of leasehold improvements, equipment and other assets in our Showrooms and distribution centers. In addition, cost of goods sold includes all logistics costs associated with shipping product to our clients, partially offset by delivery fees collected from clients (recorded in net revenue on the condensed consolidated statements of comprehensive income).</w:t>
      </w:r>
    </w:p>
    <w:p>
      <w:pPr>
        <w:spacing w:after="0" w:line="119"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Selling, General and Administrative Expenses. </w:t>
      </w:r>
      <w:r>
        <w:rPr>
          <w:rFonts w:ascii="Times New Roman" w:cs="Times New Roman" w:eastAsia="Times New Roman" w:hAnsi="Times New Roman"/>
          <w:sz w:val="14"/>
          <w:szCs w:val="14"/>
          <w:color w:val="auto"/>
        </w:rPr>
        <w:t>Selling, general and administrative, or SG&amp;A, expenses include all operating costs not included in cost of goods sold. These expenses include payroll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payroll related expenses, Showroom expenses other than occupancy and expenses related to many of our operations at our corporate headquarters, including marketing, information technology, utilities and depreciation and amortization expense. Payroll includes both fixed</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compensation and variable compensation. Variable compensation includes Showroom commissions and Showroom bonus compensation related to demand, likely before the client obtains control of the merchandise. Variable compensation is not significant in our eCommerce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relatively fixed.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EBITDA. </w:t>
      </w:r>
      <w:r>
        <w:rPr>
          <w:rFonts w:ascii="Times New Roman" w:cs="Times New Roman" w:eastAsia="Times New Roman" w:hAnsi="Times New Roman"/>
          <w:sz w:val="14"/>
          <w:szCs w:val="14"/>
          <w:color w:val="auto"/>
        </w:rPr>
        <w:t>We define EBITDA as consolidated net income before depreciation and amortization, interest expense, net and income tax expense.</w:t>
      </w:r>
    </w:p>
    <w:p>
      <w:pPr>
        <w:spacing w:after="0" w:line="147"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4"/>
          <w:szCs w:val="14"/>
          <w:color w:val="auto"/>
        </w:rPr>
        <w:t>We believe that adjusted EBITDA is a useful measure of operating performance as the adjustments eliminate items that we believe are not reflective of underlying operating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performance in a particular period. Adjusted EBITDA facilitates a comparison of our operating performance on a consistent basis from period-to-period and provides for a more complete understanding of factors and trends affecting our business.</w:t>
      </w:r>
    </w:p>
    <w:p>
      <w:pPr>
        <w:spacing w:after="0" w:line="104"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our net and comprehensive income to EBITDA and adjusted EBITDA for the periods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92"/>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89,633</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36,936</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center"/>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14,228</w:t>
            </w:r>
          </w:p>
        </w:tc>
      </w:tr>
      <w:tr>
        <w:trPr>
          <w:trHeight w:val="18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3,367</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w:t>
            </w:r>
          </w:p>
        </w:tc>
      </w:tr>
      <w:tr>
        <w:trPr>
          <w:trHeight w:val="180"/>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201"/>
        </w:trPr>
        <w:tc>
          <w:tcPr>
            <w:tcW w:w="4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18,319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17,206</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8,297</w:t>
            </w:r>
          </w:p>
        </w:tc>
      </w:tr>
      <w:tr>
        <w:trPr>
          <w:trHeight w:val="192"/>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139,170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53,579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24,390</w:t>
            </w:r>
          </w:p>
        </w:tc>
      </w:tr>
      <w:tr>
        <w:trPr>
          <w:trHeight w:val="201"/>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w:t>
            </w:r>
          </w:p>
        </w:tc>
      </w:tr>
      <w:tr>
        <w:trPr>
          <w:trHeight w:val="223"/>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Derivative expense </w:t>
            </w:r>
            <w:r>
              <w:rPr>
                <w:rFonts w:ascii="Times New Roman" w:cs="Times New Roman" w:eastAsia="Times New Roman" w:hAnsi="Times New Roman"/>
                <w:sz w:val="18"/>
                <w:szCs w:val="18"/>
                <w:color w:val="auto"/>
                <w:vertAlign w:val="superscript"/>
              </w:rPr>
              <w:t>(1)</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33"/>
        </w:trPr>
        <w:tc>
          <w:tcPr>
            <w:tcW w:w="4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Other expenses </w:t>
            </w:r>
            <w:r>
              <w:rPr>
                <w:rFonts w:ascii="Times New Roman" w:cs="Times New Roman" w:eastAsia="Times New Roman" w:hAnsi="Times New Roman"/>
                <w:sz w:val="18"/>
                <w:szCs w:val="18"/>
                <w:color w:val="auto"/>
                <w:vertAlign w:val="superscript"/>
              </w:rPr>
              <w:t>(2)</w:t>
            </w:r>
          </w:p>
        </w:tc>
        <w:tc>
          <w:tcPr>
            <w:tcW w:w="9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6,567</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5,806</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5,188</w:t>
            </w:r>
          </w:p>
        </w:tc>
      </w:tr>
      <w:tr>
        <w:trPr>
          <w:trHeight w:val="196"/>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148,350</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90,123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56,712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center"/>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30,386</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4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r>
    </w:tbl>
    <w:p>
      <w:pPr>
        <w:spacing w:after="0" w:line="54"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We repaid our term loan in full on December 28, 2020. The derivative expense relates to the change in the fair value of the exit fee at the end of each reporting period. The Company used a portion of the net proceeds from the IPO to pay the derivative liability on November 8, 2021.</w:t>
      </w:r>
    </w:p>
    <w:p>
      <w:pPr>
        <w:spacing w:after="0" w:line="1"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7"/>
          <w:szCs w:val="7"/>
          <w:color w:val="auto"/>
        </w:rPr>
        <w:t>(2)</w:t>
      </w:r>
      <w:r>
        <w:rPr>
          <w:rFonts w:ascii="Times New Roman" w:cs="Times New Roman" w:eastAsia="Times New Roman" w:hAnsi="Times New Roman"/>
          <w:sz w:val="11"/>
          <w:szCs w:val="11"/>
          <w:color w:val="auto"/>
        </w:rPr>
        <w:t>Other expenses represent costs and investments not indicative of ongoing business performance, such as third-party consulting costs, one-time project start-up costs, severance, signing bonuses, recruiting and project-based strategic initiatives. For</w:t>
      </w: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11"/>
          <w:szCs w:val="11"/>
          <w:color w:val="auto"/>
        </w:rPr>
        <w:t>the nine and three months ended September 30, 2022, these other expenses consisted largely of $4.6 million and $1.6 million of costs related to the opening and set-up of our Dallas distribution center, respectively. For the nine and three months ended September 30, 2021, other expenses consisted primarily of $5.0 million and $3.5 million of costs related to the Reorganization and IPO and $1.5 million and $0.5 million of severance, signing bonuses and recruiting costs,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the Comparability of our Results of Operations</w:t>
      </w:r>
    </w:p>
    <w:p>
      <w:pPr>
        <w:spacing w:after="0" w:line="149"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Our results over the past two years have been affected by the following events, which must be understood in order to assess the comparability of our period-to-period financial performance and condition.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Showroom Openings and Closings</w:t>
      </w:r>
    </w:p>
    <w:p>
      <w:pPr>
        <w:spacing w:after="0" w:line="149"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New Showrooms contribute incremental expense and net revenue to the Company. In the nine months ended September 30, 2022, we opened three Showrooms and closed two Showrooms. Of the two Showroom closures in the nine months ended September 30, 2022, one was related to a relocation. In 2021, we opened ten Showrooms and closed five Showrooms. Of the five Showroom closures in 2021, three were related to relocations in 2021.</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 Transactions</w:t>
      </w:r>
    </w:p>
    <w:p>
      <w:pPr>
        <w:spacing w:after="0" w:line="15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repaid our Term Loan in full on December 28, 2020. The derivative expense relates to the change in the fair value of the exit fee at the end of each reporting period. The exit fee, which was payable in cash at the time the IPO was consummated, was calculated as 4% of the total equity value of the Company, based on the valuation determined in connection with the IPO, which valuation included, among other factors, (a) the IPO price, plus (b) cash, minus (c) any outstanding indebtedness, minus (d) transaction expenses, minus (e) the equity value of the preferred equity interests of LLC and all subsidiaries received on the closing date of the term loan, minus (f) the value of management incentive units in effect on the closing date of the term loan or issued after the closing date pursuant to management incentive plans in existence on the closing date. For the nine and three months ended September 30, 2021, the derivative expense related to the change in fair value of the exit fee was $29.9 million and $0.1 million, respectively. The Company used a portion of the net proceeds from the IPO to pay the derivative liability of $64.1 million in full on November 8, 2021.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49"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The following tables summarize key components of our results of operations for the periods indicated. The following discussion should be read in conjunction with our condensed consolidated financial statements and related notes.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Statement of Condensed Consolidated Comprehensive Income Data:</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40"/>
        </w:trPr>
        <w:tc>
          <w:tcPr>
            <w:tcW w:w="4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24"/>
                <w:szCs w:val="24"/>
                <w:color w:val="auto"/>
              </w:rPr>
            </w:pPr>
          </w:p>
        </w:tc>
        <w:tc>
          <w:tcPr>
            <w:tcW w:w="33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71"/>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4"/>
                <w:szCs w:val="14"/>
                <w:color w:val="auto"/>
              </w:rPr>
            </w:pPr>
          </w:p>
        </w:tc>
      </w:tr>
      <w:tr>
        <w:trPr>
          <w:trHeight w:val="171"/>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872,595</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558,690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320,030</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203,333</w:t>
            </w:r>
          </w:p>
        </w:tc>
        <w:tc>
          <w:tcPr>
            <w:tcW w:w="520" w:type="dxa"/>
            <w:vAlign w:val="bottom"/>
          </w:tcPr>
          <w:p>
            <w:pPr>
              <w:spacing w:after="0"/>
              <w:rPr>
                <w:sz w:val="14"/>
                <w:szCs w:val="14"/>
                <w:color w:val="auto"/>
              </w:rPr>
            </w:pPr>
          </w:p>
        </w:tc>
      </w:tr>
      <w:tr>
        <w:trPr>
          <w:trHeight w:val="180"/>
        </w:trPr>
        <w:tc>
          <w:tcPr>
            <w:tcW w:w="4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505,561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325,710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183,739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118,522</w:t>
            </w:r>
          </w:p>
        </w:tc>
        <w:tc>
          <w:tcPr>
            <w:tcW w:w="520" w:type="dxa"/>
            <w:vAlign w:val="bottom"/>
          </w:tcPr>
          <w:p>
            <w:pPr>
              <w:spacing w:after="0"/>
              <w:rPr>
                <w:sz w:val="15"/>
                <w:szCs w:val="15"/>
                <w:color w:val="auto"/>
              </w:rPr>
            </w:pPr>
          </w:p>
        </w:tc>
      </w:tr>
      <w:tr>
        <w:trPr>
          <w:trHeight w:val="171"/>
        </w:trPr>
        <w:tc>
          <w:tcPr>
            <w:tcW w:w="4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margin</w:t>
            </w: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367,034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232,980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136,291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84,811</w:t>
            </w:r>
          </w:p>
        </w:tc>
        <w:tc>
          <w:tcPr>
            <w:tcW w:w="520" w:type="dxa"/>
            <w:vAlign w:val="bottom"/>
          </w:tcPr>
          <w:p>
            <w:pPr>
              <w:spacing w:after="0"/>
              <w:rPr>
                <w:sz w:val="14"/>
                <w:szCs w:val="14"/>
                <w:color w:val="auto"/>
              </w:rPr>
            </w:pPr>
          </w:p>
        </w:tc>
      </w:tr>
      <w:tr>
        <w:trPr>
          <w:trHeight w:val="18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246,767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196,443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89,145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68,266</w:t>
            </w:r>
          </w:p>
        </w:tc>
        <w:tc>
          <w:tcPr>
            <w:tcW w:w="520" w:type="dxa"/>
            <w:vAlign w:val="bottom"/>
          </w:tcPr>
          <w:p>
            <w:pPr>
              <w:spacing w:after="0"/>
              <w:rPr>
                <w:sz w:val="15"/>
                <w:szCs w:val="15"/>
                <w:color w:val="auto"/>
              </w:rPr>
            </w:pPr>
          </w:p>
        </w:tc>
      </w:tr>
      <w:tr>
        <w:trPr>
          <w:trHeight w:val="180"/>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3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520" w:type="dxa"/>
            <w:vAlign w:val="bottom"/>
          </w:tcPr>
          <w:p>
            <w:pPr>
              <w:spacing w:after="0"/>
              <w:rPr>
                <w:sz w:val="15"/>
                <w:szCs w:val="15"/>
                <w:color w:val="auto"/>
              </w:rPr>
            </w:pPr>
          </w:p>
        </w:tc>
      </w:tr>
      <w:tr>
        <w:trPr>
          <w:trHeight w:val="171"/>
        </w:trPr>
        <w:tc>
          <w:tcPr>
            <w:tcW w:w="4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from operations</w:t>
            </w: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120,267</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36,071</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47,146</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16,093</w:t>
            </w:r>
          </w:p>
        </w:tc>
        <w:tc>
          <w:tcPr>
            <w:tcW w:w="520" w:type="dxa"/>
            <w:vAlign w:val="bottom"/>
          </w:tcPr>
          <w:p>
            <w:pPr>
              <w:spacing w:after="0"/>
              <w:rPr>
                <w:sz w:val="14"/>
                <w:szCs w:val="14"/>
                <w:color w:val="auto"/>
              </w:rPr>
            </w:pPr>
          </w:p>
        </w:tc>
      </w:tr>
      <w:tr>
        <w:trPr>
          <w:trHeight w:val="180"/>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520" w:type="dxa"/>
            <w:vAlign w:val="bottom"/>
          </w:tcPr>
          <w:p>
            <w:pPr>
              <w:spacing w:after="0"/>
              <w:rPr>
                <w:sz w:val="15"/>
                <w:szCs w:val="15"/>
                <w:color w:val="auto"/>
              </w:rPr>
            </w:pPr>
          </w:p>
        </w:tc>
      </w:tr>
      <w:tr>
        <w:trPr>
          <w:trHeight w:val="18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r>
      <w:tr>
        <w:trPr>
          <w:trHeight w:val="171"/>
        </w:trPr>
        <w:tc>
          <w:tcPr>
            <w:tcW w:w="45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before taxes</w:t>
            </w:r>
          </w:p>
        </w:tc>
        <w:tc>
          <w:tcPr>
            <w:tcW w:w="3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117,484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14,728</w:t>
            </w:r>
          </w:p>
        </w:tc>
        <w:tc>
          <w:tcPr>
            <w:tcW w:w="520" w:type="dxa"/>
            <w:vAlign w:val="bottom"/>
          </w:tcPr>
          <w:p>
            <w:pPr>
              <w:spacing w:after="0"/>
              <w:rPr>
                <w:sz w:val="14"/>
                <w:szCs w:val="14"/>
                <w:color w:val="auto"/>
              </w:rPr>
            </w:pPr>
          </w:p>
        </w:tc>
      </w:tr>
      <w:tr>
        <w:trPr>
          <w:trHeight w:val="180"/>
        </w:trPr>
        <w:tc>
          <w:tcPr>
            <w:tcW w:w="4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27,851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520" w:type="dxa"/>
            <w:vAlign w:val="bottom"/>
          </w:tcPr>
          <w:p>
            <w:pPr>
              <w:spacing w:after="0"/>
              <w:rPr>
                <w:sz w:val="15"/>
                <w:szCs w:val="15"/>
                <w:color w:val="auto"/>
              </w:rPr>
            </w:pPr>
          </w:p>
        </w:tc>
      </w:tr>
      <w:tr>
        <w:trPr>
          <w:trHeight w:val="171"/>
        </w:trPr>
        <w:tc>
          <w:tcPr>
            <w:tcW w:w="4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89,633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36,936</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14,228</w:t>
            </w:r>
          </w:p>
        </w:tc>
        <w:tc>
          <w:tcPr>
            <w:tcW w:w="520" w:type="dxa"/>
            <w:vAlign w:val="bottom"/>
          </w:tcPr>
          <w:p>
            <w:pPr>
              <w:spacing w:after="0"/>
              <w:rPr>
                <w:sz w:val="14"/>
                <w:szCs w:val="14"/>
                <w:color w:val="auto"/>
              </w:rPr>
            </w:pPr>
          </w:p>
        </w:tc>
      </w:tr>
      <w:tr>
        <w:trPr>
          <w:trHeight w:val="181"/>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3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8,231</w:t>
            </w:r>
          </w:p>
        </w:tc>
        <w:tc>
          <w:tcPr>
            <w:tcW w:w="520" w:type="dxa"/>
            <w:vAlign w:val="bottom"/>
          </w:tcPr>
          <w:p>
            <w:pPr>
              <w:spacing w:after="0"/>
              <w:rPr>
                <w:sz w:val="15"/>
                <w:szCs w:val="15"/>
                <w:color w:val="auto"/>
              </w:rPr>
            </w:pPr>
          </w:p>
        </w:tc>
      </w:tr>
      <w:tr>
        <w:trPr>
          <w:trHeight w:val="196"/>
        </w:trPr>
        <w:tc>
          <w:tcPr>
            <w:tcW w:w="4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and comprehensive income attributable to Arhaus, Inc.</w:t>
            </w: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520" w:type="dxa"/>
            <w:vAlign w:val="bottom"/>
          </w:tcPr>
          <w:p>
            <w:pPr>
              <w:spacing w:after="0"/>
              <w:rPr>
                <w:sz w:val="16"/>
                <w:szCs w:val="16"/>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673"/>
        </w:trPr>
        <w:tc>
          <w:tcPr>
            <w:tcW w:w="4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87"/>
        </w:trPr>
        <w:tc>
          <w:tcPr>
            <w:tcW w:w="4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786"/>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Other Operational Data:</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0"/>
        </w:trPr>
        <w:tc>
          <w:tcPr>
            <w:tcW w:w="10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24"/>
                <w:szCs w:val="24"/>
                <w:color w:val="auto"/>
              </w:rPr>
            </w:pPr>
          </w:p>
        </w:tc>
        <w:tc>
          <w:tcPr>
            <w:tcW w:w="288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92"/>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47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872,595</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558,690</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320,030</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203,333</w:t>
            </w:r>
          </w:p>
        </w:tc>
      </w:tr>
      <w:tr>
        <w:trPr>
          <w:trHeight w:val="212"/>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Comparable growth</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61.3 %</w:t>
            </w:r>
          </w:p>
        </w:tc>
      </w:tr>
      <w:tr>
        <w:trPr>
          <w:trHeight w:val="202"/>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Demand comparable growth</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58.4 %</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28.3 %</w:t>
            </w:r>
          </w:p>
        </w:tc>
      </w:tr>
      <w:tr>
        <w:trPr>
          <w:trHeight w:val="201"/>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Gross margin as a % of net revenue</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41.7 %</w:t>
            </w:r>
          </w:p>
        </w:tc>
      </w:tr>
      <w:tr>
        <w:trPr>
          <w:trHeight w:val="202"/>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 as a % of net revenue</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28.3 %</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35.2 %</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33.6 %</w:t>
            </w:r>
          </w:p>
        </w:tc>
      </w:tr>
      <w:tr>
        <w:trPr>
          <w:trHeight w:val="201"/>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Income from operations as a % of net revenue</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7.9 %</w:t>
            </w:r>
          </w:p>
        </w:tc>
      </w:tr>
      <w:tr>
        <w:trPr>
          <w:trHeight w:val="181"/>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89,633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30,276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36,936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14,228</w:t>
            </w:r>
          </w:p>
        </w:tc>
      </w:tr>
      <w:tr>
        <w:trPr>
          <w:trHeight w:val="212"/>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and comprehensive income as a % of net revenue</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7.0 %</w:t>
            </w:r>
          </w:p>
        </w:tc>
      </w:tr>
      <w:tr>
        <w:trPr>
          <w:trHeight w:val="223"/>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148,350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90,123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56,712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30,386</w:t>
            </w:r>
          </w:p>
        </w:tc>
      </w:tr>
      <w:tr>
        <w:trPr>
          <w:trHeight w:val="201"/>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Adjusted EBITDA as a % of net revenue</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14.9 %</w:t>
            </w:r>
          </w:p>
        </w:tc>
      </w:tr>
      <w:tr>
        <w:trPr>
          <w:trHeight w:val="202"/>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Showrooms at end of period</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42"/>
        </w:trPr>
        <w:tc>
          <w:tcPr>
            <w:tcW w:w="106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bl>
    <w:p>
      <w:pPr>
        <w:spacing w:after="0" w:line="46" w:lineRule="exact"/>
        <w:rPr>
          <w:sz w:val="20"/>
          <w:szCs w:val="20"/>
          <w:color w:val="auto"/>
        </w:rPr>
      </w:pPr>
    </w:p>
    <w:p>
      <w:pPr>
        <w:ind w:left="100" w:hanging="95"/>
        <w:spacing w:after="0"/>
        <w:tabs>
          <w:tab w:leader="none" w:pos="100" w:val="left"/>
        </w:tabs>
        <w:numPr>
          <w:ilvl w:val="0"/>
          <w:numId w:val="1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See “How We Assess the Performance of Our Business,” for a definition of adjusted EBITDA and a reconciliation of adjusted EBITDA to net and comprehensive income.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nine months ended September 30, 2022 and 2021</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Revenue</w:t>
      </w:r>
    </w:p>
    <w:p>
      <w:pPr>
        <w:spacing w:after="0" w:line="149"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Net revenue increased $313.9 million, or 56.2%, to $872.6 million in the nine months ended September 30, 2022 compared to $558.7 million in the nine months ended September 30, 2021. The increase was driven primarily by increased demand for our products in both Showrooms and eCommerce, as well as elements of our supply chain continuing to catch up with client demand.</w:t>
      </w:r>
    </w:p>
    <w:p>
      <w:pPr>
        <w:spacing w:after="0" w:line="9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Comparable growth was 53.5% in the nine months ended September 30, 2022 compared to 56.0% in the nine months ended September 30, 2021. Demand comparable growth was 15.1% in the nine months ended September 30, 2022 compared to 58.4% in the nine months ended September 30, 2021. Demand comparable growth for the nine months ended September 30, 2021 was positively impacted by Showroom closures in 2020 as a result of the COVID-19 pandemic.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Margin</w:t>
      </w:r>
    </w:p>
    <w:p>
      <w:pPr>
        <w:spacing w:after="0" w:line="14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Gross margin increased $134.1 million, or 57.5%, to $367.0 million in the nine months ended September 30, 2022 compared to $233.0 million in the nine months ended September 30, 2021. Gross margin improvement was driven by the increase in net revenue, partially offset by increased variable expense related to the higher revenue, including $115.5 million of higher product costs, $38.0 million of increased transportation costs and $13.8 million of increased variable rent expense, in addition to $6.3 million of higher credit card fees related to higher demand during these time periods.</w:t>
      </w:r>
    </w:p>
    <w:p>
      <w:pPr>
        <w:spacing w:after="0" w:line="10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As a percentage of net revenue, gross margin increased 40 basis points to 42.1% of net revenue in the nine months ended September 30, 2022 compared to 41.7% of net revenue in the nine months ended September 30, 2021. The gross margin increase as a percentage of net revenue was primarily the result of leverage on fixed Showroom costs over higher net revenue, contributing 260 basis points to the gross margin improvement. This was partially offset by higher variable Showroom costs and transportation costs, which together increased 240 basis points as a percentage of net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SG&amp;A expenses increased $50.3 million, or 25.6%, to $246.8 million in the nine months ended September 30, 2022 compared to $196.4 million in the nine months ended September 30, 2021.</w:t>
      </w:r>
    </w:p>
    <w:p>
      <w:pPr>
        <w:spacing w:after="0" w:line="20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increase in SG&amp;A expenses was primarily driven by a $33.2 million increase in warehouse expenses, a $26.1 million increase in corporate expenses to support the growth of the business, a $9.8 million increase in selling expenses related to new showrooms and higher demand and an $8.4 million increase in new public company costs. This was partially offset by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non-recurrence of the derivative expense in the prior year related to the change in the fair value of the Term Loan exit fee of $29.9 million.</w:t>
      </w:r>
    </w:p>
    <w:p>
      <w:pPr>
        <w:spacing w:after="0" w:line="147"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As a percentage of net revenue, SG&amp;A expenses decreased 690 basis points to 28.3% of net revenue in the nine months ended September 30, 2022 compared to 35.2% of net revenue in the nine months ended September 30, 2021.</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net</w:t>
      </w:r>
    </w:p>
    <w:p>
      <w:pPr>
        <w:spacing w:after="0" w:line="149"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Interest expense, net decreased $0.7 million to $3.4 million in the nine months ended September 30, 2022 compared to $4.1 million in the nine months ended September 30, 2021. The decrease was driven by interest income earned on money market fund investments of $0.6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59"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Income tax expense was $27.9 million in the nine months ended September 30, 2022 compared to $1.7 million in the nine months ended September 30, 2021. Prior to the Reorganization, the Company was a limited liability company under the Internal Revenue Code that had elected to be taxed as a partnership and did not pay federal or most state corporate income taxes on its taxable income, but rather its members were liable for their respective portions of the taxable income (loss) of LLC. Income tax expense included state and local taxes in certain jurisdictions prior to the Reorganization. Subsequent to the Reorganization, LLC’s taxable income flows through to FS Arhaus and Homeworks who are subject to U.S. federal and state corporate income taxes.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and Comprehensive Income</w:t>
      </w:r>
    </w:p>
    <w:p>
      <w:pPr>
        <w:spacing w:after="0" w:line="14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Net and comprehensive income increased $59.4 million to $89.6 million in the nine months ended September 30, 2022 compared to $30.3 million in the nine months ended September 30, 2021. The increase was driven by the factors described above.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three months ended September 30, 2022 and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Revenue</w:t>
      </w:r>
    </w:p>
    <w:p>
      <w:pPr>
        <w:spacing w:after="0" w:line="149"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Net revenue increased $116.7 million, or 57.4%, to $320.0 million in the three months ended September 30, 2022 compared to $203.3 million in the three months ended September 30, 2021. Net revenue was driven by increased demand for our products in both Showrooms and eCommerce, as well as elements of our supply chain continuing to catch up with client demand.</w:t>
      </w:r>
    </w:p>
    <w:p>
      <w:pPr>
        <w:spacing w:after="0" w:line="10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Comparable growth was 54.3% in the three months ended September 30, 2022 compared to 61.3% in the three months ended September 30, 2021. Demand comparable growth was 15.8% in the three months ended September 30, 2022 compared to 28.3% in the three months ended September 30,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Margin</w:t>
      </w:r>
    </w:p>
    <w:p>
      <w:pPr>
        <w:spacing w:after="0" w:line="14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Gross margin increased $51.5 million, or 60.7%, to $136.3 million in the three months ended September 30, 2022 compared to $84.8 million in the three months ended September 30, 2021. Gross margin improvement was driven by the increase in net revenue, partially offset by increased variable expense related to the higher revenue, including $42.7 million of higher product costs, $12.6 million of increased transportation costs and $5.4 million of increased variable rent expense, in addition to $2.3 million of higher credit card fees related to higher demand during these time periods.</w:t>
      </w:r>
    </w:p>
    <w:p>
      <w:pPr>
        <w:spacing w:after="0" w:line="11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As a percentage of net revenue, gross margin increased 90 basis points to 42.6% of net revenue in the three months ended September 30, 2022 compared to 41.7% of net revenue in the three months ended September 30, 2021. The gross margin increase as a percentage of net revenue was primarily the result of leverage on fixed Showroom costs over higher net revenue, contributing 240 basis points to the gross margin improvement. This was partially offset by higher variable Showroom costs and transportation costs, which together increased 190 basis points as a percentage of net revenue.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SG&amp;A expenses increased $20.9 million, or 30.6%, to $89.1 million in the three months ended September 30, 2022 compared to $68.3 million in the three months ended September 30, 2021.</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increase in SG&amp;A expenses was primarily driven by a $9.1 million increase in corporate expenses to support the growth of the business, $7.7 million increase in warehouse expenses and a $2.1 million increase in new public company costs.</w:t>
      </w:r>
    </w:p>
    <w:p>
      <w:pPr>
        <w:spacing w:after="0" w:line="103"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As a percentage of net revenue, SG&amp;A expenses decreased 570 basis points to 27.9% of net revenue in the three months ended September 30, 2022 compared to 33.6% of net revenue in the three months ended September 30,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net</w:t>
      </w:r>
    </w:p>
    <w:p>
      <w:pPr>
        <w:spacing w:after="0" w:line="14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Interest expense, net decreased $0.6 million to $0.8 million in the three months ended September 30, 2022 compared to $1.4 million in the three months ended September 30, 2021. The decrease was driven by interest income earned on money market fund investments of $0.6 million.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Income taxes were $9.6 million in the three months ended September 30, 2022 compared to $0.5 million in the three months ended September 30, 2021. Prior to the Reorganization, the Company was a limited liability company under the Internal Revenue Code that had elected to be taxed as a partnership and did not pay federal or most state corporate income taxes on its taxable income, but rather its members were liable for their respective portions of the taxable income (loss) of LLC. Income tax expense included state and local taxes in certain jurisdictions prior to the Reorganization.</w:t>
      </w:r>
    </w:p>
    <w:p>
      <w:pPr>
        <w:ind w:right="1780"/>
        <w:spacing w:after="0" w:line="455" w:lineRule="auto"/>
        <w:rPr>
          <w:sz w:val="20"/>
          <w:szCs w:val="20"/>
          <w:color w:val="auto"/>
        </w:rPr>
      </w:pPr>
      <w:r>
        <w:rPr>
          <w:rFonts w:ascii="Times New Roman" w:cs="Times New Roman" w:eastAsia="Times New Roman" w:hAnsi="Times New Roman"/>
          <w:sz w:val="14"/>
          <w:szCs w:val="14"/>
          <w:color w:val="auto"/>
        </w:rPr>
        <w:t xml:space="preserve">Subsequent to the Reorganization, LLC’s taxable income flows through to FS Arhaus and Homeworks who are subject to U.S. federal and state corporate income taxes. </w:t>
      </w:r>
      <w:r>
        <w:rPr>
          <w:rFonts w:ascii="Times New Roman" w:cs="Times New Roman" w:eastAsia="Times New Roman" w:hAnsi="Times New Roman"/>
          <w:sz w:val="14"/>
          <w:szCs w:val="14"/>
          <w:b w:val="1"/>
          <w:bCs w:val="1"/>
          <w:i w:val="1"/>
          <w:iCs w:val="1"/>
          <w:color w:val="auto"/>
        </w:rPr>
        <w:t>Net and Comprehensive Income</w:t>
      </w:r>
    </w:p>
    <w:p>
      <w:pPr>
        <w:spacing w:after="0" w:line="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Net and comprehensive income increased $22.7 million to $36.9 million in the three months ended September 30, 2022 compared to $14.2 million in the three months ended September 30, 2021. The increase was driven by the factors described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Outlook</w:t>
      </w:r>
    </w:p>
    <w:p>
      <w:pPr>
        <w:spacing w:after="0" w:line="159"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Our primary cash needs have historically been for merchandise inventories, payroll, marketing catalogs, Showroom rent, capital expenditures associated with opening new Showrooms and updating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September 30, 2022, we had cash and cash equivalents of $145.7 million.</w:t>
      </w:r>
    </w:p>
    <w:p>
      <w:pPr>
        <w:spacing w:after="0" w:line="10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4"/>
          <w:szCs w:val="14"/>
          <w:color w:val="auto"/>
        </w:rPr>
        <w:t>In November 2021, we entered into the 2021 Credit Facility with Bank of America, N.A. and the lenders party thereto.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is $50.0 million, which may be increased pursuant to the terms of the 2021 Credit Facility. The 2021 Credit Facility contains restrictive covenants and has certain financial covenants, including a minimum rent-adjusted total leverage ratio and a minimum fixed charge ratio. The 2021 Credit Facility bears variable interest rates at the prevailing Bloomberg Short-Term Bank Yield index rate plus the applicable margin (1.50% at September 30, 2022), whereas the applicable margin is adjusted quarterly based on the Company’s consolidated rent-adjusted total leverage ratio. At September 30, 2022, we had no borrowings on the 2021 Credit Facility.</w:t>
      </w:r>
    </w:p>
    <w:p>
      <w:pPr>
        <w:spacing w:after="0" w:line="11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2022, our principal sources of liquidity were cash flows from operations, including client deposits. We believe our operating cash flows will be sufficient to meet working capital requirements and fulfill other capital needs for at least the next 12 months, although we may enter into borrowing arrangements in the future.</w:t>
      </w:r>
    </w:p>
    <w:p>
      <w:pPr>
        <w:spacing w:after="0" w:line="103"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to fund investments and strategies such as supply chain expansion and growth initiatives. In addition, our capital needs and uses of capital may change in the future due to changes in our business or new opportunities that we choose to pursue.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expenditures</w:t>
      </w:r>
    </w:p>
    <w:p>
      <w:pPr>
        <w:spacing w:after="0" w:line="14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Historically, we have invested significant capital expenditures in opening new Showrooms. In 2022, our recent distribution center footprint expansion has also been a focus of our capital expenditures. While our capital expenditures vary year to year, they have increased in the past and may continue to increase in future periods as our distribution centers become fully operational and we open additional Showrooms. Our capital expenditures include expenditures related to investing activities and outflows of capital related to construction activities to design and build landlord-owned leased assets, net of tenant allowances received. Certain lease arrangements require the landlord to fund a portion of the construction related costs through payments directly to us. New Showrooms may require different levels of capital investment on our part in the future.</w:t>
      </w:r>
    </w:p>
    <w:p>
      <w:pPr>
        <w:spacing w:after="0" w:line="11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In addition, we continue to address the effects of the COVID-19 pandemic on our business with respect to real estate development and the introduction of new Showrooms. A range of factors included in the development of new Showrooms may continue to be affected by the COVID-19 pandemic including delays in construction, permitting and other necessary governmental actions. In addition, the scope and cadence of investments by third parties, including landlords and other real estate counterparties, may be adversely affected by the health crisis. Actions taken by federal, state and local government authorities, and in some instances mall and shopping center owners, in response to the pandemic may require changes to our real estate strategy and related capital expenditures. In addition, we may be required to make lease payments in whole or in part for our Showrooms in the event that they are required to close in the future due to resurgences in COVID-19 outbreaks or for other reasons. Any efforts to mitigate the costs of construction delays and deferrals, retail closures and other operational difficulties, including any such difficulties resulting from COVID-19, such as by negotiating with landlords and other third parties regarding the timing and amount of payments under existing contractual arrangements, may not be successful, and as a result, our real estate strategy may have ongoing significant liquidity needs even as we make changes to our planned operations and expansion cadence.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Refer to Note 4 —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to our condensed consolidated financial statements for further information on our Revolver and 2021 Credit Facility,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Analysis</w:t>
            </w: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6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provides a summary of our cash provided by operating, investing and financing activities:</w:t>
            </w: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60" w:type="dxa"/>
            <w:vAlign w:val="bottom"/>
            <w:gridSpan w:val="4"/>
          </w:tcPr>
          <w:p>
            <w:pPr>
              <w:jc w:val="right"/>
              <w:ind w:right="10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2"/>
        </w:trPr>
        <w:tc>
          <w:tcPr>
            <w:tcW w:w="6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64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40" w:type="dxa"/>
            <w:vAlign w:val="bottom"/>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1"/>
        </w:trPr>
        <w:tc>
          <w:tcPr>
            <w:tcW w:w="6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58,237</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141,190</w:t>
            </w:r>
          </w:p>
        </w:tc>
        <w:tc>
          <w:tcPr>
            <w:tcW w:w="0" w:type="dxa"/>
            <w:vAlign w:val="bottom"/>
          </w:tcPr>
          <w:p>
            <w:pPr>
              <w:spacing w:after="0"/>
              <w:rPr>
                <w:sz w:val="1"/>
                <w:szCs w:val="1"/>
                <w:color w:val="auto"/>
              </w:rPr>
            </w:pPr>
          </w:p>
        </w:tc>
      </w:tr>
      <w:tr>
        <w:trPr>
          <w:trHeight w:val="18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5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(29,533)</w:t>
            </w:r>
          </w:p>
        </w:tc>
        <w:tc>
          <w:tcPr>
            <w:tcW w:w="0" w:type="dxa"/>
            <w:vAlign w:val="bottom"/>
          </w:tcPr>
          <w:p>
            <w:pPr>
              <w:spacing w:after="0"/>
              <w:rPr>
                <w:sz w:val="1"/>
                <w:szCs w:val="1"/>
                <w:color w:val="auto"/>
              </w:rPr>
            </w:pPr>
          </w:p>
        </w:tc>
      </w:tr>
      <w:tr>
        <w:trPr>
          <w:trHeight w:val="180"/>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50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(20,321)</w:t>
            </w:r>
          </w:p>
        </w:tc>
        <w:tc>
          <w:tcPr>
            <w:tcW w:w="0" w:type="dxa"/>
            <w:vAlign w:val="bottom"/>
          </w:tcPr>
          <w:p>
            <w:pPr>
              <w:spacing w:after="0"/>
              <w:rPr>
                <w:sz w:val="1"/>
                <w:szCs w:val="1"/>
                <w:color w:val="auto"/>
              </w:rPr>
            </w:pPr>
          </w:p>
        </w:tc>
      </w:tr>
      <w:tr>
        <w:trPr>
          <w:trHeight w:val="171"/>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 equivalents</w:t>
            </w: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21,174</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91,336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nine months ended September 30, 2022 and 2021</w:t>
      </w:r>
    </w:p>
    <w:p>
      <w:pPr>
        <w:spacing w:after="0" w:line="15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Net cash provided by operating activities was $58.2 million in the nine months ended September 30, 2022 compared to $141.2 million net cash provided by operating activities in the nine months ended September 30, 2021. The decrease in our net cash provided by operating activities in the nine months ended September 30, 2022 was impacted by several factors: lower change in client deposits from improved delivery of backlog orders and lower demand comparable growth of 15.1% versus demand comparable growth of 58.4% in the nine months ended September 30, 2021; higher inventory levels related to strong demand; and higher non-cash items in the current period. The non-cash items include the amortization of operating lease assets and lease incentives, interest and deferred tax assets that were partially offset by the non-recurring derivative expense in the prior year related to the change in the fair value of the Term Loan exit fee, which reduced our net income without any corresponding adverse impact to our cash generation. These items were partially offset by increases in accounts payable and accrued expenses.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Investing activities consist primarily of capital expenditures related to investments in retail Showrooms, information technology and systems infrastructure, as well as supply chain investments.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Investing activities also include strategic investments made by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nine months ended September 30, 2022 and 2021</w:t>
      </w:r>
    </w:p>
    <w:p>
      <w:pPr>
        <w:spacing w:after="0" w:line="149"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2022, net cash used in investing activities was $37.0 million primarily due to investments in Showrooms, supply chain expansion and information technology and systems infrastructure.</w:t>
      </w:r>
    </w:p>
    <w:p>
      <w:pPr>
        <w:spacing w:after="0" w:line="10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2021, net cash used in investing activities was $29.5 million primarily due to investments in Showrooms, information technology and systems infrastructure, and supply chain expansion.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Historical capital expenditures are summarized as follows:</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2"/>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2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5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29,533</w:t>
            </w:r>
          </w:p>
        </w:tc>
        <w:tc>
          <w:tcPr>
            <w:tcW w:w="0" w:type="dxa"/>
            <w:vAlign w:val="bottom"/>
          </w:tcPr>
          <w:p>
            <w:pPr>
              <w:spacing w:after="0"/>
              <w:rPr>
                <w:sz w:val="1"/>
                <w:szCs w:val="1"/>
                <w:color w:val="auto"/>
              </w:rPr>
            </w:pPr>
          </w:p>
        </w:tc>
      </w:tr>
      <w:tr>
        <w:trPr>
          <w:trHeight w:val="212"/>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Landlord contributions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11,140</w:t>
            </w: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expenditures, net of landlord contributions</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Total capital expenditures, net of landlord contributions increased by $7.2 million in the nine months ended September 30, 2022 compared to the nine months ended September 30, 2021. This increase was related to our new facilities in Dallas and North Carolina, the opening of new Showrooms and information technology and systems infrastructure upgrades.</w:t>
      </w:r>
    </w:p>
    <w:p>
      <w:pPr>
        <w:spacing w:after="0" w:line="145"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We anticipate our total company funded capital expenditures to be between $40 million and $50 million in fiscal year 2022, primarily related to the expansion of our Boston Heights distribution center and the opening of our North Carolina and Dallas distribution centers, the opening of new Showrooms, and information technology and systems infrastructure upgrades.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financing activities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Financing activities consist primarily of principal payments on our finance leases and distributions to the shareholders and noncontrolling interest holders of LLC.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nine months ended September 30, 2022 and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nine months ended September 30, 2022, net cash used in financing activities was $0.1 million due to principal payments on finance leases.</w:t>
      </w:r>
    </w:p>
    <w:p>
      <w:pPr>
        <w:spacing w:after="0" w:line="14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2021, net cash used in financing activities was $20.3 million, which related to $12.4 million of shareholder distributions and $7.9 million of tax distributions to the noncontrolling interest holders of LLC.</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Transactions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2022, we have no material off-balance sheet arrangements.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4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Part II, Item 7 “Management’s Discussion and Analysis of Financial Condition and Results of Operations — Critical Accounting Policies and Estimates” in our Annual Report on Form 10-K for the year ended December 31, 2021.</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2— </w:t>
      </w:r>
      <w:r>
        <w:rPr>
          <w:rFonts w:ascii="Times New Roman" w:cs="Times New Roman" w:eastAsia="Times New Roman" w:hAnsi="Times New Roman"/>
          <w:sz w:val="14"/>
          <w:szCs w:val="14"/>
          <w:i w:val="1"/>
          <w:iCs w:val="1"/>
          <w:color w:val="auto"/>
        </w:rPr>
        <w:t>Recently Issued Accounting Standards</w:t>
      </w:r>
      <w:r>
        <w:rPr>
          <w:rFonts w:ascii="Times New Roman" w:cs="Times New Roman" w:eastAsia="Times New Roman" w:hAnsi="Times New Roman"/>
          <w:sz w:val="14"/>
          <w:szCs w:val="14"/>
          <w:color w:val="auto"/>
        </w:rPr>
        <w:t xml:space="preserve"> to our condensed consolidated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4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We are exposed to market risks, which include significant deterioration of the U.S. and foreign markets, changes in U.S.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Exchange Risk</w:t>
      </w:r>
    </w:p>
    <w:p>
      <w:pPr>
        <w:spacing w:after="0" w:line="14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nine and three months ended September 30, 2022 and 2021,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15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We are primarily exposed to interest rate risk with respect to borrowing under our 2021 Credit Facility and as of September 30, 2022, we have not drawn upon the 2021 Credit Facility.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Impact of Inflation</w:t>
      </w:r>
    </w:p>
    <w:p>
      <w:pPr>
        <w:spacing w:after="0" w:line="14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Emerging Growth Company Status</w:t>
      </w:r>
    </w:p>
    <w:p>
      <w:pPr>
        <w:spacing w:after="0" w:line="14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are no longer an emerging growth company or affirmatively and irrevocably opt out of the extended transition period provided in the JOBS Act. Accordingly, our condensed consolidated financial statements may not be comparable to companies that comply with new or revised accounting pronouncements as of public company effective dates.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4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Under the supervision and with the participation of our CEO and Chief Financial Officer (“CFO”), management has evaluated the effectiveness of the design and operation of our disclosure controls and procedures (as defined in Rules 13a-15(e) and 15d-15(e) of the Securities Exchange Act of 1934) as of September 30, 2022. Based on their evaluation as of September 30, 2022, the CEO and CFO have concluded that our disclosure controls and procedures were not effective at the reasonable assurance level because of the material weaknesses in our internal control over financial reporting described below.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upon that evaluation, our CEO and CFO identified four material weaknesses in our internal control over financial reporting.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Weaknesses in Internal Control Over Financial Reporting</w:t>
      </w:r>
    </w:p>
    <w:p>
      <w:pPr>
        <w:spacing w:after="0" w:line="159"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92" w:lineRule="exact"/>
        <w:rPr>
          <w:sz w:val="20"/>
          <w:szCs w:val="20"/>
          <w:color w:val="auto"/>
        </w:rPr>
      </w:pPr>
    </w:p>
    <w:p>
      <w:pPr>
        <w:ind w:left="520" w:right="20" w:hanging="260"/>
        <w:spacing w:after="0" w:line="258"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1" w:lineRule="exact"/>
        <w:rPr>
          <w:rFonts w:ascii="Times New Roman" w:cs="Times New Roman" w:eastAsia="Times New Roman" w:hAnsi="Times New Roman"/>
          <w:sz w:val="14"/>
          <w:szCs w:val="14"/>
          <w:color w:val="auto"/>
        </w:rPr>
      </w:pPr>
    </w:p>
    <w:p>
      <w:pPr>
        <w:ind w:left="520" w:right="20" w:hanging="260"/>
        <w:spacing w:after="0" w:line="25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accounting policies, procedures and controls, or maintain documentary evidence of existing control activities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ind w:left="520" w:right="260" w:hanging="260"/>
        <w:spacing w:after="0" w:line="266"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or appropriately account for our incentive unit plan.</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as of and for the year ended December 31, 2021 principally related to property, furniture and equipment, net; selling, general and administrative expenses; and misclassifications in the balance sheet and statement of cash flows.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122" w:lineRule="exact"/>
        <w:rPr>
          <w:sz w:val="20"/>
          <w:szCs w:val="20"/>
          <w:color w:val="auto"/>
        </w:rPr>
      </w:pPr>
    </w:p>
    <w:p>
      <w:pPr>
        <w:ind w:left="520" w:right="20" w:hanging="260"/>
        <w:spacing w:after="0" w:line="259"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Lastly, we did not design and maintain effective controls over information technology, or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1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Remediation Activities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the oversight of senior management and our Audit Committee, we have designed and begun to implement a remediation plan which includes:</w:t>
      </w:r>
    </w:p>
    <w:p>
      <w:pPr>
        <w:spacing w:after="0" w:line="147" w:lineRule="exact"/>
        <w:rPr>
          <w:sz w:val="20"/>
          <w:szCs w:val="20"/>
          <w:color w:val="auto"/>
        </w:rPr>
      </w:pPr>
    </w:p>
    <w:p>
      <w:pPr>
        <w:ind w:left="520" w:right="320" w:hanging="260"/>
        <w:spacing w:after="0" w:line="26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Updating our policies and procedures to establish and maintain effective segregation of duties for our finance and accounting staff in relation to journal entries, reconciliations and other applicable processes.</w:t>
      </w:r>
    </w:p>
    <w:p>
      <w:pPr>
        <w:ind w:left="520" w:right="480" w:hanging="260"/>
        <w:spacing w:after="0" w:line="266"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Enhancing the design and operation of user access control activities and procedures to ensure that access to IT applications and data is adequately restricted to appropriate personnel.</w:t>
      </w:r>
    </w:p>
    <w:p>
      <w:pPr>
        <w:spacing w:after="0" w:line="23" w:lineRule="exact"/>
        <w:rPr>
          <w:rFonts w:ascii="Times New Roman" w:cs="Times New Roman" w:eastAsia="Times New Roman" w:hAnsi="Times New Roman"/>
          <w:sz w:val="14"/>
          <w:szCs w:val="14"/>
          <w:color w:val="auto"/>
        </w:rPr>
      </w:pPr>
    </w:p>
    <w:p>
      <w:pPr>
        <w:jc w:val="both"/>
        <w:ind w:left="520" w:right="240" w:hanging="260"/>
        <w:spacing w:after="0" w:line="253"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Hiring additional competent and qualified technical accounting and financial reporting personnel with appropriate knowledge and experience of U.S. GAAP and SEC financial reporting requirements, including non-routine and complex transactions, to design, execute and/or provide appropriate oversight of activities related to internal control over financial reporting, or ICFR.</w:t>
      </w:r>
    </w:p>
    <w:p>
      <w:pPr>
        <w:ind w:left="520" w:right="120" w:hanging="260"/>
        <w:spacing w:after="0" w:line="253"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ind w:left="520" w:right="20" w:hanging="260"/>
        <w:spacing w:after="0" w:line="253"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Designing and implementing a formal systems development lifecycle methodology and related program development controls to ensure significant IT change events are appropriately tested and approved.</w:t>
      </w:r>
    </w:p>
    <w:p>
      <w:pPr>
        <w:ind w:left="520" w:right="180" w:hanging="260"/>
        <w:spacing w:after="0" w:line="253"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Enhancing the design and operation of control activities and procedures within the computer operations domain to ensure key batch jobs are monitored, processing failures are adequately resolved, and recovery capability is tested.</w:t>
      </w: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and evaluating key IT dependencies including key reports, automated application controls, interfaces, and end user computer facilities.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Although we have developed and begun to implement a plan to remediate the material weaknesses and believe, based on our evaluation to date, that the material weaknesses will be remediated in a timely fashion,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4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Other than as described above with respect to ongoing remediation efforts, there were no changes in our internal control over financial reporting as such term is defined in Exchange Act Rule 13a-15(f)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burdens on management and employees. Further, we could receive unfavorable preliminary or interim rulings in the course of litigation, and there can be no assurance that favorable final outcomes will be obtained.</w:t>
      </w:r>
    </w:p>
    <w:p>
      <w:pPr>
        <w:spacing w:after="0" w:line="111"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We are currently not a party to any legal proceedings, the outcome of which, if determined adversely to us, would individually or in the aggregate have a material adverse effect on our business, financial condition or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from the risk factors disclosed in Part I, Item 1A “Risk Factors” in our Annual Report on Form 10-K for the year ended December 31, 2021.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12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68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6"/>
        </w:trPr>
        <w:tc>
          <w:tcPr>
            <w:tcW w:w="10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Item 6. Exhibits</w:t>
            </w:r>
          </w:p>
        </w:tc>
        <w:tc>
          <w:tcPr>
            <w:tcW w:w="140" w:type="dxa"/>
            <w:vAlign w:val="bottom"/>
            <w:gridSpan w:val="2"/>
          </w:tcPr>
          <w:p>
            <w:pPr>
              <w:spacing w:after="0"/>
              <w:rPr>
                <w:sz w:val="24"/>
                <w:szCs w:val="24"/>
                <w:color w:val="auto"/>
              </w:rPr>
            </w:pPr>
          </w:p>
        </w:tc>
        <w:tc>
          <w:tcPr>
            <w:tcW w:w="68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6840" w:type="dxa"/>
            <w:vAlign w:val="bottom"/>
            <w:vMerge w:val="restart"/>
          </w:tcPr>
          <w:p>
            <w:pPr>
              <w:ind w:left="3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Filings Referenced for Incorporation by Reference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6840" w:type="dxa"/>
            <w:vAlign w:val="bottom"/>
            <w:vMerge w:val="continue"/>
          </w:tcPr>
          <w:p>
            <w:pPr>
              <w:spacing w:after="0"/>
              <w:rPr>
                <w:sz w:val="16"/>
                <w:szCs w:val="16"/>
                <w:color w:val="auto"/>
              </w:rPr>
            </w:pP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 w:type="dxa"/>
            <w:vAlign w:val="bottom"/>
            <w:tcBorders>
              <w:top w:val="single" w:sz="8" w:color="auto"/>
            </w:tcBorders>
            <w:gridSpan w:val="2"/>
          </w:tcPr>
          <w:p>
            <w:pPr>
              <w:ind w:left="20"/>
              <w:spacing w:after="0"/>
              <w:rPr>
                <w:rFonts w:ascii="Times New Roman" w:cs="Times New Roman" w:eastAsia="Times New Roman" w:hAnsi="Times New Roman"/>
                <w:sz w:val="14"/>
                <w:szCs w:val="14"/>
                <w:color w:val="0000FF"/>
                <w:w w:val="79"/>
              </w:rPr>
            </w:pPr>
            <w:hyperlink r:id="rId83">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1</w:t>
              </w:r>
            </w:hyperlink>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Amended and Restated Certificate of Incorporation of Arhaus, Inc.</w:t>
            </w:r>
          </w:p>
        </w:tc>
        <w:tc>
          <w:tcPr>
            <w:tcW w:w="3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November 10, 2021 Form 8-K, Exhibit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0" w:type="dxa"/>
            <w:vAlign w:val="bottom"/>
            <w:gridSpan w:val="2"/>
          </w:tcPr>
          <w:p>
            <w:pPr>
              <w:ind w:left="20"/>
              <w:spacing w:after="0"/>
              <w:rPr>
                <w:rFonts w:ascii="Times New Roman" w:cs="Times New Roman" w:eastAsia="Times New Roman" w:hAnsi="Times New Roman"/>
                <w:sz w:val="14"/>
                <w:szCs w:val="14"/>
                <w:color w:val="0000FF"/>
                <w:w w:val="79"/>
              </w:rPr>
            </w:pPr>
            <w:hyperlink r:id="rId84">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2</w:t>
              </w:r>
            </w:hyperlink>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Amended and Restated Bylaws of Arhaus, Inc.</w:t>
            </w:r>
          </w:p>
        </w:tc>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November 10, 2021 Form 8-K, Exhibit 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60" w:type="dxa"/>
            <w:vAlign w:val="bottom"/>
            <w:gridSpan w:val="3"/>
          </w:tcPr>
          <w:p>
            <w:pPr>
              <w:ind w:left="20"/>
              <w:spacing w:after="0"/>
              <w:rPr>
                <w:rFonts w:ascii="Times New Roman" w:cs="Times New Roman" w:eastAsia="Times New Roman" w:hAnsi="Times New Roman"/>
                <w:sz w:val="14"/>
                <w:szCs w:val="14"/>
                <w:color w:val="0000FF"/>
                <w:w w:val="89"/>
              </w:rPr>
            </w:pPr>
            <w:hyperlink r:id="rId85">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1</w:t>
              </w:r>
            </w:hyperlink>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Notice of Award (Restricted Stock Unit and Performance Share Unit)</w:t>
            </w:r>
          </w:p>
        </w:tc>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June 30, 2022 Form 10-Q, Exhibit 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Performance Share Unit Award Agreement</w:t>
            </w:r>
          </w:p>
        </w:tc>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3</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Restricted Stock Unit Award Agreement</w:t>
            </w:r>
          </w:p>
        </w:tc>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4</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of Director Restricted Stock Unit Award Agreement</w:t>
            </w:r>
          </w:p>
        </w:tc>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5</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Employment Letter (Tim Kuckelman)</w:t>
            </w:r>
          </w:p>
        </w:tc>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Certificate of Chief Executive Officer Pursuant to Rules 13a-14(a) and 15d-14(a) of the Securities Exchange Act of</w:t>
            </w:r>
          </w:p>
        </w:tc>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1934, as Adopted Pursuant to Section 302 of the Sarbanes-Oxley Act of 2002</w:t>
            </w: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Certificate of Chief Financial Officer Pursuant to Rules 13a-14(a) and 15d-14(a) of the Securities Exchange Act of 1934, Filed herewith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Adopted Pursuant to Section 302 of the Sarbanes-Oxley Act of 2002</w:t>
            </w: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06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Chief Executive Officer Pursuant to 18 U.S.C. Section 1350, as Adopted Pursuant to Section 906 of the</w:t>
            </w:r>
          </w:p>
        </w:tc>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Furnished herewith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Sarbanes-Oxley Act of 2002</w:t>
            </w: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06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Chief Financial Officer Pursuant to 18 U.S.C. Section 1350, as Adopted Pursuant to Section 906 of the</w:t>
            </w:r>
          </w:p>
        </w:tc>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Furnished herewith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Sarbanes-Oxley Act of 2002</w:t>
            </w: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101.INS</w:t>
            </w: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XBRL Instance Document (the instance document does not appear in the Interactive Data File because its XBRL tags</w:t>
            </w:r>
          </w:p>
        </w:tc>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are embedded within the Inline XBRL document)</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101.SCH</w:t>
            </w: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101.CAL</w:t>
            </w: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101.DEF</w:t>
            </w: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101.LAB</w:t>
            </w: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101.PRE</w:t>
            </w: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62"/>
        </w:trPr>
        <w:tc>
          <w:tcPr>
            <w:tcW w:w="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Cover Page with Interactive Data File (formatted as Inline XBRL with applicable taxonomy extension information</w:t>
            </w:r>
          </w:p>
        </w:tc>
        <w:tc>
          <w:tcPr>
            <w:tcW w:w="3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contained in Exhibits 101)</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85534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855345" cy="6985"/>
                    </a:xfrm>
                    <a:prstGeom prst="rect">
                      <a:avLst/>
                    </a:prstGeom>
                    <a:noFill/>
                  </pic:spPr>
                </pic:pic>
              </a:graphicData>
            </a:graphic>
          </wp:anchor>
        </w:drawing>
      </w:r>
    </w:p>
    <w:p>
      <w:pPr>
        <w:spacing w:after="0" w:line="207" w:lineRule="exact"/>
        <w:rPr>
          <w:sz w:val="20"/>
          <w:szCs w:val="20"/>
          <w:color w:val="auto"/>
        </w:rPr>
      </w:pPr>
    </w:p>
    <w:p>
      <w:pPr>
        <w:ind w:left="320" w:right="60" w:hanging="315"/>
        <w:spacing w:after="0" w:line="280" w:lineRule="auto"/>
        <w:tabs>
          <w:tab w:leader="none" w:pos="171" w:val="left"/>
        </w:tabs>
        <w:numPr>
          <w:ilvl w:val="0"/>
          <w:numId w:val="17"/>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color w:val="auto"/>
        </w:rPr>
        <w:t>The certifications furnished in Exhibit 32.1 and 32.2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 on this 10th day of November, 2022</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ARHAUS, INC.</w:t>
      </w:r>
    </w:p>
    <w:p>
      <w:pPr>
        <w:spacing w:after="0" w:line="234" w:lineRule="exact"/>
        <w:rPr>
          <w:sz w:val="20"/>
          <w:szCs w:val="20"/>
          <w:color w:val="auto"/>
        </w:rPr>
      </w:pPr>
    </w:p>
    <w:tbl>
      <w:tblPr>
        <w:tblLayout w:type="fixed"/>
        <w:tblInd w:w="526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Dawn Phillipson</w:t>
            </w:r>
          </w:p>
        </w:tc>
      </w:tr>
      <w:tr>
        <w:trPr>
          <w:trHeight w:val="167"/>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Dawn Phillipson</w:t>
            </w:r>
          </w:p>
        </w:tc>
      </w:tr>
      <w:tr>
        <w:trPr>
          <w:trHeight w:val="180"/>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4"/>
        </w:trPr>
        <w:tc>
          <w:tcPr>
            <w:tcW w:w="80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r>
        <w:trPr>
          <w:trHeight w:val="711"/>
        </w:trPr>
        <w:tc>
          <w:tcPr>
            <w:tcW w:w="8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36</w:t>
            </w:r>
          </w:p>
        </w:tc>
        <w:tc>
          <w:tcPr>
            <w:tcW w:w="4560" w:type="dxa"/>
            <w:vAlign w:val="bottom"/>
          </w:tcPr>
          <w:p>
            <w:pPr>
              <w:spacing w:after="0"/>
              <w:rPr>
                <w:sz w:val="24"/>
                <w:szCs w:val="24"/>
                <w:color w:val="auto"/>
              </w:rPr>
            </w:pPr>
          </w:p>
        </w:tc>
      </w:tr>
    </w:tbl>
    <w:p>
      <w:pPr>
        <w:sectPr>
          <w:pgSz w:w="11900" w:h="16838" w:orient="portrait"/>
          <w:cols w:equalWidth="0" w:num="1">
            <w:col w:w="11240"/>
          </w:cols>
          <w:pgMar w:left="300" w:top="123" w:right="3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4"/>
          <w:szCs w:val="14"/>
          <w:b w:val="1"/>
          <w:bCs w:val="1"/>
          <w:color w:val="1F4742"/>
        </w:rPr>
        <w:t>Exhibit 31.1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PERIODIC REPORT UNDER SECTION 302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John Reed, certify that:</w:t>
      </w:r>
    </w:p>
    <w:p>
      <w:pPr>
        <w:spacing w:after="0" w:line="104"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Arhaus, Inc.;</w:t>
      </w:r>
    </w:p>
    <w:p>
      <w:pPr>
        <w:spacing w:after="0" w:line="104" w:lineRule="exact"/>
        <w:rPr>
          <w:rFonts w:ascii="Times New Roman" w:cs="Times New Roman" w:eastAsia="Times New Roman" w:hAnsi="Times New Roman"/>
          <w:sz w:val="14"/>
          <w:szCs w:val="14"/>
          <w:color w:val="auto"/>
        </w:rPr>
      </w:pPr>
    </w:p>
    <w:p>
      <w:pPr>
        <w:ind w:left="520" w:right="720" w:hanging="260"/>
        <w:spacing w:after="0" w:line="334"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Times New Roman" w:cs="Times New Roman" w:eastAsia="Times New Roman" w:hAnsi="Times New Roman"/>
          <w:sz w:val="14"/>
          <w:szCs w:val="14"/>
          <w:color w:val="auto"/>
        </w:rPr>
      </w:pPr>
    </w:p>
    <w:p>
      <w:pPr>
        <w:ind w:left="520" w:right="200" w:hanging="260"/>
        <w:spacing w:after="0" w:line="334"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Times New Roman" w:cs="Times New Roman" w:eastAsia="Times New Roman" w:hAnsi="Times New Roman"/>
          <w:sz w:val="14"/>
          <w:szCs w:val="14"/>
          <w:color w:val="auto"/>
        </w:rPr>
      </w:pPr>
    </w:p>
    <w:p>
      <w:pPr>
        <w:ind w:left="520" w:right="240" w:hanging="260"/>
        <w:spacing w:after="0" w:line="300"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jc w:val="both"/>
        <w:ind w:left="1020" w:right="360" w:hanging="251"/>
        <w:spacing w:after="0" w:line="295" w:lineRule="auto"/>
        <w:tabs>
          <w:tab w:leader="none" w:pos="1012"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20" w:hanging="251"/>
        <w:spacing w:after="0"/>
        <w:tabs>
          <w:tab w:leader="none" w:pos="10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[Omitted]</w:t>
      </w:r>
    </w:p>
    <w:p>
      <w:pPr>
        <w:spacing w:after="0" w:line="29" w:lineRule="exact"/>
        <w:rPr>
          <w:rFonts w:ascii="Times New Roman" w:cs="Times New Roman" w:eastAsia="Times New Roman" w:hAnsi="Times New Roman"/>
          <w:sz w:val="14"/>
          <w:szCs w:val="14"/>
          <w:color w:val="auto"/>
        </w:rPr>
      </w:pPr>
    </w:p>
    <w:p>
      <w:pPr>
        <w:ind w:left="1020" w:right="180" w:hanging="251"/>
        <w:spacing w:after="0" w:line="292" w:lineRule="auto"/>
        <w:tabs>
          <w:tab w:leader="none" w:pos="1012"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200" w:hanging="251"/>
        <w:spacing w:after="0" w:line="334" w:lineRule="auto"/>
        <w:tabs>
          <w:tab w:leader="none" w:pos="10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 w:lineRule="exact"/>
        <w:rPr>
          <w:rFonts w:ascii="Times New Roman" w:cs="Times New Roman" w:eastAsia="Times New Roman" w:hAnsi="Times New Roman"/>
          <w:sz w:val="14"/>
          <w:szCs w:val="14"/>
          <w:color w:val="auto"/>
        </w:rPr>
      </w:pPr>
    </w:p>
    <w:p>
      <w:pPr>
        <w:ind w:left="520" w:right="400" w:hanging="260"/>
        <w:spacing w:after="0" w:line="300"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020" w:right="520" w:hanging="251"/>
        <w:spacing w:after="0" w:line="292" w:lineRule="auto"/>
        <w:tabs>
          <w:tab w:leader="none" w:pos="1012"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hanging="251"/>
        <w:spacing w:after="0"/>
        <w:tabs>
          <w:tab w:leader="none" w:pos="10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83"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November 10, 2022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270827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2708275" cy="698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John Reed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314" w:right="3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PERIODIC REPORT UNDER SECTION 302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Dawn Phillipson, certify that:</w:t>
      </w:r>
    </w:p>
    <w:p>
      <w:pPr>
        <w:spacing w:after="0" w:line="104"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Arhaus, Inc.;</w:t>
      </w:r>
    </w:p>
    <w:p>
      <w:pPr>
        <w:spacing w:after="0" w:line="104" w:lineRule="exact"/>
        <w:rPr>
          <w:rFonts w:ascii="Times New Roman" w:cs="Times New Roman" w:eastAsia="Times New Roman" w:hAnsi="Times New Roman"/>
          <w:sz w:val="14"/>
          <w:szCs w:val="14"/>
          <w:color w:val="auto"/>
        </w:rPr>
      </w:pPr>
    </w:p>
    <w:p>
      <w:pPr>
        <w:ind w:left="520" w:right="720" w:hanging="260"/>
        <w:spacing w:after="0" w:line="334"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Times New Roman" w:cs="Times New Roman" w:eastAsia="Times New Roman" w:hAnsi="Times New Roman"/>
          <w:sz w:val="14"/>
          <w:szCs w:val="14"/>
          <w:color w:val="auto"/>
        </w:rPr>
      </w:pPr>
    </w:p>
    <w:p>
      <w:pPr>
        <w:ind w:left="520" w:right="200" w:hanging="260"/>
        <w:spacing w:after="0" w:line="334"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Times New Roman" w:cs="Times New Roman" w:eastAsia="Times New Roman" w:hAnsi="Times New Roman"/>
          <w:sz w:val="14"/>
          <w:szCs w:val="14"/>
          <w:color w:val="auto"/>
        </w:rPr>
      </w:pPr>
    </w:p>
    <w:p>
      <w:pPr>
        <w:ind w:left="520" w:right="240" w:hanging="260"/>
        <w:spacing w:after="0" w:line="300"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jc w:val="both"/>
        <w:ind w:left="1020" w:right="360" w:hanging="251"/>
        <w:spacing w:after="0" w:line="295" w:lineRule="auto"/>
        <w:tabs>
          <w:tab w:leader="none" w:pos="101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20" w:hanging="251"/>
        <w:spacing w:after="0"/>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[Omitted]</w:t>
      </w:r>
    </w:p>
    <w:p>
      <w:pPr>
        <w:spacing w:after="0" w:line="29" w:lineRule="exact"/>
        <w:rPr>
          <w:rFonts w:ascii="Times New Roman" w:cs="Times New Roman" w:eastAsia="Times New Roman" w:hAnsi="Times New Roman"/>
          <w:sz w:val="14"/>
          <w:szCs w:val="14"/>
          <w:color w:val="auto"/>
        </w:rPr>
      </w:pPr>
    </w:p>
    <w:p>
      <w:pPr>
        <w:ind w:left="1020" w:right="180" w:hanging="251"/>
        <w:spacing w:after="0" w:line="292" w:lineRule="auto"/>
        <w:tabs>
          <w:tab w:leader="none" w:pos="101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200" w:hanging="251"/>
        <w:spacing w:after="0" w:line="334" w:lineRule="auto"/>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 w:lineRule="exact"/>
        <w:rPr>
          <w:rFonts w:ascii="Times New Roman" w:cs="Times New Roman" w:eastAsia="Times New Roman" w:hAnsi="Times New Roman"/>
          <w:sz w:val="14"/>
          <w:szCs w:val="14"/>
          <w:color w:val="auto"/>
        </w:rPr>
      </w:pPr>
    </w:p>
    <w:p>
      <w:pPr>
        <w:ind w:left="520" w:right="400" w:hanging="260"/>
        <w:spacing w:after="0" w:line="300" w:lineRule="auto"/>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020" w:right="520" w:hanging="251"/>
        <w:spacing w:after="0" w:line="292" w:lineRule="auto"/>
        <w:tabs>
          <w:tab w:leader="none" w:pos="1012"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hanging="251"/>
        <w:spacing w:after="0"/>
        <w:tabs>
          <w:tab w:leader="none" w:pos="10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83"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November 10, 2022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Dawn Phillipson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308546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085465" cy="698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Dawn Phillipson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ectPr>
          <w:pgSz w:w="11900" w:h="16838" w:orient="portrait"/>
          <w:cols w:equalWidth="0" w:num="1">
            <w:col w:w="11280"/>
          </w:cols>
          <w:pgMar w:left="300" w:top="133" w:right="31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the Quarterly Report of Arhaus, Inc. (the “Company”) on Form 10-Q for the quarter ended September 30, 2022 as filed with the Securities and Exchange Commission on the date</w:t>
      </w:r>
    </w:p>
    <w:p>
      <w:pPr>
        <w:spacing w:after="0" w:line="4"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hereof (the “Report”), I, John Reed, Chief Executive Officer of the Company, hereby certify, pursuant to 18 U.S.C. Section 1350, as adopted pursuant to Section 906 of the Sarbanes-Oxley Act of 2002, to the best of my knowledge, that:</w:t>
      </w:r>
    </w:p>
    <w:p>
      <w:pPr>
        <w:spacing w:after="0" w:line="145" w:lineRule="exact"/>
        <w:rPr>
          <w:sz w:val="20"/>
          <w:szCs w:val="20"/>
          <w:color w:val="auto"/>
        </w:rPr>
      </w:pPr>
    </w:p>
    <w:p>
      <w:pPr>
        <w:ind w:left="500" w:hanging="240"/>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520" w:hanging="260"/>
        <w:spacing w:after="0" w:line="239" w:lineRule="auto"/>
        <w:tabs>
          <w:tab w:leader="none" w:pos="51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for the dates and periods covered by the Report.</w:t>
      </w:r>
    </w:p>
    <w:p>
      <w:pPr>
        <w:spacing w:after="0" w:line="3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u w:val="single" w:color="auto"/>
          <w:color w:val="auto"/>
        </w:rPr>
        <w:t>/s/ John Reed</w:t>
      </w:r>
    </w:p>
    <w:p>
      <w:pPr>
        <w:spacing w:after="0" w:line="1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John Reed</w:t>
      </w:r>
    </w:p>
    <w:p>
      <w:pPr>
        <w:ind w:left="740"/>
        <w:spacing w:after="0" w:line="205" w:lineRule="auto"/>
        <w:rPr>
          <w:sz w:val="20"/>
          <w:szCs w:val="20"/>
          <w:color w:val="auto"/>
        </w:rPr>
      </w:pPr>
      <w:r>
        <w:rPr>
          <w:rFonts w:ascii="Times New Roman" w:cs="Times New Roman" w:eastAsia="Times New Roman" w:hAnsi="Times New Roman"/>
          <w:sz w:val="14"/>
          <w:szCs w:val="14"/>
          <w:color w:val="auto"/>
        </w:rPr>
        <w:t>Chief Executive Officer</w:t>
      </w:r>
    </w:p>
    <w:p>
      <w:pPr>
        <w:ind w:left="74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10, 2022</w:t>
      </w:r>
    </w:p>
    <w:p>
      <w:pPr>
        <w:spacing w:after="0" w:line="17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80"/>
          </w:cols>
          <w:pgMar w:left="300" w:top="123" w:right="3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the Quarterly Report of Arhaus, Inc. (the “Company”) on Form 10-Q for the quarter ended September 30, 2022 as filed with the Securities and Exchange Commission on the date</w:t>
      </w:r>
    </w:p>
    <w:p>
      <w:pPr>
        <w:spacing w:after="0" w:line="4"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hereof (the “Report”), I, Dawn Phillipson, Chief Financial Officer of the Company, hereby certify, pursuant to 18 U.S.C. Section 1350, as adopted pursuant to Section 906 of the Sarbanes-Oxley Act of 2002, to the best of my knowledge, that:</w:t>
      </w:r>
    </w:p>
    <w:p>
      <w:pPr>
        <w:spacing w:after="0" w:line="145" w:lineRule="exact"/>
        <w:rPr>
          <w:sz w:val="20"/>
          <w:szCs w:val="20"/>
          <w:color w:val="auto"/>
        </w:rPr>
      </w:pPr>
    </w:p>
    <w:p>
      <w:pPr>
        <w:ind w:left="500" w:hanging="240"/>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520" w:hanging="260"/>
        <w:spacing w:after="0" w:line="239" w:lineRule="auto"/>
        <w:tabs>
          <w:tab w:leader="none" w:pos="51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for the dates and periods covered by the Report.</w:t>
      </w:r>
    </w:p>
    <w:p>
      <w:pPr>
        <w:spacing w:after="0" w:line="3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u w:val="single" w:color="auto"/>
          <w:color w:val="auto"/>
        </w:rPr>
        <w:t>/s/ Dawn Phillipson</w:t>
      </w:r>
    </w:p>
    <w:p>
      <w:pPr>
        <w:spacing w:after="0" w:line="1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Dawn Phillipson</w:t>
      </w:r>
    </w:p>
    <w:p>
      <w:pPr>
        <w:ind w:left="740"/>
        <w:spacing w:after="0" w:line="205" w:lineRule="auto"/>
        <w:rPr>
          <w:sz w:val="20"/>
          <w:szCs w:val="20"/>
          <w:color w:val="auto"/>
        </w:rPr>
      </w:pPr>
      <w:r>
        <w:rPr>
          <w:rFonts w:ascii="Times New Roman" w:cs="Times New Roman" w:eastAsia="Times New Roman" w:hAnsi="Times New Roman"/>
          <w:sz w:val="14"/>
          <w:szCs w:val="14"/>
          <w:color w:val="auto"/>
        </w:rPr>
        <w:t>Chief Financial Officer</w:t>
      </w:r>
    </w:p>
    <w:p>
      <w:pPr>
        <w:ind w:left="74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10, 2022</w:t>
      </w:r>
    </w:p>
    <w:p>
      <w:pPr>
        <w:spacing w:after="0" w:line="17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80"/>
          </w:cols>
          <w:pgMar w:left="300" w:top="123" w:right="319" w:bottom="1440" w:gutter="0" w:footer="0" w:header="0"/>
        </w:sectPr>
      </w:pPr>
    </w:p>
    <w:bookmarkStart w:id="41" w:name="page42"/>
    <w:bookmarkEnd w:id="41"/>
    <w:p>
      <w:pPr>
        <w:spacing w:after="0" w:line="2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39" w:lineRule="auto"/>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spacing w:after="0" w:line="2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39" w:lineRule="auto"/>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spacing w:after="0" w:line="2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39" w:lineRule="auto"/>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spacing w:after="0" w:line="2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83" Type="http://schemas.openxmlformats.org/officeDocument/2006/relationships/hyperlink" Target="https://www.sec.gov/Archives/edgar/data/1875444/000187544421000004/exhibit31-arcertificateo.htm" TargetMode="External"/><Relationship Id="rId84" Type="http://schemas.openxmlformats.org/officeDocument/2006/relationships/hyperlink" Target="https://www.sec.gov/Archives/edgar/data/1875444/000187544421000004/exhibit32-arbylawsofarha.htm" TargetMode="External"/><Relationship Id="rId85" Type="http://schemas.openxmlformats.org/officeDocument/2006/relationships/hyperlink" Target="https://www.sec.gov/Archives/edgar/data/1875444/000187544422000090/arhausincequityawardnoti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2022-11-10T06:05:10Z</dcterms:created>
  <dcterms:modified xsi:type="dcterms:W3CDTF">2022-11-10T06:05:10Z</dcterms:modified>
</cp:coreProperties>
</file>