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9" w:lineRule="exact"/>
        <w:rPr>
          <w:sz w:val="24"/>
          <w:szCs w:val="24"/>
          <w:color w:val="auto"/>
        </w:rPr>
      </w:pPr>
    </w:p>
    <w:p>
      <w:pPr>
        <w:ind w:left="540" w:hanging="397"/>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1" w:lineRule="exact"/>
        <w:rPr>
          <w:sz w:val="24"/>
          <w:szCs w:val="24"/>
          <w:color w:val="auto"/>
        </w:rPr>
      </w:pPr>
    </w:p>
    <w:p>
      <w:pPr>
        <w:ind w:left="80"/>
        <w:spacing w:after="0" w:line="221" w:lineRule="exact"/>
        <w:rPr>
          <w:sz w:val="20"/>
          <w:szCs w:val="20"/>
          <w:color w:val="auto"/>
        </w:rPr>
      </w:pPr>
      <w:r>
        <w:rPr>
          <w:rFonts w:ascii="MS PGothic" w:cs="MS PGothic" w:eastAsia="MS PGothic" w:hAnsi="MS PGothic"/>
          <w:sz w:val="22"/>
          <w:szCs w:val="22"/>
          <w:color w:val="auto"/>
        </w:rPr>
        <w:t>☐</w:t>
      </w:r>
    </w:p>
    <w:p>
      <w:pPr>
        <w:spacing w:after="0" w:line="118" w:lineRule="exact"/>
        <w:rPr>
          <w:sz w:val="24"/>
          <w:szCs w:val="24"/>
          <w:color w:val="auto"/>
        </w:rPr>
      </w:pPr>
    </w:p>
    <w:p>
      <w:pPr>
        <w:ind w:left="500" w:right="1680" w:hanging="69"/>
        <w:spacing w:after="0" w:line="538" w:lineRule="auto"/>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Arhaus,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87-1729256</w:t>
            </w:r>
          </w:p>
        </w:tc>
        <w:tc>
          <w:tcPr>
            <w:tcW w:w="0" w:type="dxa"/>
            <w:vAlign w:val="bottom"/>
          </w:tcPr>
          <w:p>
            <w:pPr>
              <w:spacing w:after="0"/>
              <w:rPr>
                <w:sz w:val="1"/>
                <w:szCs w:val="1"/>
                <w:color w:val="auto"/>
              </w:rPr>
            </w:pPr>
          </w:p>
        </w:tc>
      </w:tr>
      <w:tr>
        <w:trPr>
          <w:trHeight w:val="283"/>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57"/>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08"/>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gridSpan w:val="3"/>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40" w:type="dxa"/>
            <w:vAlign w:val="bottom"/>
            <w:gridSpan w:val="3"/>
          </w:tcPr>
          <w:p>
            <w:pPr>
              <w:jc w:val="center"/>
              <w:ind w:right="3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44236</w:t>
            </w:r>
          </w:p>
        </w:tc>
        <w:tc>
          <w:tcPr>
            <w:tcW w:w="6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(Zip Code)</w:t>
            </w: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(440) 439-7700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700" w:type="dxa"/>
            <w:vAlign w:val="bottom"/>
            <w:gridSpan w:val="4"/>
          </w:tcPr>
          <w:p>
            <w:pPr>
              <w:jc w:val="center"/>
              <w:ind w:righ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05"/>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56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 A common stock, $0.001 par value per</w:t>
            </w:r>
          </w:p>
        </w:tc>
        <w:tc>
          <w:tcPr>
            <w:tcW w:w="360" w:type="dxa"/>
            <w:vAlign w:val="bottom"/>
            <w:shd w:val="clear" w:color="auto" w:fill="CCEEFF"/>
          </w:tcPr>
          <w:p>
            <w:pPr>
              <w:spacing w:after="0"/>
              <w:rPr>
                <w:sz w:val="14"/>
                <w:szCs w:val="14"/>
                <w:color w:val="auto"/>
              </w:rPr>
            </w:pPr>
          </w:p>
        </w:tc>
        <w:tc>
          <w:tcPr>
            <w:tcW w:w="2020" w:type="dxa"/>
            <w:vAlign w:val="bottom"/>
            <w:tcBorders>
              <w:right w:val="single" w:sz="8" w:color="auto"/>
            </w:tcBorders>
            <w:vMerge w:val="restart"/>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ARHS</w:t>
            </w:r>
          </w:p>
        </w:tc>
        <w:tc>
          <w:tcPr>
            <w:tcW w:w="620" w:type="dxa"/>
            <w:vAlign w:val="bottom"/>
            <w:shd w:val="clear" w:color="auto" w:fill="CCEEFF"/>
          </w:tcPr>
          <w:p>
            <w:pPr>
              <w:spacing w:after="0"/>
              <w:rPr>
                <w:sz w:val="14"/>
                <w:szCs w:val="14"/>
                <w:color w:val="auto"/>
              </w:rPr>
            </w:pPr>
          </w:p>
        </w:tc>
        <w:tc>
          <w:tcPr>
            <w:tcW w:w="4700" w:type="dxa"/>
            <w:vAlign w:val="bottom"/>
            <w:tcBorders>
              <w:right w:val="single" w:sz="8" w:color="auto"/>
            </w:tcBorders>
            <w:shd w:val="clear" w:color="auto" w:fill="CCEEFF"/>
          </w:tcPr>
          <w:p>
            <w:pPr>
              <w:jc w:val="center"/>
              <w:ind w:right="550"/>
              <w:spacing w:after="0" w:line="169"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60" w:type="dxa"/>
            <w:vAlign w:val="bottom"/>
            <w:shd w:val="clear" w:color="auto" w:fill="CCEEFF"/>
          </w:tcPr>
          <w:p>
            <w:pPr>
              <w:spacing w:after="0"/>
              <w:rPr>
                <w:sz w:val="12"/>
                <w:szCs w:val="12"/>
                <w:color w:val="auto"/>
              </w:rPr>
            </w:pPr>
          </w:p>
        </w:tc>
        <w:tc>
          <w:tcPr>
            <w:tcW w:w="2020" w:type="dxa"/>
            <w:vAlign w:val="bottom"/>
            <w:tcBorders>
              <w:right w:val="single" w:sz="8" w:color="auto"/>
            </w:tcBorders>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7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560" w:type="dxa"/>
            <w:vAlign w:val="bottom"/>
            <w:tcBorders>
              <w:left w:val="single" w:sz="8" w:color="auto"/>
              <w:bottom w:val="single" w:sz="8" w:color="auto"/>
              <w:right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020" w:type="dxa"/>
            <w:vAlign w:val="bottom"/>
            <w:tcBorders>
              <w:bottom w:val="single" w:sz="8" w:color="auto"/>
              <w:right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47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2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37" w:lineRule="exact"/>
        <w:rPr>
          <w:sz w:val="24"/>
          <w:szCs w:val="24"/>
          <w:color w:val="auto"/>
        </w:rPr>
      </w:pPr>
    </w:p>
    <w:p>
      <w:pPr>
        <w:jc w:val="both"/>
        <w:ind w:right="32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24"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32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38"/>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74"/>
        </w:trPr>
        <w:tc>
          <w:tcPr>
            <w:tcW w:w="2340" w:type="dxa"/>
            <w:vAlign w:val="bottom"/>
            <w:vMerge w:val="continue"/>
          </w:tcPr>
          <w:p>
            <w:pPr>
              <w:spacing w:after="0"/>
              <w:rPr>
                <w:sz w:val="6"/>
                <w:szCs w:val="6"/>
                <w:color w:val="auto"/>
              </w:rPr>
            </w:pPr>
          </w:p>
        </w:tc>
        <w:tc>
          <w:tcPr>
            <w:tcW w:w="2880" w:type="dxa"/>
            <w:vAlign w:val="bottom"/>
          </w:tcPr>
          <w:p>
            <w:pPr>
              <w:spacing w:after="0"/>
              <w:rPr>
                <w:sz w:val="6"/>
                <w:szCs w:val="6"/>
                <w:color w:val="auto"/>
              </w:rPr>
            </w:pPr>
          </w:p>
        </w:tc>
        <w:tc>
          <w:tcPr>
            <w:tcW w:w="48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6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31" w:lineRule="exact"/>
        <w:rPr>
          <w:sz w:val="24"/>
          <w:szCs w:val="24"/>
          <w:color w:val="auto"/>
        </w:rPr>
      </w:pPr>
    </w:p>
    <w:p>
      <w:pPr>
        <w:ind w:right="18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0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60"/>
          </w:cols>
          <w:pgMar w:left="320" w:top="225"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August 4, 2022 the registrant had 52,947,617 shares of Class A common stock and 87,115,600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8"/>
        </w:trPr>
        <w:tc>
          <w:tcPr>
            <w:tcW w:w="2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80" w:type="dxa"/>
            <w:vAlign w:val="bottom"/>
            <w:tcBorders>
              <w:bottom w:val="single" w:sz="8" w:color="CCEEFF"/>
            </w:tcBorders>
            <w:gridSpan w:val="12"/>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of Arhaus, Inc. and Subsidiaries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8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 (unaudited)</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780" w:type="dxa"/>
            <w:vAlign w:val="bottom"/>
            <w:tcBorders>
              <w:top w:val="single" w:sz="8" w:color="0000FF"/>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6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2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43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040" w:type="dxa"/>
            <w:vAlign w:val="bottom"/>
            <w:tcBorders>
              <w:top w:val="single" w:sz="8" w:color="CCEEFF"/>
            </w:tcBorders>
            <w:gridSpan w:val="6"/>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60" w:type="dxa"/>
            <w:vAlign w:val="bottom"/>
            <w:gridSpan w:val="2"/>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23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tcBorders>
              <w:top w:val="single" w:sz="8" w:color="CCEEFF"/>
            </w:tcBorders>
            <w:gridSpan w:val="9"/>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80" w:type="dxa"/>
            <w:vAlign w:val="bottom"/>
            <w:tcBorders>
              <w:bottom w:val="single" w:sz="8" w:color="CCEEFF"/>
            </w:tcBorders>
            <w:gridSpan w:val="1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of Arhaus, Inc. and Subsidiaries</w:t>
      </w:r>
    </w:p>
    <w:p>
      <w:pPr>
        <w:spacing w:after="0" w:line="2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ind w:right="4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ind w:left="2780"/>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831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123,777</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inventory, net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208,343</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367,996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27,684</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586,550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36"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7"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Accounts payable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other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rent and lease incentives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360"/>
        <w:spacing w:after="0"/>
        <w:tabs>
          <w:tab w:leader="none" w:pos="7640" w:val="left"/>
        </w:tabs>
        <w:rPr>
          <w:sz w:val="20"/>
          <w:szCs w:val="20"/>
          <w:color w:val="auto"/>
        </w:rPr>
      </w:pPr>
      <w:r>
        <w:rPr>
          <w:rFonts w:ascii="Times New Roman" w:cs="Times New Roman" w:eastAsia="Times New Roman" w:hAnsi="Times New Roman"/>
          <w:sz w:val="18"/>
          <w:szCs w:val="18"/>
          <w:color w:val="auto"/>
        </w:rPr>
        <w:t>Total liabilities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3" w:lineRule="exact"/>
        <w:rPr>
          <w:sz w:val="20"/>
          <w:szCs w:val="20"/>
          <w:color w:val="auto"/>
        </w:rPr>
      </w:pPr>
    </w:p>
    <w:p>
      <w:pPr>
        <w:ind w:left="20" w:right="600"/>
        <w:spacing w:after="0" w:line="226" w:lineRule="auto"/>
        <w:rPr>
          <w:sz w:val="20"/>
          <w:szCs w:val="20"/>
          <w:color w:val="auto"/>
        </w:rPr>
      </w:pPr>
      <w:r>
        <w:rPr>
          <w:rFonts w:ascii="Times New Roman" w:cs="Times New Roman" w:eastAsia="Times New Roman" w:hAnsi="Times New Roman"/>
          <w:sz w:val="18"/>
          <w:szCs w:val="18"/>
          <w:color w:val="auto"/>
        </w:rPr>
        <w:t>Class A shares, par value $0.001 per share (600,000,000 shares authorized, 51,360,235 and 50,427,390 shares issued and outstanding as of June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right="620"/>
        <w:spacing w:after="0" w:line="229" w:lineRule="auto"/>
        <w:rPr>
          <w:sz w:val="20"/>
          <w:szCs w:val="20"/>
          <w:color w:val="auto"/>
        </w:rPr>
      </w:pPr>
      <w:r>
        <w:rPr>
          <w:rFonts w:ascii="Times New Roman" w:cs="Times New Roman" w:eastAsia="Times New Roman" w:hAnsi="Times New Roman"/>
          <w:sz w:val="18"/>
          <w:szCs w:val="18"/>
          <w:color w:val="auto"/>
        </w:rPr>
        <w:t>Class B shares, par value $0.001 per share (100,000,000 shares authorized, 87,115,600 and 86,519,002 shares issued and outstanding as of June 30, 2022 and December 31, 2021, respectively)</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62,331</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8,594</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13,911</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26,718</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61,047</w:t>
            </w:r>
          </w:p>
        </w:tc>
      </w:t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276,968</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264,929</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37,624</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513</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426,659</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401,231</w:t>
            </w:r>
          </w:p>
        </w:tc>
      </w:t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268,061</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51,981</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50,525</w:t>
            </w:r>
          </w:p>
        </w:tc>
      </w:tr>
      <w:tr>
        <w:trPr>
          <w:trHeight w:val="23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2,433</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63,037</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4,004</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3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753,138</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516,785</w:t>
            </w:r>
          </w:p>
        </w:tc>
      </w:tr>
      <w:tr>
        <w:trPr>
          <w:trHeight w:val="84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0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(63,884)</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(116,581)</w:t>
            </w:r>
          </w:p>
        </w:tc>
      </w:tr>
      <w:tr>
        <w:trPr>
          <w:trHeight w:val="232"/>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187,640</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-1257935</wp:posOffset>
            </wp:positionV>
            <wp:extent cx="1122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-2149475</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40" w:space="720"/>
            <w:col w:w="2480"/>
          </w:cols>
          <w:pgMar w:left="320" w:top="536"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Arhaus, Inc. stockholders' equity</w:t>
            </w: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123,894</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69,765</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877,032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586,550</w:t>
            </w:r>
          </w:p>
        </w:tc>
      </w:tr>
      <w:tr>
        <w:trPr>
          <w:trHeight w:val="21"/>
        </w:trPr>
        <w:tc>
          <w:tcPr>
            <w:tcW w:w="7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20" w:type="dxa"/>
            <w:vAlign w:val="bottom"/>
          </w:tcPr>
          <w:p>
            <w:pPr>
              <w:spacing w:after="0"/>
              <w:rPr>
                <w:sz w:val="20"/>
                <w:szCs w:val="20"/>
                <w:color w:val="auto"/>
              </w:rPr>
            </w:pPr>
          </w:p>
        </w:tc>
        <w:tc>
          <w:tcPr>
            <w:tcW w:w="30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47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184,043</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321,822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106,209</w:t>
            </w: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77,834</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69,139</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73,121</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 basic</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84"/>
        </w:trPr>
        <w:tc>
          <w:tcPr>
            <w:tcW w:w="47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137,662,601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112,058,742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137,840,691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 diluted</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84"/>
        </w:trPr>
        <w:tc>
          <w:tcPr>
            <w:tcW w:w="47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139,394,055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139,454,109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34"/>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2840" w:type="dxa"/>
            <w:vAlign w:val="bottom"/>
            <w:tcBorders>
              <w:bottom w:val="single" w:sz="8" w:color="auto"/>
            </w:tcBorders>
            <w:gridSpan w:val="11"/>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2840" w:type="dxa"/>
            <w:vAlign w:val="bottom"/>
            <w:gridSpan w:val="11"/>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 in Homeworks Holdings,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50,428</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186,209</w:t>
            </w:r>
          </w:p>
        </w:tc>
        <w:tc>
          <w:tcPr>
            <w:tcW w:w="8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52,697</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 June</w:t>
            </w:r>
          </w:p>
        </w:tc>
        <w:tc>
          <w:tcPr>
            <w:tcW w:w="66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80" w:type="dxa"/>
            <w:vAlign w:val="bottom"/>
            <w:tcBorders>
              <w:top w:val="single" w:sz="8" w:color="auto"/>
            </w:tcBorders>
            <w:vMerge w:val="restart"/>
          </w:tcPr>
          <w:p>
            <w:pPr>
              <w:spacing w:after="0"/>
              <w:rPr>
                <w:sz w:val="12"/>
                <w:szCs w:val="12"/>
                <w:color w:val="auto"/>
              </w:rPr>
            </w:pPr>
          </w:p>
        </w:tc>
        <w:tc>
          <w:tcPr>
            <w:tcW w:w="5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51,360</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2"/>
                <w:szCs w:val="12"/>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(63,884)</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187,640</w:t>
            </w:r>
          </w:p>
        </w:tc>
        <w:tc>
          <w:tcPr>
            <w:tcW w:w="8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123,894</w:t>
            </w:r>
          </w:p>
        </w:tc>
        <w:tc>
          <w:tcPr>
            <w:tcW w:w="0" w:type="dxa"/>
            <w:vAlign w:val="bottom"/>
          </w:tcPr>
          <w:p>
            <w:pPr>
              <w:spacing w:after="0"/>
              <w:rPr>
                <w:sz w:val="1"/>
                <w:szCs w:val="1"/>
                <w:color w:val="auto"/>
              </w:rPr>
            </w:pPr>
          </w:p>
        </w:tc>
      </w:tr>
      <w:tr>
        <w:trPr>
          <w:trHeight w:val="192"/>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2840" w:type="dxa"/>
            <w:vAlign w:val="bottom"/>
            <w:tcBorders>
              <w:bottom w:val="single" w:sz="8" w:color="auto"/>
            </w:tcBorders>
            <w:gridSpan w:val="11"/>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2840" w:type="dxa"/>
            <w:vAlign w:val="bottom"/>
            <w:gridSpan w:val="11"/>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 in Homeworks Holdings,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(7,689)</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(34,441)</w:t>
            </w: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distribution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 June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(33,992)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(38,181)</w:t>
            </w:r>
          </w:p>
        </w:tc>
        <w:tc>
          <w:tcPr>
            <w:tcW w:w="0" w:type="dxa"/>
            <w:vAlign w:val="bottom"/>
          </w:tcPr>
          <w:p>
            <w:pPr>
              <w:spacing w:after="0"/>
              <w:rPr>
                <w:sz w:val="1"/>
                <w:szCs w:val="1"/>
                <w:color w:val="auto"/>
              </w:rPr>
            </w:pPr>
          </w:p>
        </w:tc>
      </w:tr>
      <w:tr>
        <w:trPr>
          <w:trHeight w:val="20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0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2840" w:type="dxa"/>
            <w:vAlign w:val="bottom"/>
            <w:tcBorders>
              <w:bottom w:val="single" w:sz="8" w:color="auto"/>
            </w:tcBorders>
            <w:gridSpan w:val="11"/>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2840" w:type="dxa"/>
            <w:vAlign w:val="bottom"/>
            <w:gridSpan w:val="11"/>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 in Homeworks Holdings,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51,232</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(100,523)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186,929</w:t>
            </w:r>
          </w:p>
        </w:tc>
        <w:tc>
          <w:tcPr>
            <w:tcW w:w="8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86,544</w:t>
            </w: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36,639</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44"/>
        </w:trPr>
        <w:tc>
          <w:tcPr>
            <w:tcW w:w="14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 June</w:t>
            </w:r>
          </w:p>
        </w:tc>
        <w:tc>
          <w:tcPr>
            <w:tcW w:w="66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80" w:type="dxa"/>
            <w:vAlign w:val="bottom"/>
            <w:tcBorders>
              <w:top w:val="single" w:sz="8" w:color="auto"/>
            </w:tcBorders>
            <w:vMerge w:val="restart"/>
          </w:tcPr>
          <w:p>
            <w:pPr>
              <w:spacing w:after="0"/>
              <w:rPr>
                <w:sz w:val="12"/>
                <w:szCs w:val="12"/>
                <w:color w:val="auto"/>
              </w:rPr>
            </w:pPr>
          </w:p>
        </w:tc>
        <w:tc>
          <w:tcPr>
            <w:tcW w:w="5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360" w:type="dxa"/>
            <w:vAlign w:val="bottom"/>
            <w:tcBorders>
              <w:top w:val="single" w:sz="8" w:color="auto"/>
            </w:tcBorders>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51,360</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2"/>
                <w:szCs w:val="12"/>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(63,884)</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187,640</w:t>
            </w:r>
          </w:p>
        </w:tc>
        <w:tc>
          <w:tcPr>
            <w:tcW w:w="8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12"/>
                <w:szCs w:val="12"/>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123,894</w:t>
            </w:r>
          </w:p>
        </w:tc>
        <w:tc>
          <w:tcPr>
            <w:tcW w:w="0" w:type="dxa"/>
            <w:vAlign w:val="bottom"/>
          </w:tcPr>
          <w:p>
            <w:pPr>
              <w:spacing w:after="0"/>
              <w:rPr>
                <w:sz w:val="1"/>
                <w:szCs w:val="1"/>
                <w:color w:val="auto"/>
              </w:rPr>
            </w:pPr>
          </w:p>
        </w:tc>
      </w:tr>
      <w:tr>
        <w:trPr>
          <w:trHeight w:val="192"/>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2840" w:type="dxa"/>
            <w:vAlign w:val="bottom"/>
            <w:tcBorders>
              <w:bottom w:val="single" w:sz="8" w:color="auto"/>
            </w:tcBorders>
            <w:gridSpan w:val="11"/>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2840" w:type="dxa"/>
            <w:vAlign w:val="bottom"/>
            <w:gridSpan w:val="11"/>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Shares in Homeworks Holdings,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16"/>
                <w:szCs w:val="16"/>
                <w:color w:val="auto"/>
              </w:rPr>
            </w:pPr>
          </w:p>
        </w:tc>
        <w:tc>
          <w:tcPr>
            <w:tcW w:w="10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vMerge w:val="continue"/>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w:t>
            </w: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(24,527)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(7,015)</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(29,796)</w:t>
            </w: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distribution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0" w:type="dxa"/>
            <w:vAlign w:val="bottom"/>
          </w:tcPr>
          <w:p>
            <w:pPr>
              <w:spacing w:after="0"/>
              <w:rPr>
                <w:sz w:val="1"/>
                <w:szCs w:val="1"/>
                <w:color w:val="auto"/>
              </w:rPr>
            </w:pPr>
          </w:p>
        </w:tc>
      </w:tr>
      <w:tr>
        <w:trPr>
          <w:trHeight w:val="166"/>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4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Balances as of June</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4,158</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(33,992)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(38,181)</w:t>
            </w:r>
          </w:p>
        </w:tc>
        <w:tc>
          <w:tcPr>
            <w:tcW w:w="0" w:type="dxa"/>
            <w:vAlign w:val="bottom"/>
          </w:tcPr>
          <w:p>
            <w:pPr>
              <w:spacing w:after="0"/>
              <w:rPr>
                <w:sz w:val="1"/>
                <w:szCs w:val="1"/>
                <w:color w:val="auto"/>
              </w:rPr>
            </w:pPr>
          </w:p>
        </w:tc>
      </w:tr>
      <w:tr>
        <w:trPr>
          <w:trHeight w:val="20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0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19685</wp:posOffset>
            </wp:positionV>
            <wp:extent cx="1945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52,697</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16,048</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fees and interest on finance lease in excess of principal paid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based compensation</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expense</w:t>
            </w: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29,805</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furniture and equipment</w:t>
            </w: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lease incentives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w:t>
            </w: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Merchandise inventory</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(28,077)</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rent and lease incentives</w:t>
            </w: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w:t>
            </w:r>
          </w:p>
        </w:tc>
      </w:tr>
      <w:tr>
        <w:trPr>
          <w:trHeight w:val="23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Client deposits</w:t>
            </w: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72,116</w:t>
            </w:r>
          </w:p>
        </w:tc>
      </w:tr>
      <w:tr>
        <w:trPr>
          <w:trHeight w:val="21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109,503</w:t>
            </w:r>
          </w:p>
        </w:tc>
      </w:tr>
      <w:tr>
        <w:trPr>
          <w:trHeight w:val="203"/>
        </w:trPr>
        <w:tc>
          <w:tcPr>
            <w:tcW w:w="8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furniture and equipment</w:t>
            </w: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(20,355)</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w:t>
            </w:r>
          </w:p>
        </w:tc>
      </w:tr>
      <w:tr>
        <w:trPr>
          <w:trHeight w:val="21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(13,691)</w:t>
            </w:r>
          </w:p>
        </w:tc>
      </w:tr>
      <w:tr>
        <w:trPr>
          <w:trHeight w:val="203"/>
        </w:trPr>
        <w:tc>
          <w:tcPr>
            <w:tcW w:w="8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related party notes</w:t>
            </w: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related party notes</w:t>
            </w: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under capital leases</w:t>
            </w: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under finance leases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 distributions</w:t>
            </w: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4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(7,865)</w:t>
            </w:r>
          </w:p>
        </w:tc>
      </w:tr>
      <w:tr>
        <w:trPr>
          <w:trHeight w:val="230"/>
        </w:trPr>
        <w:tc>
          <w:tcPr>
            <w:tcW w:w="81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(20,342)</w:t>
            </w:r>
          </w:p>
        </w:tc>
      </w:tr>
      <w:tr>
        <w:trPr>
          <w:trHeight w:val="213"/>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 equivalents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75,470</w:t>
            </w:r>
          </w:p>
        </w:tc>
      </w:tr>
      <w:tr>
        <w:trPr>
          <w:trHeight w:val="226"/>
        </w:trPr>
        <w:tc>
          <w:tcPr>
            <w:tcW w:w="8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equivalents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139,472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in cash</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operating activities: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0"/>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Lease incentives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0"/>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Purchase of property, furniture and equipment in accounts payable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0"/>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Derecognition of build-to-suit assets as a result of ASC 842 adoption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Capital contributions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7620" w:firstLine="8"/>
        <w:spacing w:after="0" w:line="46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 Nature of Business</w:t>
      </w:r>
    </w:p>
    <w:p>
      <w:pPr>
        <w:ind w:right="160"/>
        <w:spacing w:after="0" w:line="258" w:lineRule="auto"/>
        <w:rPr>
          <w:sz w:val="20"/>
          <w:szCs w:val="20"/>
          <w:color w:val="auto"/>
        </w:rPr>
      </w:pPr>
      <w:r>
        <w:rPr>
          <w:rFonts w:ascii="Times New Roman" w:cs="Times New Roman" w:eastAsia="Times New Roman" w:hAnsi="Times New Roman"/>
          <w:sz w:val="18"/>
          <w:szCs w:val="18"/>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80 Showrooms at June 30, 2022.</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Arhaus was formed on July 14, 2021 for the purpose of completing an initial public offering (“IPO”) of its common stock and related transactions in order to carry on the business of Arhaus, LLC (“LLC”) and its subsidiaries. Pursuant to the corporate reorganization and completion of the IPO in November 2021, the Company became a holding company for LLC and its subsidiaries.</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IPO, the Company reorganized its ownership structure from a limited liability company to a corporation. Pursuant to the terms of the Integrated Contribution Agreement by and among the Company, FS Arhaus Holding, Inc. (“FS Arhaus,” “Class B Units,” or “noncontrolling interest”), a Delaware corporation, Homeworks Holdings Inc. (“Homeworks,” or “Class A Units”) and the unit holders (“Management Unitholders”) of LLC, a series of transactions were completed on November 8, 2021, which we refer to, collectively, as the “Reorganization.” LLC and Homeworks were identified as entities under common control, in which both entities are ultimately controlled by the same party before and after the Reorganization and therefore resulted in a change in reporting entity. In accordance with ASC 805-50-45-5, for transactions between entities under common control, the condensed consolidated financial statements for periods prior to the Reorganization have been adjusted to retrospectively combine the previously separate entities for presentation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 Certain reclassifications have been made to prior years' condensed consolidated financial statements to conform to the current year's presentation.</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balance sheets at June 30, 2022 and December 31, 2021, the condensed consolidated statements of comprehensive income and changes in stockholders’equity (deficit) for the six and three months ended June 30, 2022 and 2021, the condensed consolidated statements of cash flows for the six months ended June 30, 2022 and 2021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management’s opinion, the accompanying condensed consolidated financial statements contain all adjustments, consisting of only normal recurring adjustments, necessary for a fair statement of the Company’s financial position at June 30, 2022; the results of operations and changes in stockholders’equity (deficit) for the six and three months ended June 30, 2022 and 2021 and the condensed consolidated statements of cash flows for the six months ended June 30, 2022 and 2021. The condensed consolidated balance sheet as of December 31, 2021 included herein was derived from audited financial statements, but does not include all disclosures required by U.S. GAAP.</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results for the six and three months ended June 30, 2022 and 2021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2021.</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The accounting estimates and other matters included within our condensed consolidated financial statements and notes to the condensed consolidated financial statements are revenue recognition, including a reserve for merchandise returns, goodwill and fair value of financial instruments which include, but are not limited to, accounts receivable, payables, lease obligations, derivative and equity based compensation instruments.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Deposits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June 30, 2022 will be recognized as net revenue within the next 12 months as the performance obligations are satisfied.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of $0.9 million and $0.9 million at June 30, 2022 and December 31, 2021, respectively, is recorded in the accrued other expenses line item of the condensed consolidated balance sheets. The Company recognizes income associated with breakage proportional to actual gift card redemptions.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primary financial instruments are cash and cash equivalents, accounts receivable, payables, lease obligations, derivative and equity based compensation instruments. Due to the short-term maturities of cash and cash equivalents, accounts receivable and payables, the Company believes the fair values of these instruments approximate their respective carrying values at June 30, 2022 and December 31, 2021. See Note 4 for discussion of our derivative, Note 5 for discussion of our lease obligations and Note 6 for discussion of our equity based compensation instruments.</w:t>
      </w:r>
    </w:p>
    <w:p>
      <w:pPr>
        <w:spacing w:after="0" w:line="13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9" w:lineRule="exact"/>
        <w:rPr>
          <w:sz w:val="20"/>
          <w:szCs w:val="20"/>
          <w:color w:val="auto"/>
        </w:rPr>
      </w:pPr>
    </w:p>
    <w:p>
      <w:pPr>
        <w:ind w:left="1620" w:right="18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unrestricted assets and liabilities that the reporting entity has the ability to access at the measurement date.</w:t>
      </w:r>
    </w:p>
    <w:p>
      <w:pPr>
        <w:spacing w:after="0" w:line="135" w:lineRule="exact"/>
        <w:rPr>
          <w:sz w:val="20"/>
          <w:szCs w:val="20"/>
          <w:color w:val="auto"/>
        </w:rPr>
      </w:pPr>
    </w:p>
    <w:p>
      <w:pPr>
        <w:ind w:left="1620" w:right="36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21" w:lineRule="exact"/>
        <w:rPr>
          <w:sz w:val="20"/>
          <w:szCs w:val="20"/>
          <w:color w:val="auto"/>
        </w:rPr>
      </w:pPr>
    </w:p>
    <w:p>
      <w:pPr>
        <w:ind w:left="1620" w:right="1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60" w:firstLine="8"/>
        <w:spacing w:after="0" w:line="462"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 New Accounting Standards Adopted</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these distinctions will primarily affect how a lessee must recognize expense in its income statement. The new guidance is effective for financial statements issued for annual periods beginning after December 15, 2021.</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adopted ASC 842 as of January 1, 2022, using the modified retrospective approach by applying the transition provisions at the beginning of the period of adoption. Comparative periods will continue to be presented in accordance with ASC 840. The Company elected the package of practical expedients permitted under the transition guidance, which allowed the Company to carryforward the historical lease classification, lease identification and initial direct costs. The Company did not elect the “Land Easements” or “Hindsight” practical expedients. Additionally, the Company made the following accounting policy elections in connection with the adoption:</w:t>
      </w:r>
    </w:p>
    <w:p>
      <w:pPr>
        <w:spacing w:after="0" w:line="1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short-term leases from our consolidated balance sheets;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both the lease and non-lease components as a single component and account for it as a lease.</w:t>
      </w:r>
    </w:p>
    <w:p>
      <w:pPr>
        <w:spacing w:after="0" w:line="16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As a result, the Company measured the right-of-use asset and lease liability for operating and finance leases as of January 1, 2022, using the remaining portion of the lease term that was determined under ASC 840. The adoption resulted in $242.0 million recognized as total right-of-use assets and $326.5 million recognized as total lease liabilities on our consolidated balance sheets as of January 1, 2022. For certain previous operating and capital leases, we qualified as the deemed owner of the construction project due to our significant involvement during the construction period under build-to-suit lease accounting requirements within ASC 840. As part of our adoption of ASC 842, we derecognized the cost of these construction projects of $31.0 million, which were previously recorded in property, furniture and equipment, net with an offsetting obligation in accrued other expenses on our consolidated balance sheets at December 31, 2021. See Note 5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adopted the standard as of January 1, 2022. The adoption of this standard did not have a material impact on our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Merchandise Warranties</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is as follows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16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0"/>
                <w:szCs w:val="20"/>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4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4,963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3,577</w:t>
            </w:r>
          </w:p>
        </w:tc>
      </w:tr>
      <w:tr>
        <w:trPr>
          <w:trHeight w:val="22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9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3,514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2,908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1,922</w:t>
            </w:r>
          </w:p>
        </w:tc>
      </w:tr>
      <w:tr>
        <w:trPr>
          <w:trHeight w:val="22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(2,972)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(2,459)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(1,631)</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end of the period (1)</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3,868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5,412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3,868</w:t>
            </w:r>
          </w:p>
        </w:tc>
      </w:tr>
      <w:tr>
        <w:trPr>
          <w:trHeight w:val="21"/>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bl>
    <w:p>
      <w:pPr>
        <w:spacing w:after="0" w:line="139" w:lineRule="exact"/>
        <w:rPr>
          <w:sz w:val="20"/>
          <w:szCs w:val="20"/>
          <w:color w:val="auto"/>
        </w:rPr>
      </w:pPr>
    </w:p>
    <w:p>
      <w:pPr>
        <w:ind w:right="160" w:firstLine="8"/>
        <w:spacing w:after="0" w:line="282"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million and $2.7 million were recorded in accrued other expenses at June 30, 2022 and December 31, 2021, respectively. The remainder is recorded in other long-term liabilities on our condensed consolidated balance sheets.</w:t>
      </w:r>
    </w:p>
    <w:p>
      <w:pPr>
        <w:spacing w:after="0" w:line="15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recorded accruals during the periods presented in the table above, primarily to reflect charges that relate to limited merchandise warranties issued during the respective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25, 2020, the Company entered into a credit agreement (“Revolver”), which included a revolving credit facility of $30.0 million with availability limited pursuant to a borrowing base formula based on specified percentages of eligible inventory, net of reserves. The Company’s borrowings under the Revolver bore variable interest rates at the LIBOR index rate (“LIBOR”) plus the applicable margin (5.5% at June 30, 2021). In the event LIBOR ceased to be available during the term of the Revolver, the Revolver provided procedures to determine an Alternate Base Rate. The Revolver was to expire on June 25, 2023.</w:t>
      </w:r>
    </w:p>
    <w:p>
      <w:pPr>
        <w:spacing w:after="0" w:line="1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Loan costs related to the Revolver of $1.5 million were recorded in other noncurrent assets and were amortized over the term of the debt on a straight-line basis, which approximated the effective interest method. Amortization expense was $0.3 million and $0.2 million for the six and three months ended June 30, 2021, respectively, and was included in interest expense within the condensed consolidated statements of comprehensive income. On November 4, 2021, the Company terminated the Revolver of which there were no borrowings drawn.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is $50.0 million, which may be increased pursuant to the terms of the 2021 Credit Facility.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June 30, 2022), whereas the applicable margin is adjusted quarterly based on the Company’s consolidated rent-adjusted total leverage ratio. The 2021 Credit Facility expires on November 8, 2026.</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we had no borrowings on the 2021 Credit Facility. Deferred financing costs related to the 2021 Credit Facility of $0.3 million are recorded in other noncurrent assets on the consolidated balance sheets and will be amortized over the term of the debt on a straight-line basis, which approximates the effective interest method.</w:t>
      </w:r>
    </w:p>
    <w:p>
      <w:pPr>
        <w:spacing w:after="0" w:line="1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the Company entering into the Revolver and 2021 Credit Facility, the debt structure (“Prior Credit Facilities”) included a revolving credit facility (the “Prior Revolver”) and a term loan (the “Term Loan”). The Prior Revolver was terminated on June 25, 2020 and Term Loan was paid in full on December 28, 2020.</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Term Loan had an exit fee clause which allowed the holder of the Term Loan to receive either $3.0 million upon repayment of the Term Loan or a payout equivalent to 4.0% of the total equity value of the Company. The 4.0% of the total equity value of the Company payout was payable upon a change of control, qualified IPO or sale of all or substantially all assets of the Company. In connection with the repayment of the Term Loan on December 28, 2020, the</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informed the Company they would decline the option to receive the $3.0 million and elect to receive a payout equivalent to 4.0% of the equity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The exit fee was treated as a derivative and adjusted to fair value each reporting period. The Company recorded derivative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 million and $18.3 million for the six and three months ended June 30, 2021, respectively, which was included in selling,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within the condensed consolidated statements of comprehensive income. The Company used a portion of the net proceeds from the IPO to 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liability on November 8, 2021.</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June 30, 2021, the Company’s valuation of the derivative liability was measured using the probability-weighted expected return model (“PWERM”). The PWERM is a scenario-based methodology that estimates the fair value of the derivative based upon an analysis of future values for the Company. The Company considered two different scenarios:(a) remain private; and (b) IPO. Under the remain private scenario, as of June 30, 2021, the Company estimated the enterprise value by weighting the guideline public company method and the discounted cash flow method, and then relied on the option pricing method (“OPM”) and applied a discount for lack of marketability (“DLOM”). The OPM estimated the value using the Black-Scholes OPM. The fair value of the exit fee was determined utilizing unobservable inputs and therefore is a Level 3 measurement under the fair value hierarchy. The key assumptions used within the Black-Scholes OPM as of June 30, 2021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1"/>
        </w:trPr>
        <w:tc>
          <w:tcPr>
            <w:tcW w:w="2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DLOM</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24.70 %</w:t>
            </w:r>
          </w:p>
        </w:tc>
      </w:tr>
    </w:tbl>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assumed volatility assumption is based on that of an identified group of comparable public companies. The fair value of the exit fee has been determined utilizing unobservable inputs and therefore is a Level 3 measurement under the fair value hierarchy.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debt covenants at June 30, 2022 and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8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maintenance costs. Depending on particular Showroom leases, the Company can also owe a percentage rent payment if particular Showrooms meet certain sales figures.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recognized in our condensed consolidated balance sheets related to leases as of June 30, 2022 (amounts in thousands):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Classification</w:t>
            </w:r>
          </w:p>
        </w:tc>
        <w:tc>
          <w:tcPr>
            <w:tcW w:w="280" w:type="dxa"/>
            <w:vAlign w:val="bottom"/>
          </w:tcPr>
          <w:p>
            <w:pPr>
              <w:spacing w:after="0"/>
              <w:rPr>
                <w:sz w:val="20"/>
                <w:szCs w:val="20"/>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88"/>
        </w:trPr>
        <w:tc>
          <w:tcPr>
            <w:tcW w:w="3460" w:type="dxa"/>
            <w:vAlign w:val="bottom"/>
          </w:tcPr>
          <w:p>
            <w:pPr>
              <w:spacing w:after="0"/>
              <w:rPr>
                <w:sz w:val="7"/>
                <w:szCs w:val="7"/>
                <w:color w:val="auto"/>
              </w:rPr>
            </w:pPr>
          </w:p>
        </w:tc>
        <w:tc>
          <w:tcPr>
            <w:tcW w:w="5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231,667</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271,269</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29"/>
        </w:trPr>
        <w:tc>
          <w:tcPr>
            <w:tcW w:w="3460" w:type="dxa"/>
            <w:vAlign w:val="bottom"/>
            <w:shd w:val="clear" w:color="auto" w:fill="CCEEFF"/>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37,624</w:t>
            </w:r>
          </w:p>
        </w:tc>
      </w:tr>
      <w:tr>
        <w:trPr>
          <w:trHeight w:val="22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268,061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305,685</w:t>
            </w:r>
          </w:p>
        </w:tc>
      </w:tr>
      <w:tr>
        <w:trPr>
          <w:trHeight w:val="270"/>
        </w:trPr>
        <w:tc>
          <w:tcPr>
            <w:tcW w:w="346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51,981</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52,494</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358,179</w:t>
            </w:r>
          </w:p>
        </w:tc>
      </w:tr>
      <w:tr>
        <w:trPr>
          <w:trHeight w:val="21"/>
        </w:trPr>
        <w:tc>
          <w:tcPr>
            <w:tcW w:w="3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components of lease cost recognized within our condensed consolidated statements of comprehensive income for the six and three months ended June 30, 2022 are as follows (amounts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4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Condensed Consolidated Income Statement</w:t>
            </w:r>
          </w:p>
        </w:tc>
        <w:tc>
          <w:tcPr>
            <w:tcW w:w="120" w:type="dxa"/>
            <w:vAlign w:val="bottom"/>
          </w:tcPr>
          <w:p>
            <w:pPr>
              <w:spacing w:after="0"/>
              <w:rPr>
                <w:sz w:val="16"/>
                <w:szCs w:val="16"/>
                <w:color w:val="auto"/>
              </w:rPr>
            </w:pPr>
          </w:p>
        </w:tc>
        <w:tc>
          <w:tcPr>
            <w:tcW w:w="15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4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(1)</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lease costs (1)</w:t>
            </w:r>
          </w:p>
        </w:tc>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4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80" w:type="dxa"/>
            <w:vAlign w:val="bottom"/>
            <w:tcBorders>
              <w:bottom w:val="single" w:sz="8" w:color="auto"/>
            </w:tcBorders>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Other lease costs includes short-term lease costs and variable lease costs.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Rent expense, amortization of landlord improvements and percentage rent expense calculated under ASC 840 were $31.3 million, $5.6 million and $1.2 million for the six months ended June 30, 2021, respectively. Rent expense, amortization of landlord improvements and percentage rent expense calculated under ASC 840 were $15.6 million, $2.8 million and $0.7 million for the three months ended June 30, 2021, respectively.</w:t>
      </w:r>
    </w:p>
    <w:p>
      <w:pPr>
        <w:spacing w:after="0" w:line="14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reasonably certain to exercise the option on the basis of economic factors. The table below summarizes the weighted average remaining lease terms as of June 30,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7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r>
    </w:tbl>
    <w:p>
      <w:pPr>
        <w:spacing w:after="0" w:line="2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June 30,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9.72 %</w:t>
            </w:r>
          </w:p>
        </w:tc>
        <w:tc>
          <w:tcPr>
            <w:tcW w:w="0" w:type="dxa"/>
            <w:vAlign w:val="bottom"/>
          </w:tcPr>
          <w:p>
            <w:pPr>
              <w:spacing w:after="0"/>
              <w:rPr>
                <w:sz w:val="1"/>
                <w:szCs w:val="1"/>
                <w:color w:val="auto"/>
              </w:rPr>
            </w:pPr>
          </w:p>
        </w:tc>
      </w:tr>
      <w:tr>
        <w:trPr>
          <w:trHeight w:val="481"/>
        </w:trPr>
        <w:tc>
          <w:tcPr>
            <w:tcW w:w="6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Future lease liabilities at June 30, 2022 are as follows (amounts in thousands):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0" w:type="dxa"/>
            <w:vAlign w:val="bottom"/>
          </w:tcPr>
          <w:p>
            <w:pPr>
              <w:spacing w:after="0"/>
              <w:rPr>
                <w:sz w:val="24"/>
                <w:szCs w:val="24"/>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 Lease</w:t>
            </w:r>
          </w:p>
        </w:tc>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Finance Lease Liabilities</w:t>
            </w:r>
          </w:p>
        </w:tc>
        <w:tc>
          <w:tcPr>
            <w:tcW w:w="202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0" w:type="dxa"/>
            <w:vAlign w:val="bottom"/>
          </w:tcPr>
          <w:p>
            <w:pPr>
              <w:spacing w:after="0"/>
              <w:rPr>
                <w:sz w:val="1"/>
                <w:szCs w:val="1"/>
                <w:color w:val="auto"/>
              </w:rPr>
            </w:pPr>
          </w:p>
        </w:tc>
      </w:tr>
      <w:tr>
        <w:trPr>
          <w:trHeight w:val="240"/>
        </w:trPr>
        <w:tc>
          <w:tcPr>
            <w:tcW w:w="3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300"/>
              <w:spacing w:after="0" w:line="240" w:lineRule="exact"/>
              <w:rPr>
                <w:sz w:val="20"/>
                <w:szCs w:val="20"/>
                <w:color w:val="auto"/>
              </w:rPr>
            </w:pPr>
            <w:r>
              <w:rPr>
                <w:rFonts w:ascii="Times New Roman" w:cs="Times New Roman" w:eastAsia="Times New Roman" w:hAnsi="Times New Roman"/>
                <w:sz w:val="18"/>
                <w:szCs w:val="18"/>
                <w:b w:val="1"/>
                <w:bCs w:val="1"/>
                <w:color w:val="auto"/>
                <w:w w:val="94"/>
              </w:rPr>
              <w:t xml:space="preserve">Liabilities </w:t>
            </w:r>
            <w:r>
              <w:rPr>
                <w:rFonts w:ascii="Times New Roman" w:cs="Times New Roman" w:eastAsia="Times New Roman" w:hAnsi="Times New Roman"/>
                <w:sz w:val="23"/>
                <w:szCs w:val="23"/>
                <w:b w:val="1"/>
                <w:bCs w:val="1"/>
                <w:color w:val="auto"/>
                <w:w w:val="94"/>
                <w:vertAlign w:val="superscript"/>
              </w:rPr>
              <w:t>(1)</w:t>
            </w:r>
          </w:p>
        </w:tc>
        <w:tc>
          <w:tcPr>
            <w:tcW w:w="2180" w:type="dxa"/>
            <w:vAlign w:val="bottom"/>
            <w:gridSpan w:val="3"/>
            <w:vMerge w:val="continue"/>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373,839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305,685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2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June 30, 2022, the Company has entered into leases for the expansion of our Boston Heights distribution center and Showrooms which have not yet commenced with expected lease terms ranging from 10 to 24 years. The aggregate minimum rental payments over the term of the leases of approximately $148.4 million are not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for operating and capital leases under ASC 840 at December 31, 2021, were as follows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23"/>
                <w:szCs w:val="23"/>
                <w:b w:val="1"/>
                <w:bCs w:val="1"/>
                <w:color w:val="auto"/>
                <w:vertAlign w:val="superscript"/>
              </w:rPr>
              <w:t>(1)</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Leases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Lease</w:t>
            </w:r>
          </w:p>
        </w:tc>
        <w:tc>
          <w:tcPr>
            <w:tcW w:w="0" w:type="dxa"/>
            <w:vAlign w:val="bottom"/>
          </w:tcPr>
          <w:p>
            <w:pPr>
              <w:spacing w:after="0"/>
              <w:rPr>
                <w:sz w:val="1"/>
                <w:szCs w:val="1"/>
                <w:color w:val="auto"/>
              </w:rPr>
            </w:pPr>
          </w:p>
        </w:tc>
      </w:tr>
      <w:tr>
        <w:trPr>
          <w:trHeight w:val="243"/>
        </w:trPr>
        <w:tc>
          <w:tcPr>
            <w:tcW w:w="4100" w:type="dxa"/>
            <w:vAlign w:val="bottom"/>
            <w:gridSpan w:val="2"/>
            <w:vMerge w:val="continue"/>
          </w:tcPr>
          <w:p>
            <w:pPr>
              <w:spacing w:after="0"/>
              <w:rPr>
                <w:sz w:val="21"/>
                <w:szCs w:val="21"/>
                <w:color w:val="auto"/>
              </w:rPr>
            </w:pPr>
          </w:p>
        </w:tc>
        <w:tc>
          <w:tcPr>
            <w:tcW w:w="2140" w:type="dxa"/>
            <w:vAlign w:val="bottom"/>
            <w:gridSpan w:val="3"/>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249,888</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464,798</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7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(94,064)</w:t>
            </w:r>
          </w:p>
        </w:tc>
        <w:tc>
          <w:tcPr>
            <w:tcW w:w="0" w:type="dxa"/>
            <w:vAlign w:val="bottom"/>
          </w:tcPr>
          <w:p>
            <w:pPr>
              <w:spacing w:after="0"/>
              <w:rPr>
                <w:sz w:val="1"/>
                <w:szCs w:val="1"/>
                <w:color w:val="auto"/>
              </w:rPr>
            </w:pPr>
          </w:p>
        </w:tc>
      </w:tr>
      <w:tr>
        <w:trPr>
          <w:trHeight w:val="288"/>
        </w:trPr>
        <w:tc>
          <w:tcPr>
            <w:tcW w:w="4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643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79"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June 30, 2022, is as follows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81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Based Compensation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recorded equity based compensation expense of $1.4 million and $0.4 million for the six months ended June 30, 2022 and 2021, respectively. Equity based compensation expense was $0.7 million and $0.3 million for the three months ended June 30, 2022 and 2021, respectively. Equity based compensation expense is recorded within the selling, general and administrative expenses line item of the condensed consolidated statements of comprehensive income. Total unrecognized compensation cost for equity based compensation to be recognized in future periods is $10.2 million at June 30, 2022, and will be recognized over a weighted average period of 3.84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560" w:type="dxa"/>
            <w:vAlign w:val="bottom"/>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560" w:type="dxa"/>
            <w:vAlign w:val="bottom"/>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5"/>
                <w:szCs w:val="15"/>
                <w:color w:val="auto"/>
              </w:rPr>
            </w:pPr>
          </w:p>
        </w:tc>
        <w:tc>
          <w:tcPr>
            <w:tcW w:w="2660" w:type="dxa"/>
            <w:vAlign w:val="bottom"/>
            <w:gridSpan w:val="2"/>
          </w:tcPr>
          <w:p>
            <w:pPr>
              <w:jc w:val="center"/>
              <w:ind w:right="1240"/>
              <w:spacing w:after="0" w:line="180"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7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(932,847)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net revenue is generated through sales to clients in the United States. Sales to clients outside of the United States are not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 single client represents more than ten percent or more of our net revenue.</w:t>
      </w:r>
    </w:p>
    <w:p>
      <w:pPr>
        <w:spacing w:after="0" w:line="1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shows net revenue by merchandise sales channel for the six and three months ended June 30, 2022 and 2021, respectively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0"/>
                <w:szCs w:val="20"/>
                <w:color w:val="auto"/>
              </w:rPr>
            </w:pPr>
          </w:p>
        </w:tc>
        <w:tc>
          <w:tcPr>
            <w:tcW w:w="28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47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151,719</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32,324</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and Comprehensive Income per Share</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and IPO, existing Class A and Class B Unitholders of LLC were issued Class B and Class A common stock in the Company, respectively. The Class A Unitholders received 80,792,206 shares of Class B common stock and the Class B Unitholders received 31,266,536 shares of Class A common stock. Accordingly, all share and per share amounts for all periods presented in the condensed consolidated statements of comprehensive income and this note have been adjusted retroactively, where applicable, to reflect the Reorganization.</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six and three months ended June 30, 2022 and 2021, was calculated by adjusting net and comprehensive income attributable to Arhaus, Inc. for net and comprehensive income attributable to noncontrolling interest, and dividing by basic and diluted weighted-average number of common shares outstanding. Management Incentive Unitholders did not participate in the earnings or losses of the Company as of June 30, 2021 and therefore were not participating securities. As such, they were not included within the calculation of basic or diluted earnings per share as of June 30, 2021.</w:t>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six and three months ended June 30, 2022 and 2021, is as follows (amounts in thousands except share and per share data):</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0"/>
                <w:szCs w:val="20"/>
                <w:color w:val="auto"/>
              </w:rPr>
            </w:pPr>
          </w:p>
        </w:tc>
        <w:tc>
          <w:tcPr>
            <w:tcW w:w="28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50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r>
      <w:tr>
        <w:trPr>
          <w:trHeight w:val="184"/>
        </w:trPr>
        <w:tc>
          <w:tcPr>
            <w:tcW w:w="5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and comprehensive income attributable to noncontrolling</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Denominator—Weighted Average Shares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137,662,601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137,840,691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dilutive restricted stock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139,394,055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139,454,109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112,058,742</w:t>
            </w:r>
          </w:p>
        </w:tc>
      </w:tr>
      <w:tr>
        <w:trPr>
          <w:trHeight w:val="270"/>
        </w:trPr>
        <w:tc>
          <w:tcPr>
            <w:tcW w:w="5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ind w:right="20" w:firstLine="8"/>
        <w:spacing w:after="0" w:line="302" w:lineRule="auto"/>
        <w:tabs>
          <w:tab w:leader="none" w:pos="148"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six and three months ended June 30, 2022, 618,387 and 554,070 shares of unvested restricted stock were excluded from the computation of diluted earnings per share because their effect would have been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0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claims that are incidental to its business. Although the outcome of these matters cannot be determined at the present time, the Company believes that the ultimate resolution of these matters will not have a material adverse effect on the Company’s consolidated financial position, results of operations or cash flows.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June 30, 2022 and December 31, 2021, we recorded liabilities of $1.2 million and $1.2 million, respectively, in accrued taxes on the condensed consolidated balance sheets for non-income tax matters that were probable and reasonably estimable.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transactions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with the ability to extend the lease in 12-month increments thereafter. The monthly rental payments are $0.1 million. Rent expense was $0.7 million and $0.7 million for the six months ended June 30, 2022 and 2021, respectively. Rent expense was $0.4 million and $0.4 million for the three months ended June 30, 2022 and 2021, respectively.</w:t>
      </w:r>
    </w:p>
    <w:p>
      <w:pPr>
        <w:spacing w:after="0" w:line="1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million and $0.2 million for the six months ended June 30, 2022 and 2021, respectively. Rent expense was $0.1 million and $0.1 million for the three months ended June 30, 2022 and 2021, respectively.</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2014, the Company entered into a lease agreement with Premier Arhaus, LLC, a company of which our CEO indirectly owned 50% during 2021, on a triple net basis for our headquarters building and distribution center, with construction completed during 2016. The base lease term is 17 years, with a 10-year renewal option at fixed rental payments, and with two additional 5-year renewal options at fair market rent. The monthly rental payments range from $0.2 million to $0.5 million during the 17-year base lease term and from $0.5 million to $0.6 million during the 10-year renewal period. In September 2021, the Company amended the existing finance lease agreement to extend the lease term for an additional three years, which included monthly rental payments of $0.6 million. Further, the amended lease agreement provides for the expansion of the Company’s distribution center and monthly rental payments range from $0.1 million to $0.2 million. During the fourth quarter of 2021, the lessor sold its interest in the leased assets to a third party. As a result, the lease is no longer with a related party of the Company. Rent expense was $2.9 million and $1.5 million for the six and three months ended June 30, 2021, respectively.</w:t>
      </w:r>
    </w:p>
    <w:p>
      <w:pPr>
        <w:spacing w:after="0" w:line="14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March 2021, the Company entered into a lease agreement with Premier Conover, LLC, a company of which our CEO indirectly owned 10%,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$1.8 million and $0.9 million for the six and three months ended June 30, 2022,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accordance with the change in reporting entity, the Company’s condensed consolidated statements of cash flows include the payment and receipt of a related-party receivable and a related-party note receivable between Homeworks and our CEO for $0.1 million and $1.0 million, respectively for the six months ended June 30, 2021. The receivable and the full principal on the note receivable, including accrued interest, were paid back to the Company by the CEO in May 2021.</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Reorganization, the Company has accounts payable due to noncontrolling interests of LLC for state and federal income tax refunds filed for tax periods prior to the Reorganization. The accounts payable due to related parties were $0.2 million and $2.9 million at June 30, 2022 and December 31, 2021, respectively, and are included within accounts payable on the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taxes were $18.3 million and $1.2 million in the six months ended June 30, 2022 and 2021, respectively. Income taxes were $12.4 million and $0.5 million in the three months ended June 30, 2022 and 2021, respectively. The effective tax rate was 25.8% and 7.0% for the six months ended June 30, 2022 and 2021, respectively. The effective tax rate was 25.3% and 6.8% for the three months ended June 30, 2022 and 2021, respectively.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LLC. The income tax provision included state and local tax in certain jurisdictions prior to the Reorganization. Subsequent to the Reorganization, LLC’s taxable income flows through to FS Arhaus and Homeworks who are subject to U.S. federal and state corporate income taxes.</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June 30, 2022, no unrecognized tax benefits have been recognized. The Company files income tax returns in the U.S. and various state and local jurisdictions. The tax years after 2017 remain open to examination by the state taxing jurisdictions in which the Company is subject to tax. As of June 30, 2022, the Company was not under examination by the Internal Revenue Service or any state tax jurisdiction.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2021.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 risks:</w:t>
      </w:r>
    </w:p>
    <w:p>
      <w:pPr>
        <w:spacing w:after="0" w:line="15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transportation carriers and risks associated with increased freight and transportation costs;</w:t>
      </w:r>
    </w:p>
    <w:p>
      <w:pPr>
        <w:spacing w:after="0" w:line="29" w:lineRule="exact"/>
        <w:rPr>
          <w:rFonts w:ascii="Times New Roman" w:cs="Times New Roman" w:eastAsia="Times New Roman" w:hAnsi="Times New Roman"/>
          <w:sz w:val="18"/>
          <w:szCs w:val="18"/>
          <w:i w:val="1"/>
          <w:iCs w:val="1"/>
          <w:color w:val="auto"/>
        </w:rPr>
      </w:pPr>
    </w:p>
    <w:p>
      <w:pPr>
        <w:ind w:left="660" w:right="120" w:hanging="328"/>
        <w:spacing w:after="0" w:line="25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 in our receiving and distribution system, including delays in the integration of our new distribution centers and the possibility that we may not realize the anticipated benefits of multiple distribution centers;</w:t>
      </w: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quality merchandise in sufficient quantities;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 a result of constraints in our supply chain;</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failure of our vendors to meet our quality standards;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and compliance with applicable data privacy rules and regulations;</w:t>
      </w:r>
    </w:p>
    <w:p>
      <w:pPr>
        <w:spacing w:after="0" w:line="1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ability to manage and maintain the growth rate of our business;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anticipate changes in consumer preferences;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maintaining and increasing Showroom traffic and sales;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in our market;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adequately protect our intellectual property;</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governmental regulations;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COVID-19 pandemic and its effect on our business;</w:t>
      </w:r>
    </w:p>
    <w:p>
      <w:pPr>
        <w:spacing w:after="0" w:line="1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Effectively managing our eCommerce business and digital marketing efforts; and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SEC rules and regulations as a public reporting company.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2021.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the six and three months ended June 30, 2022 and 2021, which represents the condensed consolidated financial results of Arhaus, Inc. and subsidiaries for the six and three months ended June 30, 2022 and 2021,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Arhaus is a rapidly growing lifestyle brand and premium retailer in the home furnishings market, specializing in livable luxury supported by globally-sourced, heirloom-quality merchandise. We offer a differentiated direct-to-consumer approach to furniture and décor. Our curated assortments are presented across our sales channels in sophisticated, family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friendly and unique lifestyle settings. We offer merchandise assortments across a number of categories, including furniture, lighting, textiles, décor, and outdoor. Our products, designed to be used and enjoyed throughout the home, are sourced directly from factories and suppliers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one reportable segment as of June 30, 2022. At June 30, 2022, we operated 80 Showrooms, 59 with in-home interior designers. At December 31, 2021, we operated 79 Showrooms, 58 with in-home interior designers.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0"/>
        </w:trPr>
        <w:tc>
          <w:tcPr>
            <w:tcW w:w="5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Traditional showrooms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9"/>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 Studios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Outlets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Showroom locations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square footage (in thousands)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generated $552.6 million of net revenue, $230.7 million of gross margin and $52.7 million of net and comprehensive income. For the three months ended June 30, 2022, we generated $306.3 million of net revenue, $133.0 million of gross margin and $36.6 million of net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COVID-19 on Our Business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we have been able to serve our clients and operate our business through the ongoing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Various constraints in our merchandise supply chain have resulted in delays in our ability to convert demand into net revenue at normal historical rates. We anticipate that the business conditions related to the COVID-19 pandemic will continue to adversely affect the capacity of our vendors and supply chain to meet our demand during fiscal year 2022. We expect that our supply chain may catch up to demand in the foreseeable future, but business circumstances and operational conditions in numerous international locations where our vendors operate cannot be predicted with certainty.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3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4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Demand</w:t>
      </w:r>
      <w:r>
        <w:rPr>
          <w:rFonts w:ascii="Times New Roman" w:cs="Times New Roman" w:eastAsia="Times New Roman" w:hAnsi="Times New Roman"/>
          <w:sz w:val="18"/>
          <w:szCs w:val="18"/>
          <w:color w:val="auto"/>
        </w:rPr>
        <w:t>. Net revenue is recognized when a client obtains control of the merchandise. We also track demand in our business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Comparable Growth</w:t>
      </w:r>
      <w:r>
        <w:rPr>
          <w:rFonts w:ascii="Times New Roman" w:cs="Times New Roman" w:eastAsia="Times New Roman" w:hAnsi="Times New Roman"/>
          <w:sz w:val="18"/>
          <w:szCs w:val="18"/>
          <w:color w:val="auto"/>
        </w:rPr>
        <w:t>. Comparable growth is the year-over-year percentage change of the dollar value of orders delivered (based on purchase price),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Comparable Showrooms that were temporarily closed during portions of 2021 were not excluded from the comparable Showroom calculation. The dollar value of orders delivered for Outlet comparable locations are included.</w:t>
      </w:r>
    </w:p>
    <w:p>
      <w:pPr>
        <w:spacing w:after="0" w:line="14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Demand Comparable Growth</w:t>
      </w:r>
      <w:r>
        <w:rPr>
          <w:rFonts w:ascii="Times New Roman" w:cs="Times New Roman" w:eastAsia="Times New Roman" w:hAnsi="Times New Roman"/>
          <w:sz w:val="18"/>
          <w:szCs w:val="18"/>
          <w:color w:val="auto"/>
        </w:rPr>
        <w:t>. Demand comparable growth is the year-over-year percentage change of demand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direct-mail catalog.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Comparable Showrooms that were temporarily closed during portions of 2021 were not excluded from the comparable Showroom calculation. Outlet comparable location demand is included.</w:t>
      </w:r>
    </w:p>
    <w:p>
      <w:pPr>
        <w:spacing w:after="0" w:line="15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4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shrinkage, inbound freight, all freight costs to get merchandise to our Showrooms, credit card fees, design, buying and allocation costs, occupancy costs related to Showroom operations and our supply chain, such as rent and common area maintenance for our leases, depreciation and amortization of leasehold improvements, equipment and other assets in our Showrooms and distribution centers.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55"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or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corporate headquarters, including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marketing, information technology,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expense and income tax expense.</w:t>
      </w:r>
    </w:p>
    <w:p>
      <w:pPr>
        <w:spacing w:after="0" w:line="18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and comprehensive income to EBITDA and adjusted EBITDA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00" w:type="dxa"/>
            <w:vAlign w:val="bottom"/>
          </w:tcPr>
          <w:p>
            <w:pPr>
              <w:spacing w:after="0"/>
              <w:rPr>
                <w:sz w:val="20"/>
                <w:szCs w:val="20"/>
                <w:color w:val="auto"/>
              </w:rPr>
            </w:pPr>
          </w:p>
        </w:tc>
        <w:tc>
          <w:tcPr>
            <w:tcW w:w="29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5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57"/>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5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r>
      <w:tr>
        <w:trPr>
          <w:trHeight w:val="25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7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expense (1)</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18,258</w:t>
            </w:r>
          </w:p>
        </w:tc>
      </w:tr>
      <w:tr>
        <w:trPr>
          <w:trHeight w:val="297"/>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(2)</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bl>
    <w:p>
      <w:pPr>
        <w:spacing w:after="0" w:line="72" w:lineRule="exact"/>
        <w:rPr>
          <w:sz w:val="20"/>
          <w:szCs w:val="20"/>
          <w:color w:val="auto"/>
        </w:rPr>
      </w:pPr>
    </w:p>
    <w:p>
      <w:pPr>
        <w:ind w:left="500" w:hanging="492"/>
        <w:spacing w:after="0" w:line="271"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repaid our term loan in full on December 28, 2020. The derivative expense relates to the change in the fair value of the exit fee at the end of each reporting period. The Company used a portion of the net proceeds from the IPO to pay the derivative liability on November 8, 2021.</w:t>
      </w:r>
    </w:p>
    <w:p>
      <w:pPr>
        <w:ind w:left="500" w:right="180" w:hanging="492"/>
        <w:spacing w:after="0" w:line="262" w:lineRule="auto"/>
        <w:tabs>
          <w:tab w:leader="none" w:pos="4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represent costs and investments not indicative of ongoing business performance, such as third-party consulting costs, one-time project start-up costs, severance, signing bonuses, recruiting and project-based strategic initiatives. For the six and three months ended June 30, 2022, these other expenses consisted largely of $3.1 million and $2.5 million of costs related to the opening and set-up of our Dallas distribution center,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Showroom Openings and Closings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New Showrooms contribute incremental expense and net revenue to the Company. In the six months ended June 30, 2022, we opened two Showrooms and closed one Showroom. In 2021, we opened ten Showrooms and closed five Showrooms. Of the five Showroom closures in 2021, three were related to relocations in 2021.</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repaid our Term Loan in full on December 28, 2020. The derivative expense relates to the change in the fair value of the exit fee at the end of each reporting period. The exit fee, which was payable in cash at the time the IPO was consummated, was calculated as 4% of the total equity value of the Company, based on the valuation determined in connection with the IPO, which valuation included, among other factors, (a) the IPO price, plus (b) cash, minus (c) any outstanding indebtedness, minus (d) transaction expenses, minus (e) the equity value of the preferred equity interests of LLC and all subsidiaries received on the closing date of the term loan, minus (f) the value of management incentive units in effect on the closing date of the term loan or issued after the closing date pursuant to management incentive plans in existence on the closing date. For the six and three months ended June 30, 2021, the derivative expense related to the change in fair value of the exit fee was $29.8 million and $18.3 million, respectively. The Company used a portion of the net proceeds from the IPO to pay the derivative liability of $64.1 million in full on November 8,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Condensed Consolidated Comprehensive Income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19"/>
                <w:szCs w:val="19"/>
                <w:color w:val="auto"/>
              </w:rPr>
            </w:pPr>
          </w:p>
        </w:tc>
        <w:tc>
          <w:tcPr>
            <w:tcW w:w="3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8"/>
        </w:trPr>
        <w:tc>
          <w:tcPr>
            <w:tcW w:w="4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20"/>
                <w:szCs w:val="20"/>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184,043</w:t>
            </w:r>
          </w:p>
        </w:tc>
        <w:tc>
          <w:tcPr>
            <w:tcW w:w="540" w:type="dxa"/>
            <w:vAlign w:val="bottom"/>
          </w:tcPr>
          <w:p>
            <w:pPr>
              <w:spacing w:after="0"/>
              <w:rPr>
                <w:sz w:val="19"/>
                <w:szCs w:val="19"/>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106,209</w:t>
            </w:r>
          </w:p>
        </w:tc>
        <w:tc>
          <w:tcPr>
            <w:tcW w:w="540" w:type="dxa"/>
            <w:vAlign w:val="bottom"/>
          </w:tcPr>
          <w:p>
            <w:pPr>
              <w:spacing w:after="0"/>
              <w:rPr>
                <w:sz w:val="19"/>
                <w:szCs w:val="19"/>
                <w:color w:val="auto"/>
              </w:rPr>
            </w:pPr>
          </w:p>
        </w:tc>
      </w:tr>
      <w:tr>
        <w:trPr>
          <w:trHeight w:val="223"/>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77,834</w:t>
            </w:r>
          </w:p>
        </w:tc>
        <w:tc>
          <w:tcPr>
            <w:tcW w:w="540" w:type="dxa"/>
            <w:vAlign w:val="bottom"/>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540" w:type="dxa"/>
            <w:vAlign w:val="bottom"/>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r>
      <w:tr>
        <w:trPr>
          <w:trHeight w:val="22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50,252</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54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540" w:type="dxa"/>
            <w:vAlign w:val="bottom"/>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r>
      <w:tr>
        <w:trPr>
          <w:trHeight w:val="223"/>
        </w:trPr>
        <w:tc>
          <w:tcPr>
            <w:tcW w:w="4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540" w:type="dxa"/>
            <w:vAlign w:val="bottom"/>
          </w:tcPr>
          <w:p>
            <w:pPr>
              <w:spacing w:after="0"/>
              <w:rPr>
                <w:sz w:val="19"/>
                <w:szCs w:val="19"/>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40" w:type="dxa"/>
            <w:vAlign w:val="bottom"/>
          </w:tcPr>
          <w:p>
            <w:pPr>
              <w:spacing w:after="0"/>
              <w:rPr>
                <w:sz w:val="19"/>
                <w:szCs w:val="19"/>
                <w:color w:val="auto"/>
              </w:rPr>
            </w:pPr>
          </w:p>
        </w:tc>
      </w:tr>
      <w:tr>
        <w:trPr>
          <w:trHeight w:val="223"/>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540" w:type="dxa"/>
            <w:vAlign w:val="bottom"/>
          </w:tcPr>
          <w:p>
            <w:pPr>
              <w:spacing w:after="0"/>
              <w:rPr>
                <w:sz w:val="19"/>
                <w:szCs w:val="19"/>
                <w:color w:val="auto"/>
              </w:rPr>
            </w:pP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540" w:type="dxa"/>
            <w:vAlign w:val="bottom"/>
          </w:tcPr>
          <w:p>
            <w:pPr>
              <w:spacing w:after="0"/>
              <w:rPr>
                <w:sz w:val="20"/>
                <w:szCs w:val="20"/>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attributable to Arhaus, Inc.</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540" w:type="dxa"/>
            <w:vAlign w:val="bottom"/>
          </w:tcPr>
          <w:p>
            <w:pPr>
              <w:spacing w:after="0"/>
              <w:rPr>
                <w:sz w:val="21"/>
                <w:szCs w:val="2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79"/>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Operational Data:</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00" w:type="dxa"/>
            <w:vAlign w:val="bottom"/>
          </w:tcPr>
          <w:p>
            <w:pPr>
              <w:spacing w:after="0"/>
              <w:rPr>
                <w:sz w:val="24"/>
                <w:szCs w:val="24"/>
                <w:color w:val="auto"/>
              </w:rPr>
            </w:pPr>
          </w:p>
        </w:tc>
        <w:tc>
          <w:tcPr>
            <w:tcW w:w="29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5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552,565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355,357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306,265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184,043</w:t>
            </w:r>
          </w:p>
        </w:tc>
      </w:tr>
      <w:tr>
        <w:trPr>
          <w:trHeight w:val="27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growth</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56"/>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 comparable growth</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r>
      <w:tr>
        <w:trPr>
          <w:trHeight w:val="257"/>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as a % of net revenue</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198"/>
        </w:trPr>
        <w:tc>
          <w:tcPr>
            <w:tcW w:w="46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expenses as a % of net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1"/>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36.1 %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27.0 %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37.6 %</w:t>
            </w:r>
          </w:p>
        </w:tc>
      </w:tr>
      <w:tr>
        <w:trPr>
          <w:trHeight w:val="257"/>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 as a % of net revenue</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13.2 %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16.4 %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4.7 %</w:t>
            </w:r>
          </w:p>
        </w:tc>
      </w:tr>
      <w:tr>
        <w:trPr>
          <w:trHeight w:val="22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52,697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16,048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36,639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6,836</w:t>
            </w:r>
          </w:p>
        </w:tc>
      </w:tr>
      <w:tr>
        <w:trPr>
          <w:trHeight w:val="27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as a % of net revenue</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9.5 %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12.0 %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3.7 %</w:t>
            </w:r>
          </w:p>
        </w:tc>
      </w:tr>
      <w:tr>
        <w:trPr>
          <w:trHeight w:val="27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91,638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59,737</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60,438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34,254</w:t>
            </w:r>
          </w:p>
        </w:tc>
      </w:tr>
      <w:tr>
        <w:trPr>
          <w:trHeight w:val="257"/>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as a % of net revenue</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16.6 %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16.8 %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19.7 %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18.6 %</w:t>
            </w:r>
          </w:p>
        </w:tc>
      </w:tr>
      <w:tr>
        <w:trPr>
          <w:trHeight w:val="237"/>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Showrooms at end of period</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w:t>
            </w:r>
          </w:p>
        </w:tc>
      </w:tr>
      <w:tr>
        <w:trPr>
          <w:trHeight w:val="54"/>
        </w:trPr>
        <w:tc>
          <w:tcPr>
            <w:tcW w:w="4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85"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“How We Assess the Performance of Our Business,” for a definition of adjusted EBITDA and a reconciliation of adjusted EBITDA to net and comprehensive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revenue increased $197.2 million, or 55.5%, to $552.6 million in the six months ended June 30, 2022 compared to $355.4 million in the six months ended June 30, 2021. The increase was driven primarily by increased demand for our products in both eCommerce and Showrooms, as well as elements of our supply chain continuing to catch up with client demand.</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Comparable growth was 53.1% in the six months ended June 30, 2022 and 2021. Demand comparable growth was 14.7% in the six months ended June 30, 2022 compared to 82.0% in the six months ended June 30, 2021. Demand comparable growth for the six months ended June 30, 2021 was positively impacted by Showroom closures in 2020 as a result of the COVID-19 pandemic.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Gross margin increased $82.6 million, or 55.7%, to $230.7 million in the six months ended June 30, 2022 compared to $148.2 million in the six months ended June 30, 2021. Gross margin improvement was driven by the increase in net revenue, partially offset by increased variable expense related to the higher revenue, including $72.8 million of higher product costs, $25.4 million of increased transportation costs and $8.4 million of increased variable rent expense, in addition to $4.0 million of higher credit card fees related to higher demand during these time periods.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a percentage of net revenue, gross margin increased 10 basis points to 41.8% of net revenue in the six months ended June 30, 2022 compared to 41.7% of net revenue in the six months ended June 30, 2021.</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gross margin increase as a percentage of net revenue was primarily the result of leverage on fixed Showroom occupancy costs over higher net revenue and leverage on credit card fees related to demand, contributing 290 basis points to the gross margin improvement. This was partially offset by higher transportation costs and variable rent, which together increased 270 basis points as a percentage of net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SG&amp;A expenses increased $29.4 million, or 23.0%, to $157.6 million in the six months ended June 30, 2022 compared to $128.2 million in the six months ended June 30, 2021.</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 in SG&amp;A expenses was primarily driven by a $25.6 million increase in warehouse expenses and a $17.0 million increase in corporate expenses to support the growth of the business and a $6.3 million increase in new public company costs. This was partially offset by the non-recurrence of the derivative expense in the prior year related to the change in the fair value of the Term Loan exit fee of $29.8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decreased 760 basis points to 28.5% of net revenue in the six months ended June 30, 2022 compared to 36.1% of net revenue in the six months ended June 30,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expense decreased $0.1 million to $2.6 million in the six months ended June 30, 2022 compared to $2.7 million in the six months ended June 30, 2021. For the six months ended June 30, 2022 and 2021 interest expense was primarily related to our finance lease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expense was $18.3 million in the six months ended June 30, 2022 compared to $1.2 million in the six months ended June 30, 2021.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LLC. Income tax expense included state and local taxes in certain jurisdictions prior to the Reorganization. Subsequent to the Reorganization, LLC’s taxable income flows through to FS Arhaus and Homeworks who are subject to U.S. federal and state corporate income taxes.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Net and comprehensive income increased $36.7 million to $52.7 million in the six months ended June 30, 2022 compared to $16.0 million in the six months ended June 30, 2021. The increase was driven by the factors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revenue increased $122.2 million, or 66.4%, to $306.3 million in the three months ended June 30, 2022 compared to $184.0 million in the three months ended June 30, 2021. Net revenue was driven by increased demand for our products in both eCommerce and Showrooms, as well as elements of our supply chain continuing to catch up with client demand.</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Comparable growth was 65.2% in the three months ended June 30, 2022 compared to 71.4% in the three months ended June 30, 2021. Demand comparable growth was 22.5% in the three months ended June 30, 2022 compared to 72.9% in the three months ended June 30, 2021. Demand comparable growth for the three months ended June 30, 2021 was positively impacted by Showroom closures in 2020 as a result of the COVID-19 pandemic.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Gross margin increased $55.2 million, or 70.9%, to $133.0 million in the three months ended June 30, 2022 compared to $77.8 million in the three months ended June 30, 2021. Gross margin improvement was driven by the increase in net revenue, partially offset by increased variable expense related to the higher revenue, including $43.0 million of higher product costs, $14.6 million of increased transportation costs and $4.5 million of increased variable rent expense, in addition to $2.4 million of higher credit card fees related to higher demand during the three months ended June 30, 2022 compared to the three months ended June 30, 2021.</w:t>
      </w:r>
    </w:p>
    <w:p>
      <w:pPr>
        <w:spacing w:after="0" w:line="1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percentage of net revenue, gross margin increased 110 basis points to 43.4% of net revenue in the three months ended June 30, 2022 compared to 42.3% of net revenue in the three months ended June 30, 2021. The gross margin increase as a percentage of net revenue was primarily the result of leverage on fixed Showroom occupancy costs over higher net revenue and leverage on credit card fees related to demand, contributing 290 basis points to the gross margin improvement. This was partially offset by higher transportation costs and variable rent, which together increased 240 basis points as a percentage of net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SG&amp;A expenses increased $13.6 million, or 19.7%, to $82.8 million in the three months ended June 30, 2022 compared to $69.1 million in the three months ended June 30, 2021.</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SG&amp;A expenses was primarily driven by a $14.1 million increase in warehouse expenses and an $8.7 million increase in corporate expenses to support the growth of the business, and a $3.2 million increase in new public company costs. This was partially offset by the non-recurrence of the derivative expense in the prior year related to the change in the fair value of the Term Loan exit fee of $18.3 million.</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decreased 1060 basis points to 27.0% of net revenue in the three months ended June 30, 2022 compared to 37.6% of net revenue in the three months ended June 30,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decreased $0.1 million to $1.3 million in the three months ended June 30, 2022 compared to $1.4 million in the three months ended June 30, 2021. For the three months ended June 30, 2022 and 2021, interest expense was primarily related to our finance lease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taxes were $12.4 million in the three months ended June 30, 2022 compared to $0.5 million in the three months ended June 30, 2021.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LLC. Income tax expense included state and local taxes in certain jurisdictions prior to the Reorganization. Subsequent to the Reorganization, LLC’s taxable income flows through to FS Arhaus and Homeworks who are subject to U.S. federal and state corporate income taxes.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and comprehensive income increased $29.8 million to $36.6 million in the three months ended June 30, 2022 compared to $6.8 million in the three months ended June 30, 2021. The increase was driven by the factors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June 30, 2022, we had cash and cash equivalents of $144.6 million.</w:t>
      </w:r>
    </w:p>
    <w:p>
      <w:pPr>
        <w:spacing w:after="0" w:line="15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the 2021 Credit Facility with Bank of America, N.A. and the lenders party thereto.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is $50.0 million, which may be increased pursuant to the terms of the 2021 Credit Facility.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June 30, 2022), whereas the applicable margin is adjusted quarterly based on the Company’s consolidated rent-adjusted total leverage ratio. At June 30, 2022, we had no borrowings on the 2021 Credit Facility.</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our principal sources of liquidity were cash flows from operations, including client deposits. We believe our operating cash flows will be sufficient to meet working capital requirements and fulfill other capital needs for at least the next 12 months, although we may enter into borrowing arrangements in the future.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fund investments and strategies such as supply chain expansion and growth initiatives. In addition, our capital needs and uses of capital may change in the future due to changes in our business or new opportunities that we choose to pursue.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Historically, we have invested significant capital expenditures in opening new Showrooms. In 2022, our recent distribution center footprint expansion has also been a focus of our capital expenditures.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4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we continue to address the effects of the COVID-19 pandemic on our business with respect to real estate development and the introduction of new Showrooms. A range of factors included in the development of new Showrooms may continue to be affected by the COVID-19 pandemic including delays in construction,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expenditures. In addition, we may be required to make lease payments in whole or in part for our Showrooms in the event that they are required to close in the future due to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our condensed consolidated financial statements for further information on our Revolver and 2021 Credit Facility,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4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109,503</w:t>
            </w: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w:t>
            </w:r>
          </w:p>
        </w:tc>
        <w:tc>
          <w:tcPr>
            <w:tcW w:w="0" w:type="dxa"/>
            <w:vAlign w:val="bottom"/>
          </w:tcPr>
          <w:p>
            <w:pPr>
              <w:spacing w:after="0"/>
              <w:rPr>
                <w:sz w:val="1"/>
                <w:szCs w:val="1"/>
                <w:color w:val="auto"/>
              </w:rPr>
            </w:pP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equivalents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75,470</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was $41.1 million in the six months ended June 30, 2022 compared to $109.5 million net cash provided by operating activities in the six months ended June 30, 2021. The decrease in our net cash provided by operating activities in the six months ended June 30, 2022 was impacted by several factors: higher inventory levels; lower change in client deposits from improved delivery of backlog orders and lower demand comparable growth of 14.7% versus demand comparable growth of 82.0% in the six months ended June 30, 2021; and lower non-cash items in the current period, particularly the nonrecurring derivative expense in the prior year related to the change in the fair value of the Term Loan exit fee, which reduced our net income without any corresponding adverse impact to our cash generation. These items were partially offset by increases in: accounts payable; accrued expenses; and the non-cash amortization for our operating leases caused by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retail Showrooms, information technology and systems infrastructure, as well as supply chain investments. Investing activities also include strategic investments made by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$20.4 million primarily due to investments in Showrooms, information technology and systems infrastructure, and supply chain expansion.</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investing activities was $13.7 million primarily due to investments in Showrooms, information technology and systems infrastructure, and supply chain expansion.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capital expenditures, net of landlord contributions increased by $7.9 million in the six months ended June 30, 2022 compared to the six months ended June 30, 2021. This increase was related to our new facility in North Carolina, the opening of new Showrooms and information technology and systems infrastructure upgrades.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anticipate our total company funded capital expenditures to be between $55 million and $65 million in fiscal year 2022, primarily related to the expansion of our Boston Heights distribution center and the opening of our North Carolina and Dallas distribution centers, the opening of new Showrooms, and information technology and systems infrastructure upgrades.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consist primarily of borrowings related to tax distributions to noncontrolling interest holders of Arhaus,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net cash used in financing activities was $50.0 thousand due to principal payments on finance leases.</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financing activities was $20.3 million, which related to $12.4 million of shareholder distribution and $7.9 million of tax distributions to the noncontrolling interest holders of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have no material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six and three months ended June 30, 2022 and 2021,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with respect to borrowing under our 2021 Credit Facility and as of June 30, 2022,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June 30, 2022. Based on their evaluation as of June 30, 2022, the CEO and CFO have concluded that our disclosure controls and procedures were not effective at the reasonable assurance level because of the material weaknesses in our internal control over financial reporting described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that evaluation, our CEO and CFO identified three material weaknesses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21" w:lineRule="exact"/>
        <w:rPr>
          <w:sz w:val="20"/>
          <w:szCs w:val="20"/>
          <w:color w:val="auto"/>
        </w:rPr>
      </w:pPr>
    </w:p>
    <w:p>
      <w:pPr>
        <w:ind w:left="660" w:right="2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62" w:lineRule="exact"/>
        <w:rPr>
          <w:sz w:val="20"/>
          <w:szCs w:val="20"/>
          <w:color w:val="auto"/>
        </w:rPr>
      </w:pPr>
    </w:p>
    <w:p>
      <w:pPr>
        <w:ind w:left="660" w:right="10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85" w:lineRule="exact"/>
        <w:rPr>
          <w:sz w:val="20"/>
          <w:szCs w:val="20"/>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finance and accounting staff in relation to journal entries, reconciliations and other applicable processes.</w:t>
      </w:r>
    </w:p>
    <w:p>
      <w:pPr>
        <w:jc w:val="both"/>
        <w:ind w:left="660" w:right="20" w:hanging="328"/>
        <w:spacing w:after="0" w:line="290"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10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than as described above with respect to ongoing remediation efforts, there were no changes in our internal control over financial reporting as such term is defined in Exchange Act Rule 13a-15(f)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4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in our Annual Report on Form 10-K for the year ended December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67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76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Filings Referenced for Incorporation by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760" w:type="dxa"/>
            <w:vAlign w:val="bottom"/>
            <w:vMerge w:val="continue"/>
          </w:tcPr>
          <w:p>
            <w:pPr>
              <w:spacing w:after="0"/>
              <w:rPr>
                <w:sz w:val="21"/>
                <w:szCs w:val="21"/>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0000FF"/>
            </w:tcBorders>
          </w:tcPr>
          <w:p>
            <w:pPr>
              <w:spacing w:after="0"/>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32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November 10, 2021 Form 8-K, Exhibit 3.1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7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November 10, 2021 Form 8-K, Exhibit 3.2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Form of Notice of Award (Restricted Stock Unit and Performance Share Unit)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44"/>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Act of 2002</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3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 taxonomy</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8483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68" w:lineRule="exact"/>
        <w:rPr>
          <w:sz w:val="20"/>
          <w:szCs w:val="20"/>
          <w:color w:val="auto"/>
        </w:rPr>
      </w:pPr>
    </w:p>
    <w:p>
      <w:pPr>
        <w:ind w:left="420" w:right="220" w:hanging="412"/>
        <w:spacing w:after="0" w:line="282" w:lineRule="auto"/>
        <w:tabs>
          <w:tab w:leader="none" w:pos="231"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11th day of August, 2022</w:t>
      </w:r>
    </w:p>
    <w:p>
      <w:pPr>
        <w:spacing w:after="0" w:line="1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297"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Dawn Phillipson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Dawn Phillipson</w:t>
            </w:r>
          </w:p>
        </w:tc>
      </w:t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8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5"/>
        </w:trPr>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c>
          <w:tcPr>
            <w:tcW w:w="4540" w:type="dxa"/>
            <w:vAlign w:val="bottom"/>
          </w:tcPr>
          <w:p>
            <w:pPr>
              <w:spacing w:after="0"/>
              <w:rPr>
                <w:sz w:val="24"/>
                <w:szCs w:val="24"/>
                <w:color w:val="auto"/>
              </w:rPr>
            </w:pPr>
          </w:p>
        </w:tc>
      </w:tr>
    </w:tbl>
    <w:p>
      <w:pPr>
        <w:sectPr>
          <w:pgSz w:w="11900" w:h="16838" w:orient="portrait"/>
          <w:cols w:equalWidth="0" w:num="1">
            <w:col w:w="11200"/>
          </w:cols>
          <w:pgMar w:left="320" w:top="117" w:right="379" w:bottom="1440" w:gutter="0" w:footer="0" w:header="0"/>
        </w:sectPr>
      </w:pPr>
    </w:p>
    <w:bookmarkStart w:id="35" w:name="page36"/>
    <w:bookmarkEnd w:id="3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Award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Arhaus, Inc. 2021 Equity Incentive Plan</w:t>
      </w:r>
    </w:p>
    <w:p>
      <w:pPr>
        <w:spacing w:after="0" w:line="2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color w:val="auto"/>
        </w:rPr>
        <w:t>Arhaus,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issues to the Participant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and Performance Share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as indicated in the accompanying letter. Each RSU and each PSU represents an unfunded, unsecured promise of the Company to deliver to the Participant one Share, subject to the vesting and other restrictions, terms, and conditions set forth in the Arhaus,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those set forth in this notice, including the Terms and Conditions of RSU Award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Terms and Conditions of PSU Award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respectively (collectively,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and an Award Agreement to be entered into by and between the Company and the Participant consistent with the terms and conditions herein. Any capitalized terms used in this Award Notice and not defined herein shall have the meanings ascribed to such terms in the Plan.</w:t>
      </w:r>
    </w:p>
    <w:p>
      <w:pPr>
        <w:spacing w:after="0" w:line="2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Participant acknowledges and agrees that the RSUs and PSUs are granted under and governed by the terms, and will be subject to the conditions set forth in the Award Notice, the Award Agreement and the Plan.</w:t>
      </w:r>
    </w:p>
    <w:p>
      <w:pPr>
        <w:sectPr>
          <w:pgSz w:w="11900" w:h="16838" w:orient="portrait"/>
          <w:cols w:equalWidth="0" w:num="1">
            <w:col w:w="11240"/>
          </w:cols>
          <w:pgMar w:left="320" w:top="365" w:right="33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Terms and Conditions of RSU Award</w:t>
      </w:r>
    </w:p>
    <w:p>
      <w:pPr>
        <w:spacing w:after="0" w:line="278" w:lineRule="exact"/>
        <w:rPr>
          <w:sz w:val="20"/>
          <w:szCs w:val="20"/>
          <w:color w:val="auto"/>
        </w:rPr>
      </w:pPr>
    </w:p>
    <w:p>
      <w:pPr>
        <w:ind w:right="60" w:firstLine="656"/>
        <w:spacing w:after="0" w:line="278" w:lineRule="auto"/>
        <w:tabs>
          <w:tab w:leader="none" w:pos="86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Subject in each case to the Participant’s Continuous Service on each applicable vesting date, the RSUs awarded under this Award Notice shall vest in accordance with the schedule set forth below unless, prior to any vesting date set forth, the applicable RSUs are forfeited or have become subject to accelerated vesting under the terms and conditions of the Plan or otherwise herein:</w:t>
      </w:r>
    </w:p>
    <w:p>
      <w:pPr>
        <w:spacing w:after="0" w:line="145" w:lineRule="exact"/>
        <w:rPr>
          <w:sz w:val="20"/>
          <w:szCs w:val="20"/>
          <w:color w:val="auto"/>
        </w:rPr>
      </w:pPr>
    </w:p>
    <w:tbl>
      <w:tblPr>
        <w:tblLayout w:type="fixed"/>
        <w:tblInd w:w="2610" w:type="dxa"/>
        <w:tblCellMar>
          <w:top w:w="0" w:type="dxa"/>
          <w:left w:w="0" w:type="dxa"/>
          <w:bottom w:w="0" w:type="dxa"/>
          <w:right w:w="0" w:type="dxa"/>
        </w:tblCellMar>
      </w:tblPr>
      <w:tr>
        <w:trPr>
          <w:trHeight w:val="248"/>
        </w:trPr>
        <w:tc>
          <w:tcPr>
            <w:tcW w:w="2080" w:type="dxa"/>
            <w:vAlign w:val="bottom"/>
            <w:tcBorders>
              <w:top w:val="single" w:sz="8" w:color="00000A"/>
              <w:left w:val="single" w:sz="8" w:color="00000A"/>
              <w:right w:val="single" w:sz="8" w:color="00000A"/>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6"/>
              </w:rPr>
              <w:t>Vesting Date</w:t>
            </w:r>
          </w:p>
        </w:tc>
        <w:tc>
          <w:tcPr>
            <w:tcW w:w="2200" w:type="dxa"/>
            <w:vAlign w:val="bottom"/>
            <w:tcBorders>
              <w:top w:val="single" w:sz="8" w:color="00000A"/>
              <w:right w:val="single" w:sz="8" w:color="00000A"/>
            </w:tcBorders>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6"/>
              </w:rPr>
              <w:t>Vesting Percentage</w:t>
            </w:r>
          </w:p>
        </w:tc>
      </w:tr>
      <w:tr>
        <w:trPr>
          <w:trHeight w:val="203"/>
        </w:trPr>
        <w:tc>
          <w:tcPr>
            <w:tcW w:w="2080" w:type="dxa"/>
            <w:vAlign w:val="bottom"/>
            <w:tcBorders>
              <w:left w:val="single" w:sz="8" w:color="00000A"/>
              <w:right w:val="single" w:sz="8" w:color="00000A"/>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(Annual Anniversaries of</w:t>
            </w:r>
          </w:p>
        </w:tc>
        <w:tc>
          <w:tcPr>
            <w:tcW w:w="2200" w:type="dxa"/>
            <w:vAlign w:val="bottom"/>
            <w:tcBorders>
              <w:right w:val="single" w:sz="8" w:color="00000A"/>
            </w:tcBorders>
          </w:tcPr>
          <w:p>
            <w:pPr>
              <w:spacing w:after="0"/>
              <w:rPr>
                <w:sz w:val="17"/>
                <w:szCs w:val="17"/>
                <w:color w:val="auto"/>
              </w:rPr>
            </w:pPr>
          </w:p>
        </w:tc>
      </w:tr>
      <w:tr>
        <w:trPr>
          <w:trHeight w:val="238"/>
        </w:trPr>
        <w:tc>
          <w:tcPr>
            <w:tcW w:w="20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Grant Date)</w:t>
            </w:r>
          </w:p>
        </w:tc>
        <w:tc>
          <w:tcPr>
            <w:tcW w:w="2200" w:type="dxa"/>
            <w:vAlign w:val="bottom"/>
            <w:tcBorders>
              <w:right w:val="single" w:sz="8" w:color="00000A"/>
            </w:tcBorders>
          </w:tcPr>
          <w:p>
            <w:pPr>
              <w:spacing w:after="0"/>
              <w:rPr>
                <w:sz w:val="20"/>
                <w:szCs w:val="20"/>
                <w:color w:val="auto"/>
              </w:rPr>
            </w:pPr>
          </w:p>
        </w:tc>
      </w:tr>
      <w:tr>
        <w:trPr>
          <w:trHeight w:val="27"/>
        </w:trPr>
        <w:tc>
          <w:tcPr>
            <w:tcW w:w="2080" w:type="dxa"/>
            <w:vAlign w:val="bottom"/>
            <w:tcBorders>
              <w:left w:val="single" w:sz="8" w:color="00000A"/>
              <w:bottom w:val="single" w:sz="8" w:color="00000A"/>
              <w:right w:val="single" w:sz="8" w:color="00000A"/>
            </w:tcBorders>
          </w:tcPr>
          <w:p>
            <w:pPr>
              <w:spacing w:after="0"/>
              <w:rPr>
                <w:sz w:val="2"/>
                <w:szCs w:val="2"/>
                <w:color w:val="auto"/>
              </w:rPr>
            </w:pPr>
          </w:p>
        </w:tc>
        <w:tc>
          <w:tcPr>
            <w:tcW w:w="2200" w:type="dxa"/>
            <w:vAlign w:val="bottom"/>
            <w:tcBorders>
              <w:bottom w:val="single" w:sz="8" w:color="00000A"/>
              <w:right w:val="single" w:sz="8" w:color="00000A"/>
            </w:tcBorders>
          </w:tcPr>
          <w:p>
            <w:pPr>
              <w:spacing w:after="0"/>
              <w:rPr>
                <w:sz w:val="2"/>
                <w:szCs w:val="2"/>
                <w:color w:val="auto"/>
              </w:rPr>
            </w:pPr>
          </w:p>
        </w:tc>
      </w:tr>
      <w:tr>
        <w:trPr>
          <w:trHeight w:val="284"/>
        </w:trPr>
        <w:tc>
          <w:tcPr>
            <w:tcW w:w="20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First</w:t>
            </w:r>
          </w:p>
        </w:tc>
        <w:tc>
          <w:tcPr>
            <w:tcW w:w="22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33.33%</w:t>
            </w:r>
          </w:p>
        </w:tc>
      </w:tr>
      <w:tr>
        <w:trPr>
          <w:trHeight w:val="291"/>
        </w:trPr>
        <w:tc>
          <w:tcPr>
            <w:tcW w:w="20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Second</w:t>
            </w:r>
          </w:p>
        </w:tc>
        <w:tc>
          <w:tcPr>
            <w:tcW w:w="22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33.33%</w:t>
            </w:r>
          </w:p>
        </w:tc>
      </w:tr>
      <w:tr>
        <w:trPr>
          <w:trHeight w:val="290"/>
        </w:trPr>
        <w:tc>
          <w:tcPr>
            <w:tcW w:w="20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Third</w:t>
            </w:r>
          </w:p>
        </w:tc>
        <w:tc>
          <w:tcPr>
            <w:tcW w:w="22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33.34%</w:t>
            </w:r>
          </w:p>
        </w:tc>
      </w:tr>
    </w:tbl>
    <w:p>
      <w:pPr>
        <w:spacing w:after="0" w:line="200" w:lineRule="exact"/>
        <w:rPr>
          <w:sz w:val="20"/>
          <w:szCs w:val="20"/>
          <w:color w:val="auto"/>
        </w:rPr>
      </w:pPr>
    </w:p>
    <w:p>
      <w:pPr>
        <w:spacing w:after="0" w:line="353" w:lineRule="exact"/>
        <w:rPr>
          <w:sz w:val="20"/>
          <w:szCs w:val="20"/>
          <w:color w:val="auto"/>
        </w:rPr>
      </w:pPr>
    </w:p>
    <w:p>
      <w:pPr>
        <w:ind w:right="380" w:firstLine="656"/>
        <w:spacing w:after="0" w:line="275" w:lineRule="auto"/>
        <w:tabs>
          <w:tab w:leader="none" w:pos="8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Continuous Service.</w:t>
      </w:r>
      <w:r>
        <w:rPr>
          <w:rFonts w:ascii="Times New Roman" w:cs="Times New Roman" w:eastAsia="Times New Roman" w:hAnsi="Times New Roman"/>
          <w:sz w:val="22"/>
          <w:szCs w:val="22"/>
          <w:color w:val="auto"/>
        </w:rPr>
        <w:t xml:space="preserve"> The Company grants the Participant RSUs in consideration for services to be rendered by the Participant to the Company. If a Participant’s Continuous Service terminates for any reason other than death, Disability or in connection with a Change in Control (as such terms are defined in the Plan) pursuant to the provisions below, unless the Committee, or, if applicable, its designee, determines otherwise, all RSUs that are unvested at the time of such termination shall be forfeited and canceled immediately.</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If a Participant’s Continuous Service terminates due to death or Disability, any unvested RSUs will become fully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vested.</w:t>
      </w:r>
    </w:p>
    <w:p>
      <w:pPr>
        <w:spacing w:after="0" w:line="193" w:lineRule="exact"/>
        <w:rPr>
          <w:sz w:val="20"/>
          <w:szCs w:val="20"/>
          <w:color w:val="auto"/>
        </w:rPr>
      </w:pPr>
    </w:p>
    <w:p>
      <w:pPr>
        <w:ind w:firstLine="656"/>
        <w:spacing w:after="0" w:line="291" w:lineRule="auto"/>
        <w:tabs>
          <w:tab w:leader="none" w:pos="88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unless otherwise determined by the Committee, any unvested RSUs that are not assumed or substituted with a substantially equivalent award by the successor corporation will become fully vested immediately prior to the Change in Control. If a Participant’s Continuous Service is terminated without Cause (as defined in the Plan) within the sixty (60) days preceding or the twenty-four (24) months following the Change in Control, then any unvested RSUs shall vest upon the later of the date of the termination of Continuous Service and the date of the Change in Control.</w:t>
      </w:r>
    </w:p>
    <w:p>
      <w:pPr>
        <w:spacing w:after="0" w:line="116" w:lineRule="exact"/>
        <w:rPr>
          <w:sz w:val="20"/>
          <w:szCs w:val="20"/>
          <w:color w:val="auto"/>
        </w:rPr>
      </w:pPr>
    </w:p>
    <w:p>
      <w:pPr>
        <w:ind w:right="280" w:firstLine="656"/>
        <w:spacing w:after="0" w:line="282" w:lineRule="auto"/>
        <w:tabs>
          <w:tab w:leader="none" w:pos="86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xml:space="preserve"> If the Company declares a dividend (ordinary or extraordinary, whether in cash, securities, or other property) or distribution of other rights for which the record date is prior to the date the RSUs are vested, dividend equivalents will be credited to the Participant and paid or distributed if and when the underlying RSUs vest.</w:t>
      </w:r>
    </w:p>
    <w:p>
      <w:pPr>
        <w:spacing w:after="0" w:line="120" w:lineRule="exact"/>
        <w:rPr>
          <w:rFonts w:ascii="Times New Roman" w:cs="Times New Roman" w:eastAsia="Times New Roman" w:hAnsi="Times New Roman"/>
          <w:sz w:val="22"/>
          <w:szCs w:val="22"/>
          <w:color w:val="auto"/>
        </w:rPr>
      </w:pPr>
    </w:p>
    <w:p>
      <w:pPr>
        <w:ind w:right="560" w:firstLine="656"/>
        <w:spacing w:after="0" w:line="322" w:lineRule="auto"/>
        <w:tabs>
          <w:tab w:leader="none" w:pos="86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RSUs Non-Transferable.</w:t>
      </w:r>
      <w:r>
        <w:rPr>
          <w:rFonts w:ascii="Times New Roman" w:cs="Times New Roman" w:eastAsia="Times New Roman" w:hAnsi="Times New Roman"/>
          <w:sz w:val="21"/>
          <w:szCs w:val="21"/>
          <w:color w:val="auto"/>
        </w:rPr>
        <w:t xml:space="preserve"> The Participant shall not directly or indirectly sell, transfer, pledge, assign, or otherwise encumber the RSUs or any interest in them, or make any commitment or agreement to do any of the foregoing.</w:t>
      </w:r>
    </w:p>
    <w:p>
      <w:pPr>
        <w:sectPr>
          <w:pgSz w:w="11900" w:h="16838" w:orient="portrait"/>
          <w:cols w:equalWidth="0" w:num="1">
            <w:col w:w="11200"/>
          </w:cols>
          <w:pgMar w:left="320" w:top="1175" w:right="379" w:bottom="1440" w:gutter="0" w:footer="0" w:header="0"/>
        </w:sectPr>
      </w:pPr>
    </w:p>
    <w:bookmarkStart w:id="37" w:name="page38"/>
    <w:bookmarkEnd w:id="37"/>
    <w:p>
      <w:pPr>
        <w:ind w:left="-656" w:right="80" w:firstLine="656"/>
        <w:spacing w:after="0" w:line="288" w:lineRule="auto"/>
        <w:tabs>
          <w:tab w:leader="none" w:pos="20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Tax Withholding.</w:t>
      </w:r>
      <w:r>
        <w:rPr>
          <w:rFonts w:ascii="Times New Roman" w:cs="Times New Roman" w:eastAsia="Times New Roman" w:hAnsi="Times New Roman"/>
          <w:sz w:val="21"/>
          <w:szCs w:val="21"/>
          <w:color w:val="auto"/>
        </w:rPr>
        <w:t xml:space="preserve"> The Company shall, as soon as practicable upon the vesting of any RSUs, effect delivery of Shares to fully settle such vested RSUs to the Participant (or, in the event of the Participant’s death, to the Beneficiary). No Shares will be issued pursuant to this Award Notice unless and until all legal requirements applicable to such issuance have been complied with to the satisfaction of the Committee. Unless otherwise provided by the Committee, the Company shall have the power and the right to deduct or withhold automatically from any amount deliverable pursuant to settlement of the RSUs, or require Participant to remit to the Company, the minimum statutory amount to satisfy federal, state, and local taxes, required by law or regulation to be withheld with respect to any taxable event arising as a result of the settlement of the RSUs.</w:t>
      </w:r>
    </w:p>
    <w:p>
      <w:pPr>
        <w:spacing w:after="0" w:line="118" w:lineRule="exact"/>
        <w:rPr>
          <w:rFonts w:ascii="Times New Roman" w:cs="Times New Roman" w:eastAsia="Times New Roman" w:hAnsi="Times New Roman"/>
          <w:sz w:val="21"/>
          <w:szCs w:val="21"/>
          <w:color w:val="auto"/>
        </w:rPr>
      </w:pPr>
    </w:p>
    <w:p>
      <w:pPr>
        <w:ind w:left="-656" w:firstLine="656"/>
        <w:spacing w:after="0" w:line="278" w:lineRule="auto"/>
        <w:tabs>
          <w:tab w:leader="none" w:pos="2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xml:space="preserve"> Except as set forth in this Award Notice or the Plan, no Participant or Beneficiary shall have any rights as a stockholder with respect to Shares subject to RSUs until such Shares are delivered to the Participant or the Beneficiary. Prior to actual settlement of any RSUs that have vested, the RSUs represent an unsecured and unfunded obligation of the Company.</w:t>
      </w:r>
    </w:p>
    <w:p>
      <w:pPr>
        <w:spacing w:after="0" w:line="110" w:lineRule="exact"/>
        <w:rPr>
          <w:rFonts w:ascii="Times New Roman" w:cs="Times New Roman" w:eastAsia="Times New Roman" w:hAnsi="Times New Roman"/>
          <w:sz w:val="22"/>
          <w:szCs w:val="22"/>
          <w:color w:val="auto"/>
        </w:rPr>
      </w:pPr>
    </w:p>
    <w:p>
      <w:pPr>
        <w:ind w:left="-656" w:right="40" w:firstLine="656"/>
        <w:spacing w:after="0" w:line="274" w:lineRule="auto"/>
        <w:tabs>
          <w:tab w:leader="none" w:pos="2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This Award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Award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30" w:lineRule="exact"/>
        <w:rPr>
          <w:rFonts w:ascii="Times New Roman" w:cs="Times New Roman" w:eastAsia="Times New Roman" w:hAnsi="Times New Roman"/>
          <w:sz w:val="22"/>
          <w:szCs w:val="22"/>
          <w:color w:val="auto"/>
        </w:rPr>
      </w:pPr>
    </w:p>
    <w:p>
      <w:pPr>
        <w:ind w:left="-656" w:right="120" w:firstLine="656"/>
        <w:spacing w:after="0" w:line="275" w:lineRule="auto"/>
        <w:tabs>
          <w:tab w:leader="none" w:pos="2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xml:space="preserve"> The Participant hereby explicitly and unambiguously consents to the collection, use, and transfer, in electronic or other form, of his or her personal information </w:t>
      </w:r>
      <w:r>
        <w:rPr>
          <w:rFonts w:ascii="Times New Roman" w:cs="Times New Roman" w:eastAsia="Times New Roman" w:hAnsi="Times New Roman"/>
          <w:sz w:val="19"/>
          <w:szCs w:val="19"/>
          <w:color w:val="auto"/>
        </w:rPr>
        <w:t>that is</w:t>
      </w:r>
      <w:r>
        <w:rPr>
          <w:rFonts w:ascii="Times New Roman" w:cs="Times New Roman" w:eastAsia="Times New Roman" w:hAnsi="Times New Roman"/>
          <w:sz w:val="22"/>
          <w:szCs w:val="22"/>
          <w:color w:val="auto"/>
        </w:rPr>
        <w:t xml:space="preserve"> necessary for the purpose of implementing, administering, and managing the Participant’s participation in the Plan by and among, as applicable, the Company and its Affiliates. The Participant authorizes the Company and its Affiliates to transfer such personal information to third parties that assist in the implementation, administration, and management of the Plan.</w:t>
      </w:r>
    </w:p>
    <w:p>
      <w:pPr>
        <w:spacing w:after="0" w:line="130" w:lineRule="exact"/>
        <w:rPr>
          <w:rFonts w:ascii="Times New Roman" w:cs="Times New Roman" w:eastAsia="Times New Roman" w:hAnsi="Times New Roman"/>
          <w:sz w:val="22"/>
          <w:szCs w:val="22"/>
          <w:color w:val="auto"/>
        </w:rPr>
      </w:pPr>
    </w:p>
    <w:p>
      <w:pPr>
        <w:ind w:left="-656" w:right="100" w:firstLine="656"/>
        <w:spacing w:after="0" w:line="275" w:lineRule="auto"/>
        <w:tabs>
          <w:tab w:leader="none" w:pos="20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xml:space="preserve"> The Company may, in its sole discretion, decide to deliver any documents related to the RSUs granted under the Plan and participation in the Plan, or future RSUs that may be granted under the Plan, by electronic means. The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Times New Roman" w:cs="Times New Roman" w:eastAsia="Times New Roman" w:hAnsi="Times New Roman"/>
          <w:sz w:val="22"/>
          <w:szCs w:val="22"/>
          <w:b w:val="1"/>
          <w:bCs w:val="1"/>
          <w:color w:val="auto"/>
        </w:rPr>
        <w:t>.</w:t>
      </w:r>
    </w:p>
    <w:p>
      <w:pPr>
        <w:spacing w:after="0" w:line="130" w:lineRule="exact"/>
        <w:rPr>
          <w:rFonts w:ascii="Times New Roman" w:cs="Times New Roman" w:eastAsia="Times New Roman" w:hAnsi="Times New Roman"/>
          <w:sz w:val="22"/>
          <w:szCs w:val="22"/>
          <w:color w:val="auto"/>
        </w:rPr>
      </w:pPr>
    </w:p>
    <w:p>
      <w:pPr>
        <w:jc w:val="both"/>
        <w:ind w:left="-656" w:right="200" w:firstLine="656"/>
        <w:spacing w:after="0" w:line="282" w:lineRule="auto"/>
        <w:tabs>
          <w:tab w:leader="none" w:pos="31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 Agreement.</w:t>
      </w:r>
      <w:r>
        <w:rPr>
          <w:rFonts w:ascii="Times New Roman" w:cs="Times New Roman" w:eastAsia="Times New Roman" w:hAnsi="Times New Roman"/>
          <w:sz w:val="22"/>
          <w:szCs w:val="22"/>
          <w:color w:val="auto"/>
        </w:rPr>
        <w:t xml:space="preserve"> In consideration for the RSUs that Participant is receiving under this Award Notice, Participant will be required to enter into a confidentiality, non-compete and non-solicitation agreement with the Company.</w:t>
      </w:r>
    </w:p>
    <w:p>
      <w:pPr>
        <w:sectPr>
          <w:pgSz w:w="11900" w:h="16838" w:orient="portrait"/>
          <w:cols w:equalWidth="0" w:num="1">
            <w:col w:w="10584"/>
          </w:cols>
          <w:pgMar w:left="976" w:top="134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PSU Award</w:t>
      </w:r>
    </w:p>
    <w:p>
      <w:pPr>
        <w:spacing w:after="0" w:line="278" w:lineRule="exact"/>
        <w:rPr>
          <w:sz w:val="20"/>
          <w:szCs w:val="20"/>
          <w:color w:val="auto"/>
        </w:rPr>
      </w:pPr>
    </w:p>
    <w:p>
      <w:pPr>
        <w:ind w:left="-20" w:firstLine="656"/>
        <w:spacing w:after="0" w:line="278" w:lineRule="auto"/>
        <w:tabs>
          <w:tab w:leader="none" w:pos="8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Period; Vesting; Payout.</w:t>
      </w:r>
      <w:r>
        <w:rPr>
          <w:rFonts w:ascii="Times New Roman" w:cs="Times New Roman" w:eastAsia="Times New Roman" w:hAnsi="Times New Roman"/>
          <w:sz w:val="22"/>
          <w:szCs w:val="22"/>
          <w:color w:val="auto"/>
        </w:rPr>
        <w:t xml:space="preserve"> January 1, 2022 through December 31, 2024 is the applicable performance period for the PSUs. Subject in each case to the Participant’s Continuous Service, the PSUs awarded under this Award Notice shall vest on December 31, 2024, but will not settle and payout until the number of PSUs earned is determined by the Committee based on the Company’s performance during the Performance Period as described below.</w:t>
      </w:r>
    </w:p>
    <w:p>
      <w:pPr>
        <w:spacing w:after="0" w:line="124" w:lineRule="exact"/>
        <w:rPr>
          <w:sz w:val="20"/>
          <w:szCs w:val="20"/>
          <w:color w:val="auto"/>
        </w:rPr>
      </w:pPr>
    </w:p>
    <w:p>
      <w:pPr>
        <w:ind w:left="-20" w:right="280" w:firstLine="656"/>
        <w:spacing w:after="0" w:line="282" w:lineRule="auto"/>
        <w:tabs>
          <w:tab w:leader="none" w:pos="85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90 days after the end of the Performance Period, the Committee shall determine and certify the level of attainment, if any, of the Performance Goals set forth herein and the resulting number of PSUs earned. Payouts between performance levels will be determined based on straight line interpolation.</w:t>
      </w:r>
    </w:p>
    <w:p>
      <w:pPr>
        <w:spacing w:after="0" w:line="120" w:lineRule="exact"/>
        <w:rPr>
          <w:rFonts w:ascii="Times New Roman" w:cs="Times New Roman" w:eastAsia="Times New Roman" w:hAnsi="Times New Roman"/>
          <w:sz w:val="22"/>
          <w:szCs w:val="22"/>
          <w:color w:val="auto"/>
        </w:rPr>
      </w:pPr>
    </w:p>
    <w:p>
      <w:pPr>
        <w:ind w:left="-20" w:right="60" w:firstLine="656"/>
        <w:spacing w:after="0" w:line="295" w:lineRule="auto"/>
        <w:tabs>
          <w:tab w:leader="none" w:pos="862"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modify a Performance Goal, in whole or in part, as it deems appropriate, if it determines that a change in the business, operations, corporate structure or capital structure of the Company or the manner in which the Company conducts its business, or other unusual or non-recurring events or circumstances render the Performance Goal(s) to be unsuitable.</w:t>
      </w:r>
    </w:p>
    <w:p>
      <w:pPr>
        <w:spacing w:after="0" w:line="108" w:lineRule="exact"/>
        <w:rPr>
          <w:rFonts w:ascii="Times New Roman" w:cs="Times New Roman" w:eastAsia="Times New Roman" w:hAnsi="Times New Roman"/>
          <w:sz w:val="21"/>
          <w:szCs w:val="21"/>
          <w:color w:val="auto"/>
        </w:rPr>
      </w:pPr>
    </w:p>
    <w:p>
      <w:pPr>
        <w:ind w:left="-20" w:right="860" w:firstLine="656"/>
        <w:spacing w:after="0" w:line="296" w:lineRule="auto"/>
        <w:tabs>
          <w:tab w:leader="none" w:pos="85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as to the extent Performance Goals have been achieved, the number of PSUs earned by the Participant, and all other matters related such determination shall be made by the Committee in its sole discretion.</w:t>
      </w:r>
    </w:p>
    <w:p>
      <w:pPr>
        <w:spacing w:after="0" w:line="104" w:lineRule="exact"/>
        <w:rPr>
          <w:rFonts w:ascii="Times New Roman" w:cs="Times New Roman" w:eastAsia="Times New Roman" w:hAnsi="Times New Roman"/>
          <w:sz w:val="22"/>
          <w:szCs w:val="22"/>
          <w:color w:val="auto"/>
        </w:rPr>
      </w:pPr>
    </w:p>
    <w:p>
      <w:pPr>
        <w:ind w:left="-20" w:right="120" w:firstLine="656"/>
        <w:spacing w:after="0" w:line="296" w:lineRule="auto"/>
        <w:tabs>
          <w:tab w:leader="none" w:pos="86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Goals and the applicable target level (“Target”) for the Performance Period are set forth on Schedule 1 attached hereto.</w:t>
      </w:r>
    </w:p>
    <w:p>
      <w:pPr>
        <w:spacing w:after="0" w:line="104" w:lineRule="exact"/>
        <w:rPr>
          <w:rFonts w:ascii="Times New Roman" w:cs="Times New Roman" w:eastAsia="Times New Roman" w:hAnsi="Times New Roman"/>
          <w:sz w:val="22"/>
          <w:szCs w:val="22"/>
          <w:color w:val="auto"/>
        </w:rPr>
      </w:pPr>
    </w:p>
    <w:p>
      <w:pPr>
        <w:ind w:left="-20" w:right="60" w:firstLine="656"/>
        <w:spacing w:after="0" w:line="296" w:lineRule="auto"/>
        <w:tabs>
          <w:tab w:leader="none" w:pos="85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payout to the Participant the percentage of the Participant’s Target Award that corresponds with the Company’s performance on each Performance Goal during the Performance Period as set forth on Schedule 1.</w:t>
      </w:r>
    </w:p>
    <w:p>
      <w:pPr>
        <w:sectPr>
          <w:pgSz w:w="11900" w:h="16838" w:orient="portrait"/>
          <w:cols w:equalWidth="0" w:num="1">
            <w:col w:w="11220"/>
          </w:cols>
          <w:pgMar w:left="340" w:top="1175" w:right="339" w:bottom="1440" w:gutter="0" w:footer="0" w:header="0"/>
        </w:sectPr>
      </w:pPr>
    </w:p>
    <w:bookmarkStart w:id="39" w:name="page40"/>
    <w:bookmarkEnd w:id="39"/>
    <w:p>
      <w:pPr>
        <w:jc w:val="both"/>
        <w:ind w:left="-656" w:right="320" w:firstLine="656"/>
        <w:spacing w:after="0" w:line="295" w:lineRule="auto"/>
        <w:tabs>
          <w:tab w:leader="none" w:pos="20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Continuous Service.</w:t>
      </w:r>
      <w:r>
        <w:rPr>
          <w:rFonts w:ascii="Times New Roman" w:cs="Times New Roman" w:eastAsia="Times New Roman" w:hAnsi="Times New Roman"/>
          <w:sz w:val="21"/>
          <w:szCs w:val="21"/>
          <w:color w:val="auto"/>
        </w:rPr>
        <w:t xml:space="preserve"> The Company grants the Participant PSUs in consideration of the services to be rendered by the Participant to the Company. If a Participant’s Continuous Service terminates for any reason other than: (i) for Cause; (ii) death; (iii) Disability; or (iv) in connection with a Change in Control, unless the Committee, or, if applicable, its designee, determines otherwise, all unvested PSUs shall be forfeited and canceled immediately without consideration.</w:t>
      </w:r>
    </w:p>
    <w:p>
      <w:pPr>
        <w:spacing w:after="0" w:line="109" w:lineRule="exact"/>
        <w:rPr>
          <w:sz w:val="20"/>
          <w:szCs w:val="20"/>
          <w:color w:val="auto"/>
        </w:rPr>
      </w:pPr>
    </w:p>
    <w:p>
      <w:pPr>
        <w:ind w:left="-656" w:right="580" w:firstLine="656"/>
        <w:spacing w:after="0" w:line="296" w:lineRule="auto"/>
        <w:tabs>
          <w:tab w:leader="none" w:pos="2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Participant’s Continuous Service terminates for Cause, the PSUs, whether or not vested, will be forfeited and canceled immediately without consideration.</w:t>
      </w:r>
    </w:p>
    <w:p>
      <w:pPr>
        <w:spacing w:after="0" w:line="104" w:lineRule="exact"/>
        <w:rPr>
          <w:rFonts w:ascii="Times New Roman" w:cs="Times New Roman" w:eastAsia="Times New Roman" w:hAnsi="Times New Roman"/>
          <w:sz w:val="22"/>
          <w:szCs w:val="22"/>
          <w:color w:val="auto"/>
        </w:rPr>
      </w:pPr>
    </w:p>
    <w:p>
      <w:pPr>
        <w:ind w:left="-656" w:right="80" w:firstLine="656"/>
        <w:spacing w:after="0" w:line="295" w:lineRule="auto"/>
        <w:tabs>
          <w:tab w:leader="none" w:pos="22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Participant’s Continuous Service terminates due to death prior to the end of the Performance Period, the PSUs will be earned and paid immediately based on Target performance level. If the Participant’s Continuous Service terminates due to death after the Performance Period, but prior to payout, the PSUs will be earned and paid in accordance with this Exhibit B subject to actual achievement of the Performance Goal as if the Participant's Continuous Service had not terminated.</w:t>
      </w:r>
    </w:p>
    <w:p>
      <w:pPr>
        <w:spacing w:after="0" w:line="108" w:lineRule="exact"/>
        <w:rPr>
          <w:rFonts w:ascii="Times New Roman" w:cs="Times New Roman" w:eastAsia="Times New Roman" w:hAnsi="Times New Roman"/>
          <w:sz w:val="21"/>
          <w:szCs w:val="21"/>
          <w:color w:val="auto"/>
        </w:rPr>
      </w:pPr>
    </w:p>
    <w:p>
      <w:pPr>
        <w:ind w:left="-656" w:right="60" w:firstLine="656"/>
        <w:spacing w:after="0" w:line="276" w:lineRule="auto"/>
        <w:tabs>
          <w:tab w:leader="none" w:pos="2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Participant’s Continuous Service terminates due to Disability, the PSUs will be earned and paid in accordance with this Exhibit B subject to actual achievement of the Performance Goal as if the Participant's Continuous Service had not terminated.</w:t>
      </w:r>
    </w:p>
    <w:p>
      <w:pPr>
        <w:spacing w:after="0" w:line="126" w:lineRule="exact"/>
        <w:rPr>
          <w:rFonts w:ascii="Times New Roman" w:cs="Times New Roman" w:eastAsia="Times New Roman" w:hAnsi="Times New Roman"/>
          <w:sz w:val="22"/>
          <w:szCs w:val="22"/>
          <w:color w:val="auto"/>
        </w:rPr>
      </w:pPr>
    </w:p>
    <w:p>
      <w:pPr>
        <w:ind w:left="-656" w:right="60" w:firstLine="656"/>
        <w:spacing w:after="0" w:line="272" w:lineRule="auto"/>
        <w:tabs>
          <w:tab w:leader="none" w:pos="2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Control, unless otherwise determined by the Committee, unvested PSUs that are not assumed or substituted with a substantially equivalent award by the successor corporation will be earned and paid immediately prior to the Change in Control based on the greater of: (i) Target or (ii) the level of attainment of Performance Goals at the time of the Change in Control as determined by the Committee in good faith. If a Participant’s Continuous Service is terminated without Cause (as defined in the Plan) within the sixty (60) days preceding or the twenty-four (24) months following the Change in Control, unvested PSUs will be earned and paid in accordance with this Exhibit B based on the greater of: (i) Target or (ii) the level of attainment of Performance Goals at the conclusion of the Performance Period as determined by the Committee in good faith.</w:t>
      </w:r>
    </w:p>
    <w:p>
      <w:pPr>
        <w:spacing w:after="0" w:line="136" w:lineRule="exact"/>
        <w:rPr>
          <w:sz w:val="20"/>
          <w:szCs w:val="20"/>
          <w:color w:val="auto"/>
        </w:rPr>
      </w:pPr>
    </w:p>
    <w:p>
      <w:pPr>
        <w:ind w:left="-656" w:right="320" w:firstLine="656"/>
        <w:spacing w:after="0" w:line="282" w:lineRule="auto"/>
        <w:tabs>
          <w:tab w:leader="none" w:pos="20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xml:space="preserve"> If the Company declares a dividend (ordinary or extraordinary, whether in cash, securities, or other property) or distribution of other rights for which the record date is prior to the date the PSUs are vested, dividend equivalents will be credited to the Participant and paid or distributed if and when the underlying PSUs are paid out.</w:t>
      </w:r>
    </w:p>
    <w:p>
      <w:pPr>
        <w:spacing w:after="0" w:line="120" w:lineRule="exact"/>
        <w:rPr>
          <w:rFonts w:ascii="Times New Roman" w:cs="Times New Roman" w:eastAsia="Times New Roman" w:hAnsi="Times New Roman"/>
          <w:sz w:val="22"/>
          <w:szCs w:val="22"/>
          <w:color w:val="auto"/>
        </w:rPr>
      </w:pPr>
    </w:p>
    <w:p>
      <w:pPr>
        <w:ind w:left="-656" w:right="600" w:firstLine="656"/>
        <w:spacing w:after="0" w:line="322" w:lineRule="auto"/>
        <w:tabs>
          <w:tab w:leader="none" w:pos="20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PSUs Non-Transferable.</w:t>
      </w:r>
      <w:r>
        <w:rPr>
          <w:rFonts w:ascii="Times New Roman" w:cs="Times New Roman" w:eastAsia="Times New Roman" w:hAnsi="Times New Roman"/>
          <w:sz w:val="21"/>
          <w:szCs w:val="21"/>
          <w:color w:val="auto"/>
        </w:rPr>
        <w:t xml:space="preserve"> The Participant shall not directly or indirectly sell, transfer, pledge, assign, or otherwise encumber the PSUs or any interest in them, or make any commitment or agreement to do any of the foregoing.</w:t>
      </w:r>
    </w:p>
    <w:p>
      <w:pPr>
        <w:spacing w:after="0" w:line="81" w:lineRule="exact"/>
        <w:rPr>
          <w:rFonts w:ascii="Times New Roman" w:cs="Times New Roman" w:eastAsia="Times New Roman" w:hAnsi="Times New Roman"/>
          <w:sz w:val="21"/>
          <w:szCs w:val="21"/>
          <w:color w:val="auto"/>
        </w:rPr>
      </w:pPr>
    </w:p>
    <w:p>
      <w:pPr>
        <w:ind w:left="-656" w:firstLine="656"/>
        <w:spacing w:after="0" w:line="302" w:lineRule="auto"/>
        <w:tabs>
          <w:tab w:leader="none" w:pos="20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Tax Withholding.</w:t>
      </w:r>
      <w:r>
        <w:rPr>
          <w:rFonts w:ascii="Times New Roman" w:cs="Times New Roman" w:eastAsia="Times New Roman" w:hAnsi="Times New Roman"/>
          <w:sz w:val="21"/>
          <w:szCs w:val="21"/>
          <w:color w:val="auto"/>
        </w:rPr>
        <w:t xml:space="preserve"> The Company shall, as soon as practicable following the determination by the Committee of the achievement of the Performance Goals pursuant to paragraph 1, effect delivery of Shares to fully settle the PSUs earned to the Participant (or, in the event of the Participant’s death, to the Beneficiary). No Shares will be issued pursuant to this</w:t>
      </w:r>
    </w:p>
    <w:p>
      <w:pPr>
        <w:sectPr>
          <w:pgSz w:w="11900" w:h="16838" w:orient="portrait"/>
          <w:cols w:equalWidth="0" w:num="1">
            <w:col w:w="10564"/>
          </w:cols>
          <w:pgMar w:left="976" w:top="1179" w:right="359" w:bottom="1440" w:gutter="0" w:footer="0" w:header="0"/>
        </w:sectPr>
      </w:pPr>
    </w:p>
    <w:bookmarkStart w:id="40" w:name="page41"/>
    <w:bookmarkEnd w:id="40"/>
    <w:p>
      <w:pPr>
        <w:ind w:right="240"/>
        <w:spacing w:after="0" w:line="275" w:lineRule="auto"/>
        <w:rPr>
          <w:sz w:val="20"/>
          <w:szCs w:val="20"/>
          <w:color w:val="auto"/>
        </w:rPr>
      </w:pPr>
      <w:r>
        <w:rPr>
          <w:rFonts w:ascii="Times New Roman" w:cs="Times New Roman" w:eastAsia="Times New Roman" w:hAnsi="Times New Roman"/>
          <w:sz w:val="22"/>
          <w:szCs w:val="22"/>
          <w:color w:val="auto"/>
        </w:rPr>
        <w:t>Award Notice unless and until all legal requirements applicable to such issuance have been complied with to the satisfaction of the Committee. Unless otherwise provided by the Committee, the Company shall have the power and the right to deduct or withhold automatically from any amount deliverable pursuant to settlement of the PSUs, or require Participant to remit to the Company, the minimum statutory amount to satisfy federal, state, and local taxes, required by law or regulation to be withheld with respect to any taxable event arising as a result of the settlement of the PSUs.</w:t>
      </w:r>
    </w:p>
    <w:p>
      <w:pPr>
        <w:spacing w:after="0" w:line="130" w:lineRule="exact"/>
        <w:rPr>
          <w:sz w:val="20"/>
          <w:szCs w:val="20"/>
          <w:color w:val="auto"/>
        </w:rPr>
      </w:pPr>
    </w:p>
    <w:p>
      <w:pPr>
        <w:ind w:firstLine="656"/>
        <w:spacing w:after="0" w:line="302" w:lineRule="auto"/>
        <w:tabs>
          <w:tab w:leader="none" w:pos="86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Rights.</w:t>
      </w:r>
      <w:r>
        <w:rPr>
          <w:rFonts w:ascii="Times New Roman" w:cs="Times New Roman" w:eastAsia="Times New Roman" w:hAnsi="Times New Roman"/>
          <w:sz w:val="21"/>
          <w:szCs w:val="21"/>
          <w:color w:val="auto"/>
        </w:rPr>
        <w:t xml:space="preserve"> Except as set forth in this Award Notice or the Plan, no Participant or Beneficiary shall have any rights as a stockholder with respect to Shares subject to PSUs until such Shares are delivered to the Participant or the Beneficiary. Prior to actual settlement of any PSUs, the PSUs represent an unsecured and unfunded obligation of the Company.</w:t>
      </w:r>
    </w:p>
    <w:p>
      <w:pPr>
        <w:spacing w:after="0" w:line="100" w:lineRule="exact"/>
        <w:rPr>
          <w:rFonts w:ascii="Times New Roman" w:cs="Times New Roman" w:eastAsia="Times New Roman" w:hAnsi="Times New Roman"/>
          <w:sz w:val="21"/>
          <w:szCs w:val="21"/>
          <w:color w:val="auto"/>
        </w:rPr>
      </w:pPr>
    </w:p>
    <w:p>
      <w:pPr>
        <w:ind w:right="20" w:firstLine="656"/>
        <w:spacing w:after="0" w:line="271" w:lineRule="auto"/>
        <w:tabs>
          <w:tab w:leader="none" w:pos="86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This Award is intended to comply with Section 409A of the Code or an exemption thereunder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Award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35" w:lineRule="exact"/>
        <w:rPr>
          <w:rFonts w:ascii="Times New Roman" w:cs="Times New Roman" w:eastAsia="Times New Roman" w:hAnsi="Times New Roman"/>
          <w:sz w:val="22"/>
          <w:szCs w:val="22"/>
          <w:color w:val="auto"/>
        </w:rPr>
      </w:pPr>
    </w:p>
    <w:p>
      <w:pPr>
        <w:ind w:right="100" w:firstLine="656"/>
        <w:spacing w:after="0" w:line="275" w:lineRule="auto"/>
        <w:tabs>
          <w:tab w:leader="none" w:pos="86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xml:space="preserve"> The Participant hereby explicitly and unambiguously consents to the collection, use, and transfer, in electronic or other form, of his or her personal information </w:t>
      </w:r>
      <w:r>
        <w:rPr>
          <w:rFonts w:ascii="Times New Roman" w:cs="Times New Roman" w:eastAsia="Times New Roman" w:hAnsi="Times New Roman"/>
          <w:sz w:val="19"/>
          <w:szCs w:val="19"/>
          <w:color w:val="auto"/>
        </w:rPr>
        <w:t>that is</w:t>
      </w:r>
      <w:r>
        <w:rPr>
          <w:rFonts w:ascii="Times New Roman" w:cs="Times New Roman" w:eastAsia="Times New Roman" w:hAnsi="Times New Roman"/>
          <w:sz w:val="22"/>
          <w:szCs w:val="22"/>
          <w:color w:val="auto"/>
        </w:rPr>
        <w:t xml:space="preserve"> necessary for the purpose of implementing, administering, and managing the Participant’s participation in the Plan by and among, as applicable, the Company and its Affiliates. The Participant authorizes the Company and its Affiliates to transfer such personal information to third parties that assist in the implementation, administration, and management of the Plan</w:t>
      </w:r>
    </w:p>
    <w:p>
      <w:pPr>
        <w:spacing w:after="0" w:line="130" w:lineRule="exact"/>
        <w:rPr>
          <w:rFonts w:ascii="Times New Roman" w:cs="Times New Roman" w:eastAsia="Times New Roman" w:hAnsi="Times New Roman"/>
          <w:sz w:val="22"/>
          <w:szCs w:val="22"/>
          <w:color w:val="auto"/>
        </w:rPr>
      </w:pPr>
    </w:p>
    <w:p>
      <w:pPr>
        <w:ind w:right="20" w:firstLine="656"/>
        <w:spacing w:after="0" w:line="275" w:lineRule="auto"/>
        <w:tabs>
          <w:tab w:leader="none" w:pos="86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xml:space="preserve"> The Company may, in its sole discretion, decide to deliver any documents related to the PSUs granted under the Plan and participation in the Plan, or future PSUs that may be granted under the Plan, by electronic means. The Participant hereby consents to receive such documents by electronic delivery and, if requested, to participate in the Plan through an online (and/or voice activated) system established and maintained by the Company or a third party designated by the Company</w:t>
      </w:r>
      <w:r>
        <w:rPr>
          <w:rFonts w:ascii="Times New Roman" w:cs="Times New Roman" w:eastAsia="Times New Roman" w:hAnsi="Times New Roman"/>
          <w:sz w:val="22"/>
          <w:szCs w:val="22"/>
          <w:b w:val="1"/>
          <w:bCs w:val="1"/>
          <w:color w:val="auto"/>
        </w:rPr>
        <w:t>.</w:t>
      </w:r>
    </w:p>
    <w:p>
      <w:pPr>
        <w:spacing w:after="0" w:line="130" w:lineRule="exact"/>
        <w:rPr>
          <w:rFonts w:ascii="Times New Roman" w:cs="Times New Roman" w:eastAsia="Times New Roman" w:hAnsi="Times New Roman"/>
          <w:sz w:val="22"/>
          <w:szCs w:val="22"/>
          <w:color w:val="auto"/>
        </w:rPr>
      </w:pPr>
    </w:p>
    <w:p>
      <w:pPr>
        <w:jc w:val="both"/>
        <w:ind w:right="200" w:firstLine="656"/>
        <w:spacing w:after="0" w:line="282" w:lineRule="auto"/>
        <w:tabs>
          <w:tab w:leader="none" w:pos="9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 Agreement</w:t>
      </w:r>
      <w:r>
        <w:rPr>
          <w:rFonts w:ascii="Times New Roman" w:cs="Times New Roman" w:eastAsia="Times New Roman" w:hAnsi="Times New Roman"/>
          <w:sz w:val="22"/>
          <w:szCs w:val="22"/>
          <w:color w:val="auto"/>
        </w:rPr>
        <w:t>. In consideration for the PSUs that Participant is receiving under this Award Notice, Participant will be required to enter into a confidentiality, non-compete and non-solicitation agreement with the Company.</w:t>
      </w:r>
    </w:p>
    <w:p>
      <w:pPr>
        <w:sectPr>
          <w:pgSz w:w="11900" w:h="16838" w:orient="portrait"/>
          <w:cols w:equalWidth="0" w:num="1">
            <w:col w:w="11220"/>
          </w:cols>
          <w:pgMar w:left="320" w:top="1341"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3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9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49" w:lineRule="exact"/>
        <w:rPr>
          <w:rFonts w:ascii="Times New Roman" w:cs="Times New Roman" w:eastAsia="Times New Roman" w:hAnsi="Times New Roman"/>
          <w:sz w:val="18"/>
          <w:szCs w:val="18"/>
          <w:color w:val="auto"/>
        </w:rPr>
      </w:pPr>
    </w:p>
    <w:p>
      <w:pPr>
        <w:jc w:val="both"/>
        <w:ind w:left="1300" w:right="220" w:hanging="320"/>
        <w:spacing w:after="0" w:line="306"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87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Dawn Phillipson, certify that:</w:t>
      </w:r>
    </w:p>
    <w:p>
      <w:pPr>
        <w:spacing w:after="0" w:line="13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140" w:hanging="328"/>
        <w:spacing w:after="0" w:line="28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9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49" w:lineRule="exact"/>
        <w:rPr>
          <w:rFonts w:ascii="Times New Roman" w:cs="Times New Roman" w:eastAsia="Times New Roman" w:hAnsi="Times New Roman"/>
          <w:sz w:val="18"/>
          <w:szCs w:val="18"/>
          <w:color w:val="auto"/>
        </w:rPr>
      </w:pPr>
    </w:p>
    <w:p>
      <w:pPr>
        <w:jc w:val="both"/>
        <w:ind w:left="1300" w:right="220" w:hanging="320"/>
        <w:spacing w:after="0" w:line="306" w:lineRule="auto"/>
        <w:tabs>
          <w:tab w:leader="none" w:pos="129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59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31"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June 30, 2022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John Reed</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Reed</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June 30, 2022 as filed with the Securities and Exchange Commission on the date hereof (the “Report”), I, Dawn Phillipson, Chief Financial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Dawn Phillipson</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Dawn Phillipson</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2022</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1)"/>
      <w:numFmt w:val="lowerLetter"/>
      <w:start w:val="2"/>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decimal"/>
      <w:start w:val="5"/>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decimal"/>
      <w:start w:val="6"/>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8" Type="http://schemas.openxmlformats.org/officeDocument/2006/relationships/hyperlink" Target="https://www.sec.gov/Archives/edgar/data/1875444/000187544421000004/exhibit31-arcertificateo.htm" TargetMode="External"/><Relationship Id="rId79"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2022-08-11T06:01:39Z</dcterms:created>
  <dcterms:modified xsi:type="dcterms:W3CDTF">2022-08-11T06:01:39Z</dcterms:modified>
</cp:coreProperties>
</file>