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412750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437515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10-Q/A</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60" w:lineRule="exact"/>
        <w:rPr>
          <w:sz w:val="24"/>
          <w:szCs w:val="24"/>
          <w:color w:val="auto"/>
        </w:rPr>
      </w:pPr>
    </w:p>
    <w:p>
      <w:pPr>
        <w:ind w:left="540" w:hanging="395"/>
        <w:spacing w:after="0"/>
        <w:tabs>
          <w:tab w:leader="none" w:pos="5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9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2023</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29" w:lineRule="exact"/>
        <w:rPr>
          <w:sz w:val="24"/>
          <w:szCs w:val="24"/>
          <w:color w:val="auto"/>
        </w:rPr>
      </w:pPr>
    </w:p>
    <w:p>
      <w:pPr>
        <w:ind w:left="80"/>
        <w:spacing w:after="0" w:line="211" w:lineRule="exact"/>
        <w:rPr>
          <w:sz w:val="20"/>
          <w:szCs w:val="20"/>
          <w:color w:val="auto"/>
        </w:rPr>
      </w:pPr>
      <w:r>
        <w:rPr>
          <w:rFonts w:ascii="MS PGothic" w:cs="MS PGothic" w:eastAsia="MS PGothic" w:hAnsi="MS PGothic"/>
          <w:sz w:val="21"/>
          <w:szCs w:val="21"/>
          <w:color w:val="auto"/>
        </w:rPr>
        <w:t>☐</w:t>
      </w:r>
    </w:p>
    <w:p>
      <w:pPr>
        <w:spacing w:after="0" w:line="135" w:lineRule="exact"/>
        <w:rPr>
          <w:sz w:val="24"/>
          <w:szCs w:val="24"/>
          <w:color w:val="auto"/>
        </w:rPr>
      </w:pPr>
    </w:p>
    <w:p>
      <w:pPr>
        <w:ind w:left="460" w:right="2100" w:hanging="53"/>
        <w:spacing w:after="0" w:line="540" w:lineRule="auto"/>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001-41009</w:t>
      </w:r>
    </w:p>
    <w:p>
      <w:pPr>
        <w:spacing w:after="0" w:line="1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Arhaus, Inc.</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186" w:lineRule="exact"/>
        <w:rPr>
          <w:sz w:val="24"/>
          <w:szCs w:val="24"/>
          <w:color w:val="auto"/>
        </w:rPr>
      </w:pPr>
    </w:p>
    <w:p>
      <w:pPr>
        <w:ind w:left="2480"/>
        <w:spacing w:after="0"/>
        <w:tabs>
          <w:tab w:leader="none" w:pos="818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87-1729256</w:t>
      </w:r>
    </w:p>
    <w:p>
      <w:pPr>
        <w:spacing w:after="0" w:line="79" w:lineRule="exact"/>
        <w:rPr>
          <w:sz w:val="24"/>
          <w:szCs w:val="24"/>
          <w:color w:val="auto"/>
        </w:rPr>
      </w:pPr>
    </w:p>
    <w:p>
      <w:pPr>
        <w:ind w:left="1820"/>
        <w:spacing w:after="0"/>
        <w:tabs>
          <w:tab w:leader="none" w:pos="8000" w:val="left"/>
        </w:tabs>
        <w:rPr>
          <w:sz w:val="20"/>
          <w:szCs w:val="20"/>
          <w:color w:val="auto"/>
        </w:rPr>
      </w:pPr>
      <w:r>
        <w:rPr>
          <w:rFonts w:ascii="Times New Roman" w:cs="Times New Roman" w:eastAsia="Times New Roman" w:hAnsi="Times New Roman"/>
          <w:sz w:val="17"/>
          <w:szCs w:val="17"/>
          <w:color w:val="auto"/>
        </w:rPr>
        <w:t>(State or other jurisdiction of</w:t>
      </w:r>
      <w:r>
        <w:rPr>
          <w:sz w:val="20"/>
          <w:szCs w:val="20"/>
          <w:color w:val="auto"/>
        </w:rPr>
        <w:tab/>
      </w:r>
      <w:r>
        <w:rPr>
          <w:rFonts w:ascii="Times New Roman" w:cs="Times New Roman" w:eastAsia="Times New Roman" w:hAnsi="Times New Roman"/>
          <w:sz w:val="17"/>
          <w:szCs w:val="17"/>
          <w:color w:val="auto"/>
        </w:rPr>
        <w:t>(I.R.S. Employer</w:t>
      </w:r>
    </w:p>
    <w:p>
      <w:pPr>
        <w:spacing w:after="0" w:line="49" w:lineRule="exact"/>
        <w:rPr>
          <w:sz w:val="24"/>
          <w:szCs w:val="24"/>
          <w:color w:val="auto"/>
        </w:rPr>
      </w:pPr>
    </w:p>
    <w:p>
      <w:pPr>
        <w:ind w:left="1780"/>
        <w:spacing w:after="0"/>
        <w:tabs>
          <w:tab w:leader="none" w:pos="7960" w:val="left"/>
        </w:tabs>
        <w:rPr>
          <w:sz w:val="20"/>
          <w:szCs w:val="20"/>
          <w:color w:val="auto"/>
        </w:rPr>
      </w:pPr>
      <w:r>
        <w:rPr>
          <w:rFonts w:ascii="Times New Roman" w:cs="Times New Roman" w:eastAsia="Times New Roman" w:hAnsi="Times New Roman"/>
          <w:sz w:val="17"/>
          <w:szCs w:val="17"/>
          <w:color w:val="auto"/>
        </w:rPr>
        <w:t>incorporation or organization)</w:t>
      </w:r>
      <w:r>
        <w:rPr>
          <w:sz w:val="20"/>
          <w:szCs w:val="20"/>
          <w:color w:val="auto"/>
        </w:rPr>
        <w:tab/>
      </w:r>
      <w:r>
        <w:rPr>
          <w:rFonts w:ascii="Times New Roman" w:cs="Times New Roman" w:eastAsia="Times New Roman" w:hAnsi="Times New Roman"/>
          <w:sz w:val="17"/>
          <w:szCs w:val="17"/>
          <w:color w:val="auto"/>
        </w:rPr>
        <w:t>Identification No.)</w:t>
      </w:r>
    </w:p>
    <w:p>
      <w:pPr>
        <w:spacing w:after="0" w:line="30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51 E. Hines Hill Road, Boston Heights, Ohio</w:t>
      </w:r>
    </w:p>
    <w:p>
      <w:pPr>
        <w:spacing w:after="0" w:line="3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44236</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(Zip Code)</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(440) 439-7700</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5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2"/>
        </w:trPr>
        <w:tc>
          <w:tcPr>
            <w:tcW w:w="35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Class A common stock, $0.001 par value per share</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ARHS</w:t>
            </w:r>
          </w:p>
        </w:tc>
        <w:tc>
          <w:tcPr>
            <w:tcW w:w="5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The Nasdaq Global Select Market</w:t>
            </w:r>
          </w:p>
        </w:tc>
      </w:tr>
    </w:tbl>
    <w:p>
      <w:pPr>
        <w:spacing w:after="0" w:line="241"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0"/>
          <w:szCs w:val="20"/>
          <w:color w:val="auto"/>
        </w:rPr>
        <w:t>☐</w:t>
      </w:r>
    </w:p>
    <w:p>
      <w:pPr>
        <w:spacing w:after="0" w:line="124"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w:t>
      </w:r>
    </w:p>
    <w:p>
      <w:pPr>
        <w:spacing w:after="0" w:line="2" w:lineRule="exact"/>
        <w:rPr>
          <w:sz w:val="24"/>
          <w:szCs w:val="24"/>
          <w:color w:val="auto"/>
        </w:rPr>
      </w:pPr>
    </w:p>
    <w:p>
      <w:pPr>
        <w:spacing w:after="0" w:line="211" w:lineRule="exact"/>
        <w:rPr>
          <w:sz w:val="20"/>
          <w:szCs w:val="20"/>
          <w:color w:val="auto"/>
        </w:rPr>
      </w:pPr>
      <w:r>
        <w:rPr>
          <w:rFonts w:ascii="MS PGothic" w:cs="MS PGothic" w:eastAsia="MS PGothic" w:hAnsi="MS PGothic"/>
          <w:sz w:val="21"/>
          <w:szCs w:val="21"/>
          <w:color w:val="auto"/>
        </w:rPr>
        <w:t>☐</w:t>
      </w:r>
    </w:p>
    <w:p>
      <w:pPr>
        <w:spacing w:after="0" w:line="184" w:lineRule="exact"/>
        <w:rPr>
          <w:sz w:val="24"/>
          <w:szCs w:val="24"/>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7"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940" w:type="dxa"/>
            <w:vAlign w:val="bottom"/>
            <w:vMerge w:val="restart"/>
          </w:tcPr>
          <w:p>
            <w:pPr>
              <w:ind w:left="760"/>
              <w:spacing w:after="0" w:line="211" w:lineRule="exact"/>
              <w:rPr>
                <w:sz w:val="20"/>
                <w:szCs w:val="20"/>
                <w:color w:val="auto"/>
              </w:rPr>
            </w:pPr>
            <w:r>
              <w:rPr>
                <w:rFonts w:ascii="MS PGothic" w:cs="MS PGothic" w:eastAsia="MS PGothic" w:hAnsi="MS PGothic"/>
                <w:sz w:val="21"/>
                <w:szCs w:val="21"/>
                <w:color w:val="auto"/>
              </w:rPr>
              <w:t>☐</w:t>
            </w:r>
          </w:p>
        </w:tc>
        <w:tc>
          <w:tcPr>
            <w:tcW w:w="478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Accelerated filer</w:t>
            </w:r>
          </w:p>
        </w:tc>
        <w:tc>
          <w:tcPr>
            <w:tcW w:w="1100" w:type="dxa"/>
            <w:vAlign w:val="bottom"/>
            <w:vMerge w:val="restart"/>
          </w:tcPr>
          <w:p>
            <w:pPr>
              <w:ind w:left="900"/>
              <w:spacing w:after="0" w:line="211" w:lineRule="exact"/>
              <w:rPr>
                <w:sz w:val="20"/>
                <w:szCs w:val="20"/>
                <w:color w:val="auto"/>
              </w:rPr>
            </w:pPr>
            <w:r>
              <w:rPr>
                <w:rFonts w:ascii="MS PGothic" w:cs="MS PGothic" w:eastAsia="MS PGothic" w:hAnsi="MS PGothic"/>
                <w:sz w:val="21"/>
                <w:szCs w:val="21"/>
                <w:color w:val="auto"/>
                <w:w w:val="85"/>
              </w:rPr>
              <w:t>☒</w:t>
            </w:r>
          </w:p>
        </w:tc>
        <w:tc>
          <w:tcPr>
            <w:tcW w:w="0" w:type="dxa"/>
            <w:vAlign w:val="bottom"/>
          </w:tcPr>
          <w:p>
            <w:pPr>
              <w:spacing w:after="0"/>
              <w:rPr>
                <w:sz w:val="1"/>
                <w:szCs w:val="1"/>
                <w:color w:val="auto"/>
              </w:rPr>
            </w:pPr>
          </w:p>
        </w:tc>
      </w:tr>
      <w:tr>
        <w:trPr>
          <w:trHeight w:val="132"/>
        </w:trPr>
        <w:tc>
          <w:tcPr>
            <w:tcW w:w="230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47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940" w:type="dxa"/>
            <w:vAlign w:val="bottom"/>
            <w:vMerge w:val="restart"/>
          </w:tcPr>
          <w:p>
            <w:pPr>
              <w:ind w:left="760"/>
              <w:spacing w:after="0" w:line="211" w:lineRule="exact"/>
              <w:rPr>
                <w:sz w:val="20"/>
                <w:szCs w:val="20"/>
                <w:color w:val="auto"/>
              </w:rPr>
            </w:pPr>
            <w:r>
              <w:rPr>
                <w:rFonts w:ascii="MS PGothic" w:cs="MS PGothic" w:eastAsia="MS PGothic" w:hAnsi="MS PGothic"/>
                <w:sz w:val="21"/>
                <w:szCs w:val="21"/>
                <w:color w:val="auto"/>
              </w:rPr>
              <w:t>☐</w:t>
            </w:r>
          </w:p>
        </w:tc>
        <w:tc>
          <w:tcPr>
            <w:tcW w:w="478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100" w:type="dxa"/>
            <w:vAlign w:val="bottom"/>
            <w:vMerge w:val="restart"/>
          </w:tcPr>
          <w:p>
            <w:pPr>
              <w:ind w:left="900"/>
              <w:spacing w:after="0" w:line="211" w:lineRule="exact"/>
              <w:rPr>
                <w:sz w:val="20"/>
                <w:szCs w:val="20"/>
                <w:color w:val="auto"/>
              </w:rPr>
            </w:pPr>
            <w:r>
              <w:rPr>
                <w:rFonts w:ascii="MS PGothic" w:cs="MS PGothic" w:eastAsia="MS PGothic" w:hAnsi="MS PGothic"/>
                <w:sz w:val="21"/>
                <w:szCs w:val="21"/>
                <w:color w:val="auto"/>
                <w:w w:val="85"/>
              </w:rPr>
              <w:t>☒</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47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2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78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1100" w:type="dxa"/>
            <w:vAlign w:val="bottom"/>
          </w:tcPr>
          <w:p>
            <w:pPr>
              <w:ind w:left="900"/>
              <w:spacing w:after="0" w:line="211" w:lineRule="exact"/>
              <w:rPr>
                <w:sz w:val="20"/>
                <w:szCs w:val="20"/>
                <w:color w:val="auto"/>
              </w:rPr>
            </w:pPr>
            <w:r>
              <w:rPr>
                <w:rFonts w:ascii="MS PGothic" w:cs="MS PGothic" w:eastAsia="MS PGothic" w:hAnsi="MS PGothic"/>
                <w:sz w:val="21"/>
                <w:szCs w:val="21"/>
                <w:color w:val="auto"/>
                <w:w w:val="85"/>
              </w:rPr>
              <w:t>☒</w:t>
            </w:r>
          </w:p>
        </w:tc>
        <w:tc>
          <w:tcPr>
            <w:tcW w:w="0" w:type="dxa"/>
            <w:vAlign w:val="bottom"/>
          </w:tcPr>
          <w:p>
            <w:pPr>
              <w:spacing w:after="0"/>
              <w:rPr>
                <w:sz w:val="1"/>
                <w:szCs w:val="1"/>
                <w:color w:val="auto"/>
              </w:rPr>
            </w:pPr>
          </w:p>
        </w:tc>
      </w:tr>
    </w:tbl>
    <w:p>
      <w:pPr>
        <w:spacing w:after="0" w:line="212" w:lineRule="exact"/>
        <w:rPr>
          <w:sz w:val="24"/>
          <w:szCs w:val="24"/>
          <w:color w:val="auto"/>
        </w:rPr>
      </w:pPr>
    </w:p>
    <w:p>
      <w:pPr>
        <w:ind w:right="500"/>
        <w:spacing w:after="0" w:line="25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66"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0"/>
          <w:szCs w:val="20"/>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October 27, 2023 the registrant had 53,167,306 shares of Class A common stock and 87,115,600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180975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60"/>
          </w:cols>
          <w:pgMar w:left="320" w:top="222" w:right="319" w:bottom="0" w:gutter="0" w:footer="0" w:header="0"/>
        </w:sectPr>
      </w:pP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EXPLANATORY NOTE</w:t>
      </w:r>
    </w:p>
    <w:p>
      <w:pPr>
        <w:sectPr>
          <w:pgSz w:w="11900" w:h="16838" w:orient="portrait"/>
          <w:cols w:equalWidth="0" w:num="1">
            <w:col w:w="11260"/>
          </w:cols>
          <w:pgMar w:left="320" w:top="222" w:right="319" w:bottom="0" w:gutter="0" w:footer="0" w:header="0"/>
          <w:type w:val="continuous"/>
        </w:sectPr>
      </w:pPr>
    </w:p>
    <w:bookmarkStart w:id="1" w:name="page2"/>
    <w:bookmarkEnd w:id="1"/>
    <w:p>
      <w:pPr>
        <w:spacing w:after="0" w:line="270" w:lineRule="auto"/>
        <w:rPr>
          <w:sz w:val="20"/>
          <w:szCs w:val="20"/>
          <w:color w:val="auto"/>
        </w:rPr>
      </w:pPr>
      <w:r>
        <w:rPr>
          <w:rFonts w:ascii="Times New Roman" w:cs="Times New Roman" w:eastAsia="Times New Roman" w:hAnsi="Times New Roman"/>
          <w:sz w:val="17"/>
          <w:szCs w:val="17"/>
          <w:color w:val="auto"/>
        </w:rPr>
        <w:t>Arhaus, Inc. (the “Company”) is filing this Amendment No. 1 (the “Form 10-Q/A”) to its Quarterly Report on Form 10-Q for the period ended September 30, 2023 (the “Q3 Form 10-Q” and such period, the “Affected Period”), filed with the U.S. Securities and Exchange Commission (the “SEC”) on November 2, 2023 as further described below:</w:t>
      </w:r>
    </w:p>
    <w:p>
      <w:pPr>
        <w:spacing w:after="0" w:line="1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As disclosed in the Company’s Current Report of Form 8-K filed on March 6, 2024, the Company is amending and restating its previously issued unaudited condensed consolidated financial statements for the Affected Period. In preparation of the December 31, 2023 consolidated financial statements, the Company identified an error within the unaudited condensed consolidated balance sheet as of September 30, 2023, related to certain leasehold and landlord improvements prior to showroom completion being incorrectly included in prepaid and other current assets rather than property, furniture and equipment, net. The error resulted in inaccurate cash flows ascribed to operating and investing activities in the unaudited condensed consolidated statement of cash flows for the nine months ended September 30, 2023. The unaudited condensed consolidated financial statements are being amended and restated to correct the error in this Form 10-Q/A.</w:t>
      </w:r>
    </w:p>
    <w:p>
      <w:pPr>
        <w:spacing w:after="0" w:line="18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In connection with the restatement of the Company’s unaudited condensed consolidated financial statements for the Affected Period, the Company determined it is appropriate to correct for certain other previously identified immaterial errors.</w:t>
      </w:r>
    </w:p>
    <w:p>
      <w:pPr>
        <w:spacing w:after="0" w:line="177"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7"/>
          <w:szCs w:val="17"/>
          <w:color w:val="auto"/>
        </w:rPr>
        <w:t>The Company has also revised the unaudited condensed consolidated balance sheet as of December 31, 2022 and the unaudited condensed consolidated statement of cash flows for the nine months ended September 30, 2022 to correct for the error described above as well as for certain other previously identified errors, which were considered immaterial both individually and in the aggregate to such unaudited condensed consolidated financial statements.</w:t>
      </w:r>
    </w:p>
    <w:p>
      <w:pPr>
        <w:spacing w:after="0" w:line="192"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7"/>
          <w:szCs w:val="17"/>
          <w:color w:val="auto"/>
        </w:rPr>
        <w:t xml:space="preserve">For more detailed financial information related to the restatement and revision, refer to Note 1 in the Notes to Condensed Consolidated Financial Statements (Unaudited) – </w:t>
      </w:r>
      <w:r>
        <w:rPr>
          <w:rFonts w:ascii="Times New Roman" w:cs="Times New Roman" w:eastAsia="Times New Roman" w:hAnsi="Times New Roman"/>
          <w:sz w:val="17"/>
          <w:szCs w:val="17"/>
          <w:i w:val="1"/>
          <w:iCs w:val="1"/>
          <w:color w:val="auto"/>
        </w:rPr>
        <w:t>Nature of Business and Basis of Presentation</w:t>
      </w:r>
      <w:r>
        <w:rPr>
          <w:rFonts w:ascii="Times New Roman" w:cs="Times New Roman" w:eastAsia="Times New Roman" w:hAnsi="Times New Roman"/>
          <w:sz w:val="17"/>
          <w:szCs w:val="17"/>
          <w:color w:val="auto"/>
        </w:rPr>
        <w:t>. The following sections have been amended to reflect this restatement:</w:t>
      </w:r>
    </w:p>
    <w:p>
      <w:pPr>
        <w:spacing w:after="0" w:line="191" w:lineRule="exact"/>
        <w:rPr>
          <w:sz w:val="20"/>
          <w:szCs w:val="20"/>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 I – Item 1. Financial Statements of Arhaus Inc, and Subsidiaries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 I – Item 2. Management’s Discussion and Analysis of Financial Condition and Results of Operations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 II – Item 4. Controls and Procedures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 II – Item 6. Exhibits</w:t>
      </w:r>
    </w:p>
    <w:p>
      <w:pPr>
        <w:spacing w:after="0" w:line="226"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7"/>
          <w:szCs w:val="17"/>
          <w:color w:val="auto"/>
        </w:rPr>
        <w:t>The Company’s management has previously concluded and disclosed that the Company's disclosure controls and procedures were not effective due to the existence of material weaknesses in the Company’s internal control over financial reporting ("ICFR"). The Company has evaluated the impact of the errors described above on its ICFR and concluded the existing material weaknesses resulted in these errors.</w:t>
      </w:r>
    </w:p>
    <w:p>
      <w:pPr>
        <w:spacing w:after="0" w:line="19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Further, in accordance with Rule 12b-15 under the Securities Exchange Act of 1934, as amended, the Company is including currently dated certifications from its chief executive officer and chief financial officer with this Form 10-Q/A. These certifications are filed or furnished, as applicable, as Exhibits 31.1, 31.2, 32.1 and 32.2.</w:t>
      </w:r>
    </w:p>
    <w:p>
      <w:pPr>
        <w:spacing w:after="0" w:line="1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This Form 10-Q/A sets forth the original Q3 Form 10-Q in its entirety, as amended to reflect the restatement and revisions. Except as specifically noted above, this Form 10-Q/A does not modify, amend or update disclosures in the original Q3 Form 10-Q and this Form 10-Q/A does not reflect events occurring after the filing of the original Q3 Form 10-Q or modify or update any other disclosures.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Form 10-Q/A should be read in conjunction with the Company’s filings with the SEC subsequent to the date on which the original Q3 Form 10-Q was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561340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41"/>
        </w:trPr>
        <w:tc>
          <w:tcPr>
            <w:tcW w:w="20" w:type="dxa"/>
            <w:vAlign w:val="bottom"/>
            <w:shd w:val="clear" w:color="auto" w:fill="CCEEFF"/>
          </w:tcPr>
          <w:p>
            <w:pPr>
              <w:spacing w:after="0"/>
              <w:rPr>
                <w:sz w:val="24"/>
                <w:szCs w:val="24"/>
                <w:color w:val="auto"/>
              </w:rPr>
            </w:pPr>
          </w:p>
        </w:tc>
        <w:tc>
          <w:tcPr>
            <w:tcW w:w="104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FF"/>
              </w:rPr>
              <w:t>Part I - Financial Information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1.</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Financial Statements of Arhaus, Inc. and Subsidiaries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20" w:type="dxa"/>
            <w:vAlign w:val="bottom"/>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Balance Sheets (As Restated) (unaudited)</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2</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4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00" w:type="dxa"/>
            <w:vAlign w:val="bottom"/>
            <w:tcBorders>
              <w:right w:val="single" w:sz="8" w:color="CCEEFF"/>
            </w:tcBorders>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20" w:type="dxa"/>
            <w:vAlign w:val="bottom"/>
            <w:tcBorders>
              <w:bottom w:val="single" w:sz="8" w:color="0000FF"/>
            </w:tcBorders>
            <w:gridSpan w:val="10"/>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4200" w:type="dxa"/>
            <w:vAlign w:val="bottom"/>
            <w:gridSpan w:val="4"/>
          </w:tcPr>
          <w:p>
            <w:pPr>
              <w:spacing w:after="0"/>
              <w:rPr>
                <w:sz w:val="16"/>
                <w:szCs w:val="16"/>
                <w:color w:val="auto"/>
              </w:rPr>
            </w:pP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w:t>
            </w:r>
          </w:p>
        </w:tc>
      </w:tr>
      <w:tr>
        <w:trPr>
          <w:trHeight w:val="208"/>
        </w:trPr>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20" w:type="dxa"/>
            <w:vAlign w:val="bottom"/>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Changes in Stockholders’ Equity (unaudited)</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4</w:t>
            </w:r>
          </w:p>
        </w:tc>
      </w:tr>
      <w:tr>
        <w:trPr>
          <w:trHeight w:val="190"/>
        </w:trPr>
        <w:tc>
          <w:tcPr>
            <w:tcW w:w="2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840" w:type="dxa"/>
            <w:vAlign w:val="bottom"/>
            <w:tcBorders>
              <w:top w:val="single" w:sz="8" w:color="0000FF"/>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Cash Flows (As Restated) (unaudited)</w:t>
            </w:r>
          </w:p>
        </w:tc>
        <w:tc>
          <w:tcPr>
            <w:tcW w:w="3580" w:type="dxa"/>
            <w:vAlign w:val="bottom"/>
            <w:tcBorders>
              <w:top w:val="single" w:sz="8" w:color="CCEEFF"/>
            </w:tcBorders>
            <w:gridSpan w:val="2"/>
          </w:tcPr>
          <w:p>
            <w:pPr>
              <w:spacing w:after="0"/>
              <w:rPr>
                <w:sz w:val="16"/>
                <w:szCs w:val="16"/>
                <w:color w:val="auto"/>
              </w:rPr>
            </w:pPr>
          </w:p>
        </w:tc>
        <w:tc>
          <w:tcPr>
            <w:tcW w:w="8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6</w:t>
            </w: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60" w:type="dxa"/>
            <w:vAlign w:val="bottom"/>
            <w:tcBorders>
              <w:top w:val="single" w:sz="8" w:color="0000FF"/>
              <w:bottom w:val="single" w:sz="8" w:color="0000FF"/>
              <w:right w:val="single" w:sz="8" w:color="CCEEFF"/>
            </w:tcBorders>
            <w:gridSpan w:val="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7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4060" w:type="dxa"/>
            <w:vAlign w:val="bottom"/>
            <w:tcBorders>
              <w:bottom w:val="single" w:sz="8" w:color="CCEEFF"/>
            </w:tcBorders>
            <w:gridSpan w:val="3"/>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8</w:t>
            </w: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2.</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21</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0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3.</w:t>
            </w:r>
          </w:p>
        </w:tc>
        <w:tc>
          <w:tcPr>
            <w:tcW w:w="9520" w:type="dxa"/>
            <w:vAlign w:val="bottom"/>
            <w:gridSpan w:val="15"/>
            <w:shd w:val="clear" w:color="auto" w:fill="CCEEFF"/>
          </w:tcPr>
          <w:p>
            <w:pPr>
              <w:ind w:left="100"/>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29</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4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4.</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30</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04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33</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1.</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33</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9"/>
              </w:rPr>
              <w:t>Item 1A.</w:t>
            </w:r>
          </w:p>
        </w:tc>
        <w:tc>
          <w:tcPr>
            <w:tcW w:w="28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20" w:type="dxa"/>
            <w:vAlign w:val="bottom"/>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Risk Factors</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33</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6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rPr>
              <w:t>Item 2.</w:t>
            </w:r>
          </w:p>
        </w:tc>
        <w:tc>
          <w:tcPr>
            <w:tcW w:w="2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2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33</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3.</w:t>
            </w:r>
          </w:p>
        </w:tc>
        <w:tc>
          <w:tcPr>
            <w:tcW w:w="9520" w:type="dxa"/>
            <w:vAlign w:val="bottom"/>
            <w:gridSpan w:val="15"/>
            <w:shd w:val="clear" w:color="auto" w:fill="CCEEFF"/>
          </w:tcPr>
          <w:p>
            <w:pPr>
              <w:ind w:left="100"/>
              <w:spacing w:after="0" w:line="190" w:lineRule="exact"/>
              <w:rPr>
                <w:sz w:val="20"/>
                <w:szCs w:val="20"/>
                <w:color w:val="auto"/>
              </w:rPr>
            </w:pPr>
            <w:r>
              <w:rPr>
                <w:rFonts w:ascii="Times New Roman" w:cs="Times New Roman" w:eastAsia="Times New Roman" w:hAnsi="Times New Roman"/>
                <w:sz w:val="17"/>
                <w:szCs w:val="17"/>
                <w:color w:val="0000FF"/>
              </w:rPr>
              <w:t>Defaults Upon Senior Securities</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33</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4.</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Mine Safety Disclosures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33</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5.</w:t>
            </w:r>
          </w:p>
        </w:tc>
        <w:tc>
          <w:tcPr>
            <w:tcW w:w="9520" w:type="dxa"/>
            <w:vAlign w:val="bottom"/>
            <w:gridSpan w:val="15"/>
            <w:shd w:val="clear" w:color="auto" w:fill="CCEEFF"/>
          </w:tcPr>
          <w:p>
            <w:pPr>
              <w:ind w:left="100"/>
              <w:spacing w:after="0" w:line="190" w:lineRule="exact"/>
              <w:rPr>
                <w:sz w:val="20"/>
                <w:szCs w:val="20"/>
                <w:color w:val="auto"/>
              </w:rPr>
            </w:pPr>
            <w:r>
              <w:rPr>
                <w:rFonts w:ascii="Times New Roman" w:cs="Times New Roman" w:eastAsia="Times New Roman" w:hAnsi="Times New Roman"/>
                <w:sz w:val="17"/>
                <w:szCs w:val="17"/>
                <w:color w:val="0000FF"/>
              </w:rPr>
              <w:t>Other Information</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33</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6.</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Exhibits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34</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0000FF"/>
            </w:tcBorders>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0000FF"/>
                <w:w w:val="98"/>
              </w:rPr>
              <w:t>Signatures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201295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 of Arhaus, Inc. and Subsidiaries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jc w:val="center"/>
        <w:spacing w:after="0" w:line="221" w:lineRule="auto"/>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7"/>
                <w:szCs w:val="17"/>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7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5"/>
        </w:trPr>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Cash and cash equivalents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236,930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145,181</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Restricted cash equivalents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7,346</w:t>
            </w: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Accounts receivable, net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Merchandise inventory, net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286,419</w:t>
            </w:r>
          </w:p>
        </w:tc>
      </w:tr>
      <w:tr>
        <w:trPr>
          <w:trHeight w:val="21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231F20"/>
              </w:rPr>
              <w:t>Prepaid and other current assets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29,868</w:t>
            </w:r>
          </w:p>
        </w:tc>
      </w:tr>
      <w:tr>
        <w:trPr>
          <w:trHeight w:val="225"/>
        </w:trPr>
        <w:tc>
          <w:tcPr>
            <w:tcW w:w="7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231F20"/>
              </w:rPr>
              <w:t>Total current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470,548</w:t>
            </w: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Operating right-of-use assets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309,572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257,347</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Financing right-of-use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38,522</w:t>
            </w: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Property, furniture and equipment, net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140,613</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Deferred tax asset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16,841</w:t>
            </w: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Goodwill</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10,961</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w:t>
            </w:r>
          </w:p>
        </w:tc>
      </w:tr>
      <w:tr>
        <w:trPr>
          <w:trHeight w:val="212"/>
        </w:trPr>
        <w:tc>
          <w:tcPr>
            <w:tcW w:w="7620" w:type="dxa"/>
            <w:vAlign w:val="bottom"/>
          </w:tcPr>
          <w:p>
            <w:pPr>
              <w:ind w:left="320"/>
              <w:spacing w:after="0"/>
              <w:rPr>
                <w:sz w:val="20"/>
                <w:szCs w:val="20"/>
                <w:color w:val="auto"/>
              </w:rPr>
            </w:pPr>
            <w:r>
              <w:rPr>
                <w:rFonts w:ascii="Times New Roman" w:cs="Times New Roman" w:eastAsia="Times New Roman" w:hAnsi="Times New Roman"/>
                <w:sz w:val="17"/>
                <w:szCs w:val="17"/>
                <w:color w:val="231F20"/>
              </w:rPr>
              <w:t>Total assets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1,110,768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937,084</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1"/>
        </w:trPr>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19"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670" cy="139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7"/>
          <w:szCs w:val="17"/>
          <w:color w:val="231F20"/>
        </w:rPr>
        <w:t>Accounts payable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39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Accrued taxes</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Accrued wages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Accrued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38670" cy="139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Client deposits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38670" cy="139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Current portion of financing lease liabilities</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55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Financing lease liabilities, long-term</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Deferred rent and lease incentives</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38670"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3" w:lineRule="exact"/>
        <w:rPr>
          <w:sz w:val="20"/>
          <w:szCs w:val="20"/>
          <w:color w:val="auto"/>
        </w:rPr>
      </w:pPr>
    </w:p>
    <w:p>
      <w:pPr>
        <w:ind w:left="320"/>
        <w:spacing w:after="0"/>
        <w:tabs>
          <w:tab w:leader="none" w:pos="7620" w:val="left"/>
        </w:tabs>
        <w:rPr>
          <w:sz w:val="20"/>
          <w:szCs w:val="20"/>
          <w:color w:val="auto"/>
        </w:rPr>
      </w:pPr>
      <w:r>
        <w:rPr>
          <w:rFonts w:ascii="Times New Roman" w:cs="Times New Roman" w:eastAsia="Times New Roman" w:hAnsi="Times New Roman"/>
          <w:sz w:val="17"/>
          <w:szCs w:val="17"/>
          <w:color w:val="231F20"/>
        </w:rPr>
        <w:t>Total liabilities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Commitments and contingencies (Note 9)</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Stockholders' equity</w:t>
      </w:r>
    </w:p>
    <w:p>
      <w:pPr>
        <w:spacing w:after="0" w:line="24" w:lineRule="exact"/>
        <w:rPr>
          <w:sz w:val="20"/>
          <w:szCs w:val="20"/>
          <w:color w:val="auto"/>
        </w:rPr>
      </w:pPr>
    </w:p>
    <w:p>
      <w:pPr>
        <w:jc w:val="both"/>
        <w:ind w:left="20" w:right="460"/>
        <w:spacing w:after="0" w:line="206" w:lineRule="auto"/>
        <w:rPr>
          <w:sz w:val="20"/>
          <w:szCs w:val="20"/>
          <w:color w:val="auto"/>
        </w:rPr>
      </w:pPr>
      <w:r>
        <w:rPr>
          <w:rFonts w:ascii="Times New Roman" w:cs="Times New Roman" w:eastAsia="Times New Roman" w:hAnsi="Times New Roman"/>
          <w:sz w:val="17"/>
          <w:szCs w:val="17"/>
          <w:color w:val="auto"/>
        </w:rPr>
        <w:t>Class A shares, par value $0.001 per share (600,000,000 shares authorized, 52,749,450 issued and 52,666,334 outstanding and 51,437,348 shares issued and outstanding as of September 30,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7138670" cy="343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34353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respectively)</w:t>
      </w:r>
    </w:p>
    <w:p>
      <w:pPr>
        <w:spacing w:after="0" w:line="10" w:lineRule="exact"/>
        <w:rPr>
          <w:sz w:val="20"/>
          <w:szCs w:val="20"/>
          <w:color w:val="auto"/>
        </w:rPr>
      </w:pPr>
    </w:p>
    <w:p>
      <w:pPr>
        <w:ind w:left="20" w:right="820"/>
        <w:spacing w:after="0" w:line="229" w:lineRule="auto"/>
        <w:rPr>
          <w:sz w:val="20"/>
          <w:szCs w:val="20"/>
          <w:color w:val="auto"/>
        </w:rPr>
      </w:pPr>
      <w:r>
        <w:rPr>
          <w:rFonts w:ascii="Times New Roman" w:cs="Times New Roman" w:eastAsia="Times New Roman" w:hAnsi="Times New Roman"/>
          <w:sz w:val="17"/>
          <w:szCs w:val="17"/>
          <w:color w:val="auto"/>
        </w:rPr>
        <w:t>Class B shares, par value $0.001 per share (100,000,000 shares authorized, 87,115,600 shares issued and outstanding as of September 30, 2023 and December 31, 2022)</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67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58,138</w:t>
            </w: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62,636</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13,134</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12,256</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12,015</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20,860</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47,073</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35,169</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212,406</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202,587</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42,566</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39,250</w:t>
            </w:r>
          </w:p>
        </w:tc>
      </w:tr>
      <w:tr>
        <w:trPr>
          <w:trHeight w:val="223"/>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925</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21"/>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386,257</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373,289</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355,808</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295,657</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54,010</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51,835</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2,032</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2,272</w:t>
            </w:r>
          </w:p>
        </w:tc>
      </w:tr>
      <w:tr>
        <w:trPr>
          <w:trHeight w:val="223"/>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4,173</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4,336</w:t>
            </w:r>
          </w:p>
        </w:tc>
      </w:tr>
      <w:tr>
        <w:trPr>
          <w:trHeight w:val="225"/>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802,280</w:t>
            </w: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-163195</wp:posOffset>
            </wp:positionV>
            <wp:extent cx="1121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52</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383"/>
        </w:trPr>
        <w:tc>
          <w:tcPr>
            <w:tcW w:w="120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87</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19"/>
        </w:trPr>
        <w:tc>
          <w:tcPr>
            <w:tcW w:w="120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w w:val="97"/>
              </w:rPr>
              <w:t>114,076</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20,053</w:t>
            </w:r>
          </w:p>
        </w:tc>
      </w:tr>
      <w:tr>
        <w:trPr>
          <w:trHeight w:val="221"/>
        </w:trPr>
        <w:tc>
          <w:tcPr>
            <w:tcW w:w="120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w w:val="97"/>
              </w:rPr>
              <w:t>194,273</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189,504</w:t>
            </w:r>
          </w:p>
        </w:tc>
      </w:tr>
    </w:tbl>
    <w:p>
      <w:pPr>
        <w:spacing w:after="0" w:line="1" w:lineRule="exact"/>
        <w:rPr>
          <w:sz w:val="20"/>
          <w:szCs w:val="20"/>
          <w:color w:val="auto"/>
        </w:rPr>
      </w:pPr>
    </w:p>
    <w:p>
      <w:pPr>
        <w:sectPr>
          <w:pgSz w:w="11900" w:h="16838" w:orient="portrait"/>
          <w:cols w:equalWidth="0" w:num="2">
            <w:col w:w="8040" w:space="720"/>
            <w:col w:w="2480"/>
          </w:cols>
          <w:pgMar w:left="320" w:top="519"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76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231F20"/>
              </w:rPr>
              <w:t>Total Arhaus, Inc. stockholders' equity</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308,488</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209,695</w:t>
            </w:r>
          </w:p>
        </w:tc>
      </w:tr>
      <w:tr>
        <w:trPr>
          <w:trHeight w:val="212"/>
        </w:trPr>
        <w:tc>
          <w:tcPr>
            <w:tcW w:w="7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1,110,768</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937,084</w:t>
            </w:r>
          </w:p>
        </w:tc>
      </w:tr>
      <w:tr>
        <w:trPr>
          <w:trHeight w:val="20"/>
        </w:trPr>
        <w:tc>
          <w:tcPr>
            <w:tcW w:w="7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type w:val="continuous"/>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(Unaudited, amounts in thousands, except share and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8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50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943,696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320,030</w:t>
            </w:r>
          </w:p>
        </w:tc>
      </w:tr>
      <w:tr>
        <w:trPr>
          <w:trHeight w:val="21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544,481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505,561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195,372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183,739</w:t>
            </w:r>
          </w:p>
        </w:tc>
      </w:tr>
      <w:tr>
        <w:trPr>
          <w:trHeight w:val="21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margin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136,291</w:t>
            </w:r>
          </w:p>
        </w:tc>
      </w:tr>
      <w:tr>
        <w:trPr>
          <w:trHeight w:val="21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275,890</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246,767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106,977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89,145</w:t>
            </w:r>
          </w:p>
        </w:tc>
      </w:tr>
      <w:tr>
        <w:trPr>
          <w:trHeight w:val="21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47,146</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2"/>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before taxes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46,504</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31,771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9,568</w:t>
            </w:r>
          </w:p>
        </w:tc>
      </w:tr>
      <w:tr>
        <w:trPr>
          <w:trHeight w:val="186"/>
        </w:trPr>
        <w:tc>
          <w:tcPr>
            <w:tcW w:w="5040" w:type="dxa"/>
            <w:vAlign w:val="bottom"/>
          </w:tcPr>
          <w:p>
            <w:pPr>
              <w:ind w:left="180"/>
              <w:spacing w:after="0" w:line="186" w:lineRule="exact"/>
              <w:rPr>
                <w:sz w:val="20"/>
                <w:szCs w:val="20"/>
                <w:color w:val="auto"/>
              </w:rPr>
            </w:pPr>
            <w:r>
              <w:rPr>
                <w:rFonts w:ascii="Times New Roman" w:cs="Times New Roman" w:eastAsia="Times New Roman" w:hAnsi="Times New Roman"/>
                <w:sz w:val="17"/>
                <w:szCs w:val="17"/>
                <w:color w:val="auto"/>
              </w:rPr>
              <w:t>Net and comprehensive income</w:t>
            </w:r>
          </w:p>
        </w:tc>
        <w:tc>
          <w:tcPr>
            <w:tcW w:w="1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94,023</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94"/>
              <w:spacing w:after="0" w:line="186"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89,633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19,741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36,936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5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6"/>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231F20"/>
              </w:rPr>
              <w:t>Net and comprehensive income per share, basic</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8"/>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Weighted-average number of common shares outstanding, basic</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139,365,870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137,939,577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139,628,776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138,484,495</w:t>
            </w:r>
          </w:p>
        </w:tc>
      </w:tr>
      <w:tr>
        <w:trPr>
          <w:trHeight w:val="219"/>
        </w:trPr>
        <w:tc>
          <w:tcPr>
            <w:tcW w:w="5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and comprehensive income per share,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0.27</w:t>
            </w: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231F20"/>
              </w:rPr>
              <w:t>Net and comprehensive income per share, diluted</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19"/>
        </w:trPr>
        <w:tc>
          <w:tcPr>
            <w:tcW w:w="5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Weighted-average number of common shares outstanding, diluted</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140,021,670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139,545,802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140,140,899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139,845,333</w:t>
            </w:r>
          </w:p>
        </w:tc>
      </w:tr>
      <w:tr>
        <w:trPr>
          <w:trHeight w:val="21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and comprehensive income per share,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r>
    </w:tbl>
    <w:p>
      <w:pPr>
        <w:spacing w:after="0" w:line="2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815" w:right="559" w:bottom="1440" w:gutter="0" w:footer="0" w:header="0"/>
        </w:sectPr>
      </w:pPr>
    </w:p>
    <w:bookmarkStart w:id="5" w:name="page6"/>
    <w:bookmarkEnd w:id="5"/>
    <w:p>
      <w:pPr>
        <w:ind w:left="4540"/>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5"/>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680" w:type="dxa"/>
            <w:vAlign w:val="bottom"/>
            <w:tcBorders>
              <w:bottom w:val="single" w:sz="8" w:color="auto"/>
            </w:tcBorders>
            <w:gridSpan w:val="5"/>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15"/>
                <w:szCs w:val="15"/>
                <w:color w:val="auto"/>
              </w:rPr>
            </w:pP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line="20" w:lineRule="exact"/>
              <w:rPr>
                <w:sz w:val="1"/>
                <w:szCs w:val="1"/>
                <w:color w:val="auto"/>
              </w:rPr>
            </w:pPr>
          </w:p>
        </w:tc>
        <w:tc>
          <w:tcPr>
            <w:tcW w:w="78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Retained Earnings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5"/>
                <w:szCs w:val="15"/>
                <w:color w:val="auto"/>
              </w:rPr>
            </w:pPr>
          </w:p>
        </w:tc>
        <w:tc>
          <w:tcPr>
            <w:tcW w:w="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51,437</w:t>
            </w: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20,053</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189,504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209,695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94,023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 withholding</w:t>
            </w: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for equity based 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52,666</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83</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114,076</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194,273</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308,488</w:t>
            </w: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5"/>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680" w:type="dxa"/>
            <w:vAlign w:val="bottom"/>
            <w:tcBorders>
              <w:bottom w:val="single" w:sz="8" w:color="auto"/>
            </w:tcBorders>
            <w:gridSpan w:val="5"/>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15"/>
                <w:szCs w:val="15"/>
                <w:color w:val="auto"/>
              </w:rPr>
            </w:pP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Retained Earnings</w:t>
            </w: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line="20" w:lineRule="exact"/>
              <w:rPr>
                <w:sz w:val="1"/>
                <w:szCs w:val="1"/>
                <w:color w:val="auto"/>
              </w:rPr>
            </w:pPr>
          </w:p>
        </w:tc>
        <w:tc>
          <w:tcPr>
            <w:tcW w:w="78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(Accumulated</w:t>
            </w: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5"/>
                <w:szCs w:val="15"/>
                <w:color w:val="auto"/>
              </w:rPr>
            </w:pPr>
          </w:p>
        </w:tc>
        <w:tc>
          <w:tcPr>
            <w:tcW w:w="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50,428</w:t>
            </w: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86,519</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(116,581)</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186,209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69,765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89,633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to deferred tax asset impact of</w:t>
            </w: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 from partnership to a corporation</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51,437</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(26,948)</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187,605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160,795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 w:name="page7"/>
    <w:bookmarkEnd w:id="6"/>
    <w:p>
      <w:pPr>
        <w:ind w:left="4540"/>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(continued)</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5"/>
          </w:tcPr>
          <w:p>
            <w:pPr>
              <w:jc w:val="center"/>
              <w:ind w:left="79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Total Stockholders'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1700" w:type="dxa"/>
            <w:vAlign w:val="bottom"/>
            <w:tcBorders>
              <w:bottom w:val="single" w:sz="8" w:color="auto"/>
            </w:tcBorders>
            <w:gridSpan w:val="5"/>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900" w:type="dxa"/>
            <w:vAlign w:val="bottom"/>
          </w:tcPr>
          <w:p>
            <w:pPr>
              <w:spacing w:after="0"/>
              <w:rPr>
                <w:sz w:val="15"/>
                <w:szCs w:val="15"/>
                <w:color w:val="auto"/>
              </w:rPr>
            </w:pP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7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5"/>
                <w:szCs w:val="15"/>
                <w:color w:val="auto"/>
              </w:rPr>
            </w:pPr>
          </w:p>
        </w:tc>
        <w:tc>
          <w:tcPr>
            <w:tcW w:w="15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line="20" w:lineRule="exact"/>
              <w:rPr>
                <w:sz w:val="1"/>
                <w:szCs w:val="1"/>
                <w:color w:val="auto"/>
              </w:rPr>
            </w:pPr>
          </w:p>
        </w:tc>
        <w:tc>
          <w:tcPr>
            <w:tcW w:w="88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1"/>
              <w:spacing w:after="0" w:line="155"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82"/>
        </w:trPr>
        <w:tc>
          <w:tcPr>
            <w:tcW w:w="290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100" w:type="dxa"/>
            <w:vAlign w:val="bottom"/>
          </w:tcPr>
          <w:p>
            <w:pPr>
              <w:spacing w:after="0"/>
              <w:rPr>
                <w:sz w:val="15"/>
                <w:szCs w:val="15"/>
                <w:color w:val="auto"/>
              </w:rPr>
            </w:pPr>
          </w:p>
        </w:tc>
        <w:tc>
          <w:tcPr>
            <w:tcW w:w="88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2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52,345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25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94,335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193,090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287,564</w:t>
            </w:r>
          </w:p>
        </w:tc>
        <w:tc>
          <w:tcPr>
            <w:tcW w:w="0" w:type="dxa"/>
            <w:vAlign w:val="bottom"/>
          </w:tcPr>
          <w:p>
            <w:pPr>
              <w:spacing w:after="0"/>
              <w:rPr>
                <w:sz w:val="1"/>
                <w:szCs w:val="1"/>
                <w:color w:val="auto"/>
              </w:rPr>
            </w:pPr>
          </w:p>
        </w:tc>
      </w:tr>
      <w:tr>
        <w:trPr>
          <w:trHeight w:val="177"/>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19,741</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4"/>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 withholding</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for equity based 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19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52,666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83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114,076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194,273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308,488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5"/>
          </w:tcPr>
          <w:p>
            <w:pPr>
              <w:jc w:val="center"/>
              <w:ind w:left="79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Total Stockholders'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1700" w:type="dxa"/>
            <w:vAlign w:val="bottom"/>
            <w:tcBorders>
              <w:bottom w:val="single" w:sz="8" w:color="auto"/>
            </w:tcBorders>
            <w:gridSpan w:val="5"/>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900" w:type="dxa"/>
            <w:vAlign w:val="bottom"/>
          </w:tcPr>
          <w:p>
            <w:pPr>
              <w:spacing w:after="0"/>
              <w:rPr>
                <w:sz w:val="15"/>
                <w:szCs w:val="15"/>
                <w:color w:val="auto"/>
              </w:rPr>
            </w:pP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7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5"/>
                <w:szCs w:val="15"/>
                <w:color w:val="auto"/>
              </w:rPr>
            </w:pPr>
          </w:p>
        </w:tc>
        <w:tc>
          <w:tcPr>
            <w:tcW w:w="15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0" w:type="dxa"/>
            <w:vAlign w:val="bottom"/>
          </w:tcPr>
          <w:p>
            <w:pPr>
              <w:spacing w:after="0" w:line="20" w:lineRule="exact"/>
              <w:rPr>
                <w:sz w:val="1"/>
                <w:szCs w:val="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line="20" w:lineRule="exact"/>
              <w:rPr>
                <w:sz w:val="1"/>
                <w:szCs w:val="1"/>
                <w:color w:val="auto"/>
              </w:rPr>
            </w:pPr>
          </w:p>
        </w:tc>
        <w:tc>
          <w:tcPr>
            <w:tcW w:w="88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(Accumulated</w:t>
            </w: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1"/>
              <w:spacing w:after="0" w:line="155"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82"/>
        </w:trPr>
        <w:tc>
          <w:tcPr>
            <w:tcW w:w="290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100" w:type="dxa"/>
            <w:vAlign w:val="bottom"/>
          </w:tcPr>
          <w:p>
            <w:pPr>
              <w:spacing w:after="0"/>
              <w:rPr>
                <w:sz w:val="15"/>
                <w:szCs w:val="15"/>
                <w:color w:val="auto"/>
              </w:rPr>
            </w:pPr>
          </w:p>
        </w:tc>
        <w:tc>
          <w:tcPr>
            <w:tcW w:w="88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2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51,360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(63,884)</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187,640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123,894</w:t>
            </w:r>
          </w:p>
        </w:tc>
        <w:tc>
          <w:tcPr>
            <w:tcW w:w="0" w:type="dxa"/>
            <w:vAlign w:val="bottom"/>
          </w:tcPr>
          <w:p>
            <w:pPr>
              <w:spacing w:after="0"/>
              <w:rPr>
                <w:sz w:val="1"/>
                <w:szCs w:val="1"/>
                <w:color w:val="auto"/>
              </w:rPr>
            </w:pPr>
          </w:p>
        </w:tc>
      </w:tr>
      <w:tr>
        <w:trPr>
          <w:trHeight w:val="177"/>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to deferred tax asset impact of</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 from partnership to a corporation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184"/>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9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51,437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(26,948)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187,605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160,795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7" w:name="page8"/>
    <w:bookmarkEnd w:id="7"/>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31"/>
        </w:trPr>
        <w:tc>
          <w:tcPr>
            <w:tcW w:w="8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9"/>
        </w:trPr>
        <w:tc>
          <w:tcPr>
            <w:tcW w:w="8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89,633</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18,319</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Amortization of operating lease right-of-use asset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21,976</w:t>
            </w:r>
          </w:p>
        </w:tc>
      </w:tr>
      <w:tr>
        <w:trPr>
          <w:trHeight w:val="22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Amortization of deferred financing fees, interest on finance lease in excess of principal paid and interest on operating leases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8,731</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Equity based compensation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2,613</w:t>
            </w:r>
          </w:p>
        </w:tc>
      </w:tr>
      <w:tr>
        <w:trPr>
          <w:trHeight w:val="22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Deferred tax assets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5,458</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Amortization of cloud computing arrangements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Amortization and write-off of lease incentives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Insurance proceeds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0"/>
        </w:trPr>
        <w:tc>
          <w:tcPr>
            <w:tcW w:w="81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w:t>
            </w:r>
          </w:p>
        </w:tc>
      </w:tr>
      <w:tr>
        <w:trPr>
          <w:trHeight w:val="228"/>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Merchandise inventory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17,399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(84,228)</w:t>
            </w:r>
          </w:p>
        </w:tc>
      </w:tr>
      <w:tr>
        <w:trPr>
          <w:trHeight w:val="210"/>
        </w:trPr>
        <w:tc>
          <w:tcPr>
            <w:tcW w:w="81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Prepaid and other assets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(6,217)</w:t>
            </w:r>
          </w:p>
        </w:tc>
      </w:tr>
      <w:tr>
        <w:trPr>
          <w:trHeight w:val="228"/>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w:t>
            </w:r>
          </w:p>
        </w:tc>
      </w:tr>
      <w:tr>
        <w:trPr>
          <w:trHeight w:val="210"/>
        </w:trPr>
        <w:tc>
          <w:tcPr>
            <w:tcW w:w="81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8,524</w:t>
            </w:r>
          </w:p>
        </w:tc>
      </w:tr>
      <w:tr>
        <w:trPr>
          <w:trHeight w:val="228"/>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23,682</w:t>
            </w:r>
          </w:p>
        </w:tc>
      </w:tr>
      <w:tr>
        <w:trPr>
          <w:trHeight w:val="210"/>
        </w:trPr>
        <w:tc>
          <w:tcPr>
            <w:tcW w:w="81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(22,586)</w:t>
            </w:r>
          </w:p>
        </w:tc>
      </w:tr>
      <w:tr>
        <w:trPr>
          <w:trHeight w:val="228"/>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Client deposits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(3,128)</w:t>
            </w:r>
          </w:p>
        </w:tc>
      </w:tr>
      <w:tr>
        <w:trPr>
          <w:trHeight w:val="205"/>
        </w:trPr>
        <w:tc>
          <w:tcPr>
            <w:tcW w:w="81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145,824</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61,459</w:t>
            </w:r>
          </w:p>
        </w:tc>
      </w:tr>
      <w:tr>
        <w:trPr>
          <w:trHeight w:val="20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property, furniture and equipment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(56,762)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(40,172)</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Insurance proceeds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1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(56,429)</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(40,172)</w:t>
            </w:r>
          </w:p>
        </w:tc>
      </w:tr>
      <w:tr>
        <w:trPr>
          <w:trHeight w:val="20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payments under finance leases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Repurchase of shares for payment of withholding taxes for equity based compensation</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1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(1,527)</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219"/>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 equivalents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21,174</w:t>
            </w:r>
          </w:p>
        </w:tc>
      </w:tr>
      <w:tr>
        <w:trPr>
          <w:trHeight w:val="206"/>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equivalents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2"/>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Beginning of period</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152,527</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130,908</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240,395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152,082</w:t>
            </w:r>
          </w:p>
        </w:tc>
      </w:tr>
    </w:tbl>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119" w:right="5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(continued)</w:t>
      </w: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31"/>
        </w:trPr>
        <w:tc>
          <w:tcPr>
            <w:tcW w:w="8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9"/>
        </w:trPr>
        <w:tc>
          <w:tcPr>
            <w:tcW w:w="8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paid in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3,858</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received in cash</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taxes paid in cash</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20,579</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investing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Purchase of property, furniture and equipment in accounts payable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4,471</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financing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Adjustment to deferred tax asset impact of Reorganization from partnership to a corporation</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w:t>
            </w:r>
          </w:p>
        </w:tc>
      </w:tr>
      <w:tr>
        <w:trPr>
          <w:trHeight w:val="210"/>
        </w:trPr>
        <w:tc>
          <w:tcPr>
            <w:tcW w:w="81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Derecognition of build-to-suit assets as a result of ASC 842 adoption</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(31,017)</w:t>
            </w:r>
          </w:p>
        </w:tc>
      </w:tr>
      <w:tr>
        <w:trPr>
          <w:trHeight w:val="228"/>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Capital contributions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bl>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119" w:right="5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7800" w:firstLine="3"/>
        <w:spacing w:after="0" w:line="469" w:lineRule="auto"/>
        <w:tabs>
          <w:tab w:leader="none" w:pos="172"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Nature of Business and Basis of Presentation Nature of Business</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Arhaus, Inc. (the “Company,” “we” or “Arhaus”)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 86 Showrooms at September 30,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82"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accompanying condensed consolidated balance sheets at September 30, 2023 and December 31, 2022, the condensed consolidated statements of comprehensive income and changes in stockholders’equity for the nine and three months ended September 30, 2023 and 2022, the condensed consolidated statements of cash flows for the nine months ended September 30, 2023 and 2022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management’s opinion, the accompanying condensed consolidated financial statements contain all adjustments, consisting of normal recurring adjustments, necessary for a fair statement of the Company’s financial position at September 30, 2023, the results of operations and changes in stockholders’equity for the nine and three months ended September 30, 2023 and 2022 and the condensed consolidated statements of cash flows for the nine months ended September 30, 2023 and 2022. The condensed consolidated balance sheet as of December 31, 2022 included herein was derived from audited financial statements, but does not include all disclosures required by U.S. GAAP.</w:t>
      </w:r>
    </w:p>
    <w:p>
      <w:pPr>
        <w:spacing w:after="0" w:line="136"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The results for the nine and three months ended September 30, 2023 and 2022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Restatement and Revision of Previously Issued Condensed Consolidated Financial Statements</w:t>
      </w:r>
    </w:p>
    <w:p>
      <w:pPr>
        <w:spacing w:after="0" w:line="24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The Company identified an error within the unaudited condensed consolidated balance sheet as of September 30, 2023, related to certain leasehold and landlord improvements prior to showroom completion being incorrectly included in prepaid and other current assets rather than property, furniture and equipment, net. The error resulted in inaccurate cash flows ascribed to operating and investing activities in the unaudited condensed consolidated statement of cash flows for the nine months ended September 30, 2023. The unaudited condensed consolidated balance sheet as of September 30, 2023 and the unaudited condensed consolidated statement of cash flows for the nine months ended September 30, 2023 have been restated to correct for this error.</w:t>
      </w:r>
    </w:p>
    <w:p>
      <w:pPr>
        <w:spacing w:after="0" w:line="18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7"/>
          <w:szCs w:val="17"/>
          <w:color w:val="auto"/>
        </w:rPr>
        <w:t>In connection with the restatement of the Company’s unaudited condensed consolidated financial statements for the nine months ended September 30, 2023, we determined it is appropriate to correct for certain other previously identified immaterial errors.</w:t>
      </w:r>
    </w:p>
    <w:p>
      <w:pPr>
        <w:spacing w:after="0" w:line="19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The Company has also revised the unaudited condensed consolidated balance sheet as of December 31, 2022 and the unaudited condensed consolidated statement of cash flows for the nine months ended September 30, 2022 to correct for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error described above as well as for certain other previously identified errors, which were considered immaterial both individually and in the aggregate to such unaudited condensed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also restated and revised impacted amounts within the accompanying notes to the unaudited condensed consolidated financial statements, as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the impact of these corrections for the periods presented (amounts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2"/>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240" w:type="dxa"/>
            <w:vAlign w:val="bottom"/>
          </w:tcPr>
          <w:p>
            <w:pPr>
              <w:spacing w:after="0"/>
              <w:rPr>
                <w:sz w:val="18"/>
                <w:szCs w:val="18"/>
                <w:color w:val="auto"/>
              </w:rPr>
            </w:pP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As Restated</w:t>
            </w:r>
          </w:p>
        </w:tc>
      </w:tr>
      <w:tr>
        <w:trPr>
          <w:trHeight w:val="212"/>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36,699</w:t>
            </w:r>
          </w:p>
        </w:tc>
      </w:tr>
      <w:tr>
        <w:trPr>
          <w:trHeight w:val="245"/>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574,457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(26,441)</w:t>
            </w:r>
          </w:p>
        </w:tc>
        <w:tc>
          <w:tcPr>
            <w:tcW w:w="8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548,016</w:t>
            </w:r>
          </w:p>
        </w:tc>
      </w:tr>
      <w:tr>
        <w:trPr>
          <w:trHeight w:val="245"/>
        </w:trPr>
        <w:tc>
          <w:tcPr>
            <w:tcW w:w="5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5"/>
        </w:trPr>
        <w:tc>
          <w:tcPr>
            <w:tcW w:w="5720" w:type="dxa"/>
            <w:vAlign w:val="bottom"/>
          </w:tcPr>
          <w:p>
            <w:pPr>
              <w:ind w:left="20"/>
              <w:spacing w:after="0" w:line="245" w:lineRule="exact"/>
              <w:rPr>
                <w:sz w:val="20"/>
                <w:szCs w:val="20"/>
                <w:color w:val="auto"/>
              </w:rPr>
            </w:pPr>
            <w:r>
              <w:rPr>
                <w:rFonts w:ascii="Times New Roman" w:cs="Times New Roman" w:eastAsia="Times New Roman" w:hAnsi="Times New Roman"/>
                <w:sz w:val="17"/>
                <w:szCs w:val="17"/>
                <w:color w:val="auto"/>
              </w:rPr>
              <w:t>Operating right-of-use assets</w:t>
            </w:r>
            <w:r>
              <w:rPr>
                <w:rFonts w:ascii="Times New Roman" w:cs="Times New Roman" w:eastAsia="Times New Roman" w:hAnsi="Times New Roman"/>
                <w:sz w:val="22"/>
                <w:szCs w:val="22"/>
                <w:color w:val="auto"/>
                <w:vertAlign w:val="superscript"/>
              </w:rPr>
              <w:t>(1)</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314,378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8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309,572</w:t>
            </w:r>
          </w:p>
        </w:tc>
      </w:tr>
      <w:tr>
        <w:trPr>
          <w:trHeight w:val="24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furniture and equipment, net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183,073</w:t>
            </w:r>
          </w:p>
        </w:tc>
      </w:tr>
      <w:tr>
        <w:trPr>
          <w:trHeight w:val="245"/>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1,115,574</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8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1,110,768</w:t>
            </w:r>
          </w:p>
        </w:tc>
      </w:tr>
      <w:tr>
        <w:trPr>
          <w:trHeight w:val="245"/>
        </w:trPr>
        <w:tc>
          <w:tcPr>
            <w:tcW w:w="5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5"/>
        </w:trPr>
        <w:tc>
          <w:tcPr>
            <w:tcW w:w="5720" w:type="dxa"/>
            <w:vAlign w:val="bottom"/>
          </w:tcPr>
          <w:p>
            <w:pPr>
              <w:ind w:left="20"/>
              <w:spacing w:after="0" w:line="245" w:lineRule="exact"/>
              <w:rPr>
                <w:sz w:val="20"/>
                <w:szCs w:val="20"/>
                <w:color w:val="auto"/>
              </w:rPr>
            </w:pPr>
            <w:r>
              <w:rPr>
                <w:rFonts w:ascii="Times New Roman" w:cs="Times New Roman" w:eastAsia="Times New Roman" w:hAnsi="Times New Roman"/>
                <w:sz w:val="17"/>
                <w:szCs w:val="17"/>
                <w:color w:val="231F20"/>
              </w:rPr>
              <w:t>Current portion of operating lease liabilities</w:t>
            </w:r>
            <w:r>
              <w:rPr>
                <w:rFonts w:ascii="Times New Roman" w:cs="Times New Roman" w:eastAsia="Times New Roman" w:hAnsi="Times New Roman"/>
                <w:sz w:val="22"/>
                <w:szCs w:val="22"/>
                <w:color w:val="231F20"/>
                <w:vertAlign w:val="superscript"/>
              </w:rPr>
              <w:t>(1)</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42,472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42,566</w:t>
            </w:r>
          </w:p>
        </w:tc>
      </w:tr>
      <w:tr>
        <w:trPr>
          <w:trHeight w:val="24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Total current liabilities</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386,163</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386,257</w:t>
            </w:r>
          </w:p>
        </w:tc>
      </w:tr>
      <w:tr>
        <w:trPr>
          <w:trHeight w:val="245"/>
        </w:trPr>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5"/>
        </w:trPr>
        <w:tc>
          <w:tcPr>
            <w:tcW w:w="5720" w:type="dxa"/>
            <w:vAlign w:val="bottom"/>
            <w:shd w:val="clear" w:color="auto" w:fill="CCEEFF"/>
          </w:tcPr>
          <w:p>
            <w:pPr>
              <w:ind w:left="20"/>
              <w:spacing w:after="0" w:line="245" w:lineRule="exact"/>
              <w:rPr>
                <w:sz w:val="20"/>
                <w:szCs w:val="20"/>
                <w:color w:val="auto"/>
              </w:rPr>
            </w:pPr>
            <w:r>
              <w:rPr>
                <w:rFonts w:ascii="Times New Roman" w:cs="Times New Roman" w:eastAsia="Times New Roman" w:hAnsi="Times New Roman"/>
                <w:sz w:val="17"/>
                <w:szCs w:val="17"/>
                <w:color w:val="231F20"/>
              </w:rPr>
              <w:t>Operating lease liabilities, long-term</w:t>
            </w:r>
            <w:r>
              <w:rPr>
                <w:rFonts w:ascii="Times New Roman" w:cs="Times New Roman" w:eastAsia="Times New Roman" w:hAnsi="Times New Roman"/>
                <w:sz w:val="22"/>
                <w:szCs w:val="22"/>
                <w:color w:val="231F20"/>
                <w:vertAlign w:val="superscript"/>
              </w:rPr>
              <w:t>(1)</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360,708</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355,808</w:t>
            </w:r>
          </w:p>
        </w:tc>
      </w:tr>
      <w:tr>
        <w:trPr>
          <w:trHeight w:val="245"/>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Total liabilities</w:t>
            </w:r>
          </w:p>
        </w:tc>
        <w:tc>
          <w:tcPr>
            <w:tcW w:w="36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807,086</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8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802,280</w:t>
            </w:r>
          </w:p>
        </w:tc>
      </w:tr>
      <w:tr>
        <w:trPr>
          <w:trHeight w:val="24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1,115,574</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1,110,768</w:t>
            </w:r>
          </w:p>
        </w:tc>
      </w:tr>
      <w:tr>
        <w:trPr>
          <w:trHeight w:val="52"/>
        </w:trPr>
        <w:tc>
          <w:tcPr>
            <w:tcW w:w="5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r>
    </w:tbl>
    <w:p>
      <w:pPr>
        <w:spacing w:after="0" w:line="44" w:lineRule="exact"/>
        <w:rPr>
          <w:sz w:val="20"/>
          <w:szCs w:val="20"/>
          <w:color w:val="auto"/>
        </w:rPr>
      </w:pPr>
    </w:p>
    <w:p>
      <w:pPr>
        <w:ind w:left="140" w:hanging="137"/>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identified adjustments are to correct other immaterial errors.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5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2"/>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Cash Flows</w:t>
            </w:r>
          </w:p>
        </w:tc>
        <w:tc>
          <w:tcPr>
            <w:tcW w:w="260" w:type="dxa"/>
            <w:vAlign w:val="bottom"/>
          </w:tcPr>
          <w:p>
            <w:pPr>
              <w:spacing w:after="0"/>
              <w:rPr>
                <w:sz w:val="18"/>
                <w:szCs w:val="18"/>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240" w:type="dxa"/>
            <w:vAlign w:val="bottom"/>
          </w:tcPr>
          <w:p>
            <w:pPr>
              <w:spacing w:after="0"/>
              <w:rPr>
                <w:sz w:val="18"/>
                <w:szCs w:val="18"/>
                <w:color w:val="auto"/>
              </w:rPr>
            </w:pPr>
          </w:p>
        </w:tc>
        <w:tc>
          <w:tcPr>
            <w:tcW w:w="134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As Restated</w:t>
            </w:r>
          </w:p>
        </w:tc>
      </w:tr>
      <w:tr>
        <w:trPr>
          <w:trHeight w:val="212"/>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1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Changes in prepaid and other assets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(28,952)</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20,504</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(8,448)</w:t>
            </w:r>
          </w:p>
        </w:tc>
      </w:tr>
      <w:tr>
        <w:trPr>
          <w:trHeight w:val="245"/>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accounts payable</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(10,141)</w:t>
            </w:r>
          </w:p>
        </w:tc>
      </w:tr>
      <w:tr>
        <w:trPr>
          <w:trHeight w:val="245"/>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131,368</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14,456</w:t>
            </w:r>
          </w:p>
        </w:tc>
        <w:tc>
          <w:tcPr>
            <w:tcW w:w="8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145,824</w:t>
            </w:r>
          </w:p>
        </w:tc>
      </w:tr>
      <w:tr>
        <w:trPr>
          <w:trHeight w:val="258"/>
        </w:trPr>
        <w:tc>
          <w:tcPr>
            <w:tcW w:w="5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1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5"/>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furniture and equipment</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(42,306)</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(56,762)</w:t>
            </w:r>
          </w:p>
        </w:tc>
      </w:tr>
      <w:tr>
        <w:trPr>
          <w:trHeight w:val="21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(41,973)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(14,456)</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(56,429)</w:t>
            </w:r>
          </w:p>
        </w:tc>
      </w:tr>
      <w:tr>
        <w:trPr>
          <w:trHeight w:val="245"/>
        </w:trPr>
        <w:tc>
          <w:tcPr>
            <w:tcW w:w="5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6"/>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4"/>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5"/>
        </w:trPr>
        <w:tc>
          <w:tcPr>
            <w:tcW w:w="59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Lease incentives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7,313</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(7,313)</w:t>
            </w:r>
          </w:p>
        </w:tc>
        <w:tc>
          <w:tcPr>
            <w:tcW w:w="8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investing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5"/>
        </w:trPr>
        <w:tc>
          <w:tcPr>
            <w:tcW w:w="59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Purchase of property, furniture and equipment in accounts payable</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6,048</w:t>
            </w:r>
          </w:p>
        </w:tc>
        <w:tc>
          <w:tcPr>
            <w:tcW w:w="8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w:t>
            </w: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22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260" w:type="dxa"/>
            <w:vAlign w:val="bottom"/>
          </w:tcPr>
          <w:p>
            <w:pPr>
              <w:spacing w:after="0"/>
              <w:rPr>
                <w:sz w:val="18"/>
                <w:szCs w:val="18"/>
                <w:color w:val="auto"/>
              </w:rPr>
            </w:pPr>
          </w:p>
        </w:tc>
        <w:tc>
          <w:tcPr>
            <w:tcW w:w="13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As Revised</w:t>
            </w:r>
          </w:p>
        </w:tc>
      </w:tr>
      <w:tr>
        <w:trPr>
          <w:trHeight w:val="212"/>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Prepaid and 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37,371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r>
      <w:tr>
        <w:trPr>
          <w:trHeight w:val="245"/>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Total current assets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478,051</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(7,503)</w:t>
            </w:r>
          </w:p>
        </w:tc>
        <w:tc>
          <w:tcPr>
            <w:tcW w:w="8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470,548</w:t>
            </w:r>
          </w:p>
        </w:tc>
      </w:tr>
      <w:tr>
        <w:trPr>
          <w:trHeight w:val="245"/>
        </w:trPr>
        <w:tc>
          <w:tcPr>
            <w:tcW w:w="5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5"/>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Operating right-of-use assets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252,055</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5,292</w:t>
            </w:r>
          </w:p>
        </w:tc>
        <w:tc>
          <w:tcPr>
            <w:tcW w:w="8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257,347</w:t>
            </w:r>
          </w:p>
        </w:tc>
      </w:tr>
      <w:tr>
        <w:trPr>
          <w:trHeight w:val="245"/>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Property, furniture and equipment, net</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140,613</w:t>
            </w:r>
          </w:p>
        </w:tc>
      </w:tr>
      <w:tr>
        <w:trPr>
          <w:trHeight w:val="21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Other noncurrent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w:t>
            </w:r>
          </w:p>
        </w:tc>
      </w:tr>
      <w:tr>
        <w:trPr>
          <w:trHeight w:val="245"/>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Total assets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937,084</w:t>
            </w:r>
          </w:p>
        </w:tc>
      </w:tr>
      <w:tr>
        <w:trPr>
          <w:trHeight w:val="245"/>
        </w:trPr>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5"/>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Current portion of operating lease liabilities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39,250</w:t>
            </w:r>
          </w:p>
        </w:tc>
      </w:tr>
      <w:tr>
        <w:trPr>
          <w:trHeight w:val="245"/>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Total current liabilities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373,783</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373,289</w:t>
            </w:r>
          </w:p>
        </w:tc>
      </w:tr>
      <w:tr>
        <w:trPr>
          <w:trHeight w:val="245"/>
        </w:trPr>
        <w:tc>
          <w:tcPr>
            <w:tcW w:w="5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45"/>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Operating lease liabilities, long-term</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289,871</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5,786</w:t>
            </w:r>
          </w:p>
        </w:tc>
        <w:tc>
          <w:tcPr>
            <w:tcW w:w="8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295,657</w:t>
            </w:r>
          </w:p>
        </w:tc>
      </w:tr>
      <w:tr>
        <w:trPr>
          <w:trHeight w:val="245"/>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Total liabilities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722,097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727,389</w:t>
            </w: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931,792</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5,292</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937,084</w:t>
            </w: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7"/>
        </w:trPr>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Cash Flows</w:t>
            </w:r>
          </w:p>
        </w:tc>
        <w:tc>
          <w:tcPr>
            <w:tcW w:w="260" w:type="dxa"/>
            <w:vAlign w:val="bottom"/>
          </w:tcPr>
          <w:p>
            <w:pPr>
              <w:spacing w:after="0"/>
              <w:rPr>
                <w:sz w:val="18"/>
                <w:szCs w:val="18"/>
                <w:color w:val="auto"/>
              </w:rPr>
            </w:pPr>
          </w:p>
        </w:tc>
        <w:tc>
          <w:tcPr>
            <w:tcW w:w="150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260" w:type="dxa"/>
            <w:vAlign w:val="bottom"/>
          </w:tcPr>
          <w:p>
            <w:pPr>
              <w:spacing w:after="0"/>
              <w:rPr>
                <w:sz w:val="18"/>
                <w:szCs w:val="18"/>
                <w:color w:val="auto"/>
              </w:rPr>
            </w:pPr>
          </w:p>
        </w:tc>
        <w:tc>
          <w:tcPr>
            <w:tcW w:w="134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As Revised</w:t>
            </w:r>
          </w:p>
        </w:tc>
      </w:tr>
      <w:tr>
        <w:trPr>
          <w:trHeight w:val="212"/>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1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Changes in prepaid and other assets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(11,249)</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center"/>
              <w:ind w:left="754"/>
              <w:spacing w:after="0"/>
              <w:rPr>
                <w:sz w:val="20"/>
                <w:szCs w:val="20"/>
                <w:color w:val="auto"/>
              </w:rPr>
            </w:pPr>
            <w:r>
              <w:rPr>
                <w:rFonts w:ascii="Times New Roman" w:cs="Times New Roman" w:eastAsia="Times New Roman" w:hAnsi="Times New Roman"/>
                <w:sz w:val="17"/>
                <w:szCs w:val="17"/>
                <w:color w:val="auto"/>
                <w:w w:val="99"/>
              </w:rPr>
              <w:t>5,032</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(6,217)</w:t>
            </w:r>
          </w:p>
        </w:tc>
      </w:tr>
      <w:tr>
        <w:trPr>
          <w:trHeight w:val="245"/>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accounts payable</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rPr>
              <w:t>(1,810)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8,524</w:t>
            </w:r>
          </w:p>
        </w:tc>
      </w:tr>
      <w:tr>
        <w:trPr>
          <w:trHeight w:val="245"/>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58,237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center"/>
              <w:ind w:left="754"/>
              <w:spacing w:after="0"/>
              <w:rPr>
                <w:sz w:val="20"/>
                <w:szCs w:val="20"/>
                <w:color w:val="auto"/>
              </w:rPr>
            </w:pPr>
            <w:r>
              <w:rPr>
                <w:rFonts w:ascii="Times New Roman" w:cs="Times New Roman" w:eastAsia="Times New Roman" w:hAnsi="Times New Roman"/>
                <w:sz w:val="17"/>
                <w:szCs w:val="17"/>
                <w:color w:val="auto"/>
                <w:w w:val="99"/>
              </w:rPr>
              <w:t>3,222</w:t>
            </w:r>
          </w:p>
        </w:tc>
        <w:tc>
          <w:tcPr>
            <w:tcW w:w="8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61,459</w:t>
            </w:r>
          </w:p>
        </w:tc>
      </w:tr>
      <w:tr>
        <w:trPr>
          <w:trHeight w:val="245"/>
        </w:trPr>
        <w:tc>
          <w:tcPr>
            <w:tcW w:w="5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1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5"/>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furniture and equipment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(36,950)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rPr>
              <w:t>(3,222)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(40,172)</w:t>
            </w:r>
          </w:p>
        </w:tc>
      </w:tr>
      <w:tr>
        <w:trPr>
          <w:trHeight w:val="21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(36,950)</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(3,222)</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(40,172)</w:t>
            </w:r>
          </w:p>
        </w:tc>
      </w:tr>
      <w:tr>
        <w:trPr>
          <w:trHeight w:val="245"/>
        </w:trPr>
        <w:tc>
          <w:tcPr>
            <w:tcW w:w="5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4"/>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5"/>
        </w:trPr>
        <w:tc>
          <w:tcPr>
            <w:tcW w:w="58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Lease incentives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rPr>
              <w:t>(7,532)</w:t>
            </w:r>
          </w:p>
        </w:tc>
        <w:tc>
          <w:tcPr>
            <w:tcW w:w="8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investing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5"/>
        </w:trPr>
        <w:tc>
          <w:tcPr>
            <w:tcW w:w="58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Purchase of property, furniture and equipment in accounts payable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2,661</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center"/>
              <w:ind w:left="754"/>
              <w:spacing w:after="0"/>
              <w:rPr>
                <w:sz w:val="20"/>
                <w:szCs w:val="20"/>
                <w:color w:val="auto"/>
              </w:rPr>
            </w:pPr>
            <w:r>
              <w:rPr>
                <w:rFonts w:ascii="Times New Roman" w:cs="Times New Roman" w:eastAsia="Times New Roman" w:hAnsi="Times New Roman"/>
                <w:sz w:val="17"/>
                <w:szCs w:val="17"/>
                <w:color w:val="auto"/>
                <w:w w:val="99"/>
              </w:rPr>
              <w:t>1,810</w:t>
            </w:r>
          </w:p>
        </w:tc>
        <w:tc>
          <w:tcPr>
            <w:tcW w:w="80" w:type="dxa"/>
            <w:vAlign w:val="bottom"/>
          </w:tcPr>
          <w:p>
            <w:pPr>
              <w:spacing w:after="0"/>
              <w:rPr>
                <w:sz w:val="21"/>
                <w:szCs w:val="21"/>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4,471</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8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w:t>
      </w:r>
    </w:p>
    <w:p>
      <w:pPr>
        <w:spacing w:after="0" w:line="14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goodwill and fair value of financial instruments which include, but are not limited to, accounts receivable, payables and lease obligations.</w:t>
      </w: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Client Deposits</w:t>
      </w:r>
    </w:p>
    <w:p>
      <w:pPr>
        <w:spacing w:after="0" w:line="18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substantially all client deposits as of September 30, 2023 will be recognized as net revenue within the next 12 months as the performance obligations are satisfied.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Gift Cards</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at September 30, 2023 and December 31, 2022 of $0.4 million and $1.0 million, respectively, is recorded in the accrued other expenses line item of the condensed consolidated balance sheets. The Company recognizes income associated with breakage proportional to actual gift card redemptions. For the nine and three months ended September 30, 2023, breakage income was $0.8 million and $0.1 million, respectively. For the nine and three months ended September 30, 2022, breakage was minimal.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Values of Financial Instruments</w:t>
      </w:r>
    </w:p>
    <w:p>
      <w:pPr>
        <w:spacing w:after="0" w:line="19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September 30, 2023 and December 31, 2022. See Note 5 —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for discussion of our lease obligations and Note 6 — </w:t>
      </w:r>
      <w:r>
        <w:rPr>
          <w:rFonts w:ascii="Times New Roman" w:cs="Times New Roman" w:eastAsia="Times New Roman" w:hAnsi="Times New Roman"/>
          <w:sz w:val="17"/>
          <w:szCs w:val="17"/>
          <w:i w:val="1"/>
          <w:iCs w:val="1"/>
          <w:color w:val="auto"/>
        </w:rPr>
        <w:t>Equity Based Compensation</w:t>
      </w:r>
      <w:r>
        <w:rPr>
          <w:rFonts w:ascii="Times New Roman" w:cs="Times New Roman" w:eastAsia="Times New Roman" w:hAnsi="Times New Roman"/>
          <w:sz w:val="17"/>
          <w:szCs w:val="17"/>
          <w:color w:val="auto"/>
        </w:rPr>
        <w:t xml:space="preserve"> for discussion of our equity based compensation instruments.</w:t>
      </w:r>
    </w:p>
    <w:p>
      <w:pPr>
        <w:spacing w:after="0" w:line="133"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7"/>
          <w:szCs w:val="17"/>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33" w:lineRule="exact"/>
        <w:rPr>
          <w:sz w:val="20"/>
          <w:szCs w:val="20"/>
          <w:color w:val="auto"/>
        </w:rPr>
      </w:pPr>
    </w:p>
    <w:p>
      <w:pPr>
        <w:ind w:left="1540" w:right="60" w:hanging="927"/>
        <w:spacing w:after="0" w:line="287" w:lineRule="auto"/>
        <w:tabs>
          <w:tab w:leader="none" w:pos="1520" w:val="left"/>
        </w:tabs>
        <w:rPr>
          <w:sz w:val="20"/>
          <w:szCs w:val="20"/>
          <w:color w:val="auto"/>
        </w:rPr>
      </w:pPr>
      <w:r>
        <w:rPr>
          <w:rFonts w:ascii="Times New Roman" w:cs="Times New Roman" w:eastAsia="Times New Roman" w:hAnsi="Times New Roman"/>
          <w:sz w:val="17"/>
          <w:szCs w:val="17"/>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for identical, unrestricted assets and liabilities that the reporting entity has the ability to access at the measurement date.</w:t>
      </w:r>
    </w:p>
    <w:p>
      <w:pPr>
        <w:spacing w:after="0" w:line="125" w:lineRule="exact"/>
        <w:rPr>
          <w:sz w:val="20"/>
          <w:szCs w:val="20"/>
          <w:color w:val="auto"/>
        </w:rPr>
      </w:pPr>
    </w:p>
    <w:p>
      <w:pPr>
        <w:ind w:left="1540" w:right="80" w:hanging="927"/>
        <w:spacing w:after="0" w:line="287" w:lineRule="auto"/>
        <w:tabs>
          <w:tab w:leader="none" w:pos="1520" w:val="left"/>
        </w:tabs>
        <w:rPr>
          <w:sz w:val="20"/>
          <w:szCs w:val="20"/>
          <w:color w:val="auto"/>
        </w:rPr>
      </w:pPr>
      <w:r>
        <w:rPr>
          <w:rFonts w:ascii="Times New Roman" w:cs="Times New Roman" w:eastAsia="Times New Roman" w:hAnsi="Times New Roman"/>
          <w:sz w:val="17"/>
          <w:szCs w:val="17"/>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13" w:lineRule="exact"/>
        <w:rPr>
          <w:sz w:val="20"/>
          <w:szCs w:val="20"/>
          <w:color w:val="auto"/>
        </w:rPr>
      </w:pPr>
    </w:p>
    <w:p>
      <w:pPr>
        <w:ind w:left="1540" w:right="20" w:hanging="927"/>
        <w:spacing w:after="0" w:line="287" w:lineRule="auto"/>
        <w:tabs>
          <w:tab w:leader="none" w:pos="1520" w:val="left"/>
        </w:tabs>
        <w:rPr>
          <w:sz w:val="20"/>
          <w:szCs w:val="20"/>
          <w:color w:val="auto"/>
        </w:rPr>
      </w:pPr>
      <w:r>
        <w:rPr>
          <w:rFonts w:ascii="Times New Roman" w:cs="Times New Roman" w:eastAsia="Times New Roman" w:hAnsi="Times New Roman"/>
          <w:sz w:val="17"/>
          <w:szCs w:val="17"/>
          <w:color w:val="auto"/>
        </w:rPr>
        <w:t>Level 3</w:t>
      </w:r>
      <w:r>
        <w:rPr>
          <w:sz w:val="20"/>
          <w:szCs w:val="20"/>
          <w:color w:val="auto"/>
        </w:rPr>
        <w:tab/>
      </w:r>
      <w:r>
        <w:rPr>
          <w:rFonts w:ascii="Times New Roman" w:cs="Times New Roman" w:eastAsia="Times New Roman" w:hAnsi="Times New Roman"/>
          <w:sz w:val="17"/>
          <w:szCs w:val="17"/>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6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From time to time, the Company invests in money market funds and other Level 1 cash and cash equivalent investments. For the nine and three months ended September 30, 2023, the Company earned $5.8 million and $2.5 million, respectively, in interest income. For the nine and three months ended September 30, 2022, interest income was $0.6 million and $0.6 million, respectively. Interest income is included within interest expense (income), net on our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Prepaid and Other Current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 and other current assets consist of the following (amounts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8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12"/>
        </w:trPr>
        <w:tc>
          <w:tcPr>
            <w:tcW w:w="4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Tenant allowance receivable</w:t>
            </w:r>
          </w:p>
        </w:tc>
        <w:tc>
          <w:tcPr>
            <w:tcW w:w="50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7,373</w:t>
            </w:r>
          </w:p>
        </w:tc>
        <w:tc>
          <w:tcPr>
            <w:tcW w:w="8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4,312</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11,228</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 of return asset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advertising</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w:t>
            </w:r>
          </w:p>
        </w:tc>
      </w:tr>
      <w:tr>
        <w:trPr>
          <w:trHeight w:val="219"/>
        </w:trPr>
        <w:tc>
          <w:tcPr>
            <w:tcW w:w="47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Prepaid cloud computing arrangements, net</w:t>
            </w:r>
            <w:r>
              <w:rPr>
                <w:rFonts w:ascii="Times New Roman" w:cs="Times New Roman" w:eastAsia="Times New Roman" w:hAnsi="Times New Roman"/>
                <w:sz w:val="22"/>
                <w:szCs w:val="22"/>
                <w:color w:val="auto"/>
                <w:vertAlign w:val="superscript"/>
              </w:rPr>
              <w:t>(1)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9,520</w:t>
            </w:r>
          </w:p>
        </w:tc>
      </w:tr>
      <w:tr>
        <w:trPr>
          <w:trHeight w:val="212"/>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prepaid and other current assets</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36,699</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29,868</w:t>
            </w:r>
          </w:p>
        </w:tc>
      </w:tr>
      <w:tr>
        <w:trPr>
          <w:trHeight w:val="45"/>
        </w:trPr>
        <w:tc>
          <w:tcPr>
            <w:tcW w:w="4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r>
        <w:trPr>
          <w:trHeight w:val="20"/>
        </w:trPr>
        <w:tc>
          <w:tcPr>
            <w:tcW w:w="47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83" w:lineRule="exact"/>
        <w:rPr>
          <w:sz w:val="20"/>
          <w:szCs w:val="20"/>
          <w:color w:val="auto"/>
        </w:rPr>
      </w:pPr>
    </w:p>
    <w:p>
      <w:pPr>
        <w:ind w:left="140" w:hanging="137"/>
        <w:spacing w:after="0"/>
        <w:tabs>
          <w:tab w:leader="none" w:pos="1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Presented net of accumulated amortization of $1.2 million as of September 30,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Recently Issued Accounting Standards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Standards Adopted in Fiscal 2023</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did not adopt any Accounting Standards Updates (“ASU”) in the nine months ended September 30, 2023 that had a material impact on our accounting policies or our condensed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Not Yet Adopted</w:t>
      </w:r>
    </w:p>
    <w:p>
      <w:pPr>
        <w:spacing w:after="0" w:line="182"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7"/>
          <w:szCs w:val="17"/>
          <w:color w:val="auto"/>
        </w:rPr>
        <w:t>The following table summarizes accounting pronouncements which we have not yet adopted but will be adopted in the upcoming fiscal year. ASU 2023-01 is effective for annual periods beginning after December 15, 2023. We believe the adoption will not have a material impact on our accounting policies or our consolidated financial statements and related disclosures.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ASU</w:t>
            </w: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Adoption Date</w:t>
            </w:r>
          </w:p>
        </w:tc>
      </w:tr>
      <w:tr>
        <w:trPr>
          <w:trHeight w:val="212"/>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ASU 2023-01</w:t>
            </w:r>
          </w:p>
        </w:tc>
        <w:tc>
          <w:tcPr>
            <w:tcW w:w="140" w:type="dxa"/>
            <w:vAlign w:val="bottom"/>
            <w:tcBorders>
              <w:top w:val="single" w:sz="8" w:color="CCEEFF"/>
            </w:tcBorders>
            <w:shd w:val="clear" w:color="auto" w:fill="CCEEFF"/>
          </w:tcPr>
          <w:p>
            <w:pPr>
              <w:spacing w:after="0"/>
              <w:rPr>
                <w:sz w:val="18"/>
                <w:szCs w:val="18"/>
                <w:color w:val="auto"/>
              </w:rPr>
            </w:pPr>
          </w:p>
        </w:tc>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Leases (Topic 842): Common Control Arrangements</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2024</w:t>
            </w:r>
          </w:p>
        </w:tc>
      </w:tr>
      <w:tr>
        <w:trPr>
          <w:trHeight w:val="465"/>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3. Merchandise Warranties</w:t>
            </w: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16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changes in our limited merchandise warranty liability is as follows (amounts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spacing w:after="0"/>
              <w:rPr>
                <w:sz w:val="19"/>
                <w:szCs w:val="19"/>
                <w:color w:val="auto"/>
              </w:rPr>
            </w:pPr>
          </w:p>
        </w:tc>
        <w:tc>
          <w:tcPr>
            <w:tcW w:w="3160" w:type="dxa"/>
            <w:vAlign w:val="bottom"/>
            <w:gridSpan w:val="6"/>
          </w:tcPr>
          <w:p>
            <w:pPr>
              <w:ind w:left="2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60" w:type="dxa"/>
            <w:vAlign w:val="bottom"/>
          </w:tcPr>
          <w:p>
            <w:pPr>
              <w:spacing w:after="0"/>
              <w:rPr>
                <w:sz w:val="19"/>
                <w:szCs w:val="19"/>
                <w:color w:val="auto"/>
              </w:rPr>
            </w:pPr>
          </w:p>
        </w:tc>
        <w:tc>
          <w:tcPr>
            <w:tcW w:w="2900" w:type="dxa"/>
            <w:vAlign w:val="bottom"/>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40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beginning of period</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w w:val="99"/>
              </w:rPr>
              <w:t>4,724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9"/>
              </w:rPr>
              <w:t>6,578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rPr>
              <w:t>5,412</w:t>
            </w:r>
          </w:p>
        </w:tc>
      </w:tr>
      <w:tr>
        <w:trPr>
          <w:trHeight w:val="219"/>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Accruals during the period</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10,292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w w:val="99"/>
              </w:rPr>
              <w:t>8,285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w w:val="99"/>
              </w:rPr>
              <w:t>3,543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rPr>
              <w:t>3,181</w:t>
            </w: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 during the period</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(7,152)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7"/>
                <w:szCs w:val="17"/>
                <w:color w:val="auto"/>
              </w:rPr>
              <w:t>(3,308)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(2,736)</w:t>
            </w:r>
          </w:p>
        </w:tc>
      </w:tr>
      <w:tr>
        <w:trPr>
          <w:trHeight w:val="212"/>
        </w:trPr>
        <w:tc>
          <w:tcPr>
            <w:tcW w:w="402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Balance as of end of the period</w:t>
            </w:r>
            <w:r>
              <w:rPr>
                <w:rFonts w:ascii="Times New Roman" w:cs="Times New Roman" w:eastAsia="Times New Roman" w:hAnsi="Times New Roman"/>
                <w:sz w:val="22"/>
                <w:szCs w:val="22"/>
                <w:color w:val="auto"/>
                <w:vertAlign w:val="superscript"/>
              </w:rPr>
              <w:t>(1)</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7"/>
                <w:szCs w:val="17"/>
                <w:color w:val="auto"/>
                <w:w w:val="99"/>
              </w:rPr>
              <w:t>5,857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center"/>
              <w:ind w:left="734"/>
              <w:spacing w:after="0"/>
              <w:rPr>
                <w:sz w:val="20"/>
                <w:szCs w:val="20"/>
                <w:color w:val="auto"/>
              </w:rPr>
            </w:pPr>
            <w:r>
              <w:rPr>
                <w:rFonts w:ascii="Times New Roman" w:cs="Times New Roman" w:eastAsia="Times New Roman" w:hAnsi="Times New Roman"/>
                <w:sz w:val="17"/>
                <w:szCs w:val="17"/>
                <w:color w:val="auto"/>
                <w:w w:val="99"/>
              </w:rPr>
              <w:t>6,813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7"/>
                <w:szCs w:val="17"/>
                <w:color w:val="auto"/>
              </w:rPr>
              <w:t>5,857</w:t>
            </w:r>
          </w:p>
        </w:tc>
      </w:tr>
      <w:tr>
        <w:trPr>
          <w:trHeight w:val="20"/>
        </w:trPr>
        <w:tc>
          <w:tcPr>
            <w:tcW w:w="4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6"/>
        </w:trPr>
        <w:tc>
          <w:tcPr>
            <w:tcW w:w="402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bl>
    <w:p>
      <w:pPr>
        <w:spacing w:after="0" w:line="70" w:lineRule="exact"/>
        <w:rPr>
          <w:sz w:val="20"/>
          <w:szCs w:val="20"/>
          <w:color w:val="auto"/>
        </w:rPr>
      </w:pPr>
    </w:p>
    <w:p>
      <w:pPr>
        <w:ind w:right="400" w:firstLine="3"/>
        <w:spacing w:after="0" w:line="241" w:lineRule="auto"/>
        <w:tabs>
          <w:tab w:leader="none" w:pos="138"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$3.9 million and $3.7 million were recorded in accrued other expenses at September 30, 2023 and December 31, 2022, respectively. The remainder is recorded in other long-term liabilities on our condensed consolidated balance sheets.</w:t>
      </w:r>
    </w:p>
    <w:p>
      <w:pPr>
        <w:spacing w:after="0" w:line="16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We recorded accruals during the periods presented in the table above, primarily to reflect charges that relate to limited merchandise warranties issued during the respective periods.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Long-Term Debt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November 8, 2021, the Company entered into a revolving credit facility (the “2021 Credit Facility”). The 2021 Credit Facility provides for, among other things,</w:t>
      </w:r>
    </w:p>
    <w:p>
      <w:pPr>
        <w:spacing w:after="0" w:line="28" w:lineRule="exact"/>
        <w:rPr>
          <w:sz w:val="20"/>
          <w:szCs w:val="20"/>
          <w:color w:val="auto"/>
        </w:rPr>
      </w:pPr>
    </w:p>
    <w:p>
      <w:pPr>
        <w:ind w:right="80" w:firstLine="3"/>
        <w:spacing w:after="0" w:line="255" w:lineRule="auto"/>
        <w:tabs>
          <w:tab w:leader="none" w:pos="24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September 30, 2023 and 2022), whereas the applicable margin is adjusted quarterly based on the Company’s consolidated rent-adjusted total leverage ratio.</w:t>
      </w:r>
    </w:p>
    <w:p>
      <w:pPr>
        <w:spacing w:after="0" w:line="14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w:t>
      </w:r>
    </w:p>
    <w:p>
      <w:pPr>
        <w:spacing w:after="0" w:line="33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At September 30, 2023 and December 31, 2022, we had no borrowings on the 2021 Credit Facility. Deferred financing costs related to the 2021 Credit Facility of $0.4 million are recorded in other noncurrent assets on the consolidated balance sheets and will be amortized over the term of the 2021 Credit Facility on a straight-line basis. Accumulated amortization related to deferred financing costs for the 2021 Credit Facility was $0.1 million as of September 30, 2023 and December 31, 2022.</w:t>
      </w:r>
    </w:p>
    <w:p>
      <w:pPr>
        <w:spacing w:after="0" w:line="14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Company was in compliance with all applicable debt covenants at September 30, 2023 and December 31, 2022, and expects to remain in compliance over the next 12 months.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Leases</w:t>
      </w:r>
    </w:p>
    <w:p>
      <w:pPr>
        <w:spacing w:after="0" w:line="17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color w:val="auto"/>
        </w:rPr>
        <w:t xml:space="preserve">The Company leases real estate and equipment under operating and finance leases, some of which are from related parties as discussed in Note 10 — </w:t>
      </w:r>
      <w:r>
        <w:rPr>
          <w:rFonts w:ascii="Times New Roman" w:cs="Times New Roman" w:eastAsia="Times New Roman" w:hAnsi="Times New Roman"/>
          <w:sz w:val="17"/>
          <w:szCs w:val="17"/>
          <w:i w:val="1"/>
          <w:iCs w:val="1"/>
          <w:color w:val="auto"/>
        </w:rPr>
        <w:t>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Party Transactions</w:t>
      </w:r>
      <w:r>
        <w:rPr>
          <w:rFonts w:ascii="Times New Roman" w:cs="Times New Roman" w:eastAsia="Times New Roman" w:hAnsi="Times New Roman"/>
          <w:sz w:val="17"/>
          <w:szCs w:val="17"/>
          <w:color w:val="auto"/>
        </w:rPr>
        <w:t>. The most significant obligations under these lease agreements require the payments of periodic rentals, real estate taxes, insurance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maintenance costs. Depending on particular Showroom leases, the Company can also owe a percentage rent payment if particular Showrooms meet certain sales figures.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amounts recognized in our condensed consolidated balance sheets related to leases as of September 30, 2023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2022, respectively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 Classification</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0" w:type="dxa"/>
            <w:vAlign w:val="bottom"/>
          </w:tcPr>
          <w:p>
            <w:pPr>
              <w:spacing w:after="0"/>
              <w:rPr>
                <w:sz w:val="1"/>
                <w:szCs w:val="1"/>
                <w:color w:val="auto"/>
              </w:rPr>
            </w:pPr>
          </w:p>
        </w:tc>
      </w:tr>
      <w:tr>
        <w:trPr>
          <w:trHeight w:val="212"/>
        </w:trPr>
        <w:tc>
          <w:tcPr>
            <w:tcW w:w="3040" w:type="dxa"/>
            <w:vAlign w:val="bottom"/>
            <w:tcBorders>
              <w:top w:val="single" w:sz="8" w:color="CCEEFF"/>
            </w:tcBorders>
            <w:shd w:val="clear" w:color="auto" w:fill="CCEEFF"/>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right-of-use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309,572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assets</w:t>
            </w:r>
          </w:p>
        </w:tc>
        <w:tc>
          <w:tcPr>
            <w:tcW w:w="4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Financing right-of-use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39,480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leased assets</w:t>
            </w:r>
          </w:p>
        </w:tc>
        <w:tc>
          <w:tcPr>
            <w:tcW w:w="4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349,052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295,869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04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4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operating leases</w:t>
            </w: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42,566</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operating leases</w:t>
            </w: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long-term</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355,808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295,657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398,374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334,907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040" w:type="dxa"/>
            <w:vAlign w:val="bottom"/>
            <w:shd w:val="clear" w:color="auto" w:fill="CCEEFF"/>
          </w:tcPr>
          <w:p>
            <w:pPr>
              <w:spacing w:after="0"/>
              <w:rPr>
                <w:sz w:val="22"/>
                <w:szCs w:val="22"/>
                <w:color w:val="auto"/>
              </w:rPr>
            </w:pPr>
          </w:p>
        </w:tc>
        <w:tc>
          <w:tcPr>
            <w:tcW w:w="4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finance leases</w:t>
            </w: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portion of financing lease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finance leases</w:t>
            </w: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lease liabilities, long-term</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4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54,935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4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453,309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ind w:left="250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30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4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components of lease cost recognized within our condensed consolidated statements of comprehensive income for the nine and three months ended September 30, 2023 and 2022, respectively are as follows (amounts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Nine months ended September</w:t>
            </w:r>
          </w:p>
        </w:tc>
        <w:tc>
          <w:tcPr>
            <w:tcW w:w="120" w:type="dxa"/>
            <w:vAlign w:val="bottom"/>
          </w:tcPr>
          <w:p>
            <w:pPr>
              <w:spacing w:after="0"/>
              <w:rPr>
                <w:sz w:val="17"/>
                <w:szCs w:val="17"/>
                <w:color w:val="auto"/>
              </w:rPr>
            </w:pPr>
          </w:p>
        </w:tc>
        <w:tc>
          <w:tcPr>
            <w:tcW w:w="2500" w:type="dxa"/>
            <w:vAlign w:val="bottom"/>
            <w:gridSpan w:val="5"/>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Three months ended September</w:t>
            </w: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Income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30,</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360" w:type="dxa"/>
            <w:vAlign w:val="bottom"/>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 Classification</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Lease costs:</w:t>
            </w:r>
          </w:p>
        </w:tc>
        <w:tc>
          <w:tcPr>
            <w:tcW w:w="2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31,894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11,518</w:t>
            </w:r>
          </w:p>
        </w:tc>
        <w:tc>
          <w:tcPr>
            <w:tcW w:w="44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8,716</w:t>
            </w:r>
          </w:p>
        </w:tc>
        <w:tc>
          <w:tcPr>
            <w:tcW w:w="0" w:type="dxa"/>
            <w:vAlign w:val="bottom"/>
          </w:tcPr>
          <w:p>
            <w:pPr>
              <w:spacing w:after="0"/>
              <w:rPr>
                <w:sz w:val="1"/>
                <w:szCs w:val="1"/>
                <w:color w:val="auto"/>
              </w:rPr>
            </w:pPr>
          </w:p>
        </w:tc>
      </w:tr>
      <w:tr>
        <w:trPr>
          <w:trHeight w:val="177"/>
        </w:trPr>
        <w:tc>
          <w:tcPr>
            <w:tcW w:w="3360" w:type="dxa"/>
            <w:vAlign w:val="bottom"/>
            <w:shd w:val="clear" w:color="auto" w:fill="CCEEFF"/>
          </w:tcPr>
          <w:p>
            <w:pPr>
              <w:spacing w:after="0"/>
              <w:rPr>
                <w:sz w:val="15"/>
                <w:szCs w:val="15"/>
                <w:color w:val="auto"/>
              </w:rPr>
            </w:pPr>
          </w:p>
        </w:tc>
        <w:tc>
          <w:tcPr>
            <w:tcW w:w="266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w:t>
            </w: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costs</w:t>
            </w:r>
          </w:p>
        </w:tc>
        <w:tc>
          <w:tcPr>
            <w:tcW w:w="2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360" w:type="dxa"/>
            <w:vAlign w:val="bottom"/>
            <w:shd w:val="clear" w:color="auto" w:fill="CCEEFF"/>
          </w:tcPr>
          <w:p>
            <w:pPr>
              <w:spacing w:after="0"/>
              <w:rPr>
                <w:sz w:val="15"/>
                <w:szCs w:val="15"/>
                <w:color w:val="auto"/>
              </w:rPr>
            </w:pPr>
          </w:p>
        </w:tc>
        <w:tc>
          <w:tcPr>
            <w:tcW w:w="266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on lease liabilities</w:t>
            </w: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Variable lease costs</w:t>
            </w:r>
            <w:r>
              <w:rPr>
                <w:rFonts w:ascii="Times New Roman" w:cs="Times New Roman" w:eastAsia="Times New Roman" w:hAnsi="Times New Roman"/>
                <w:sz w:val="22"/>
                <w:szCs w:val="22"/>
                <w:color w:val="auto"/>
                <w:vertAlign w:val="superscript"/>
              </w:rPr>
              <w:t>(1)</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9,961</w:t>
            </w: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26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 term lease costs</w:t>
            </w:r>
          </w:p>
        </w:tc>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costs</w:t>
            </w:r>
          </w:p>
        </w:tc>
        <w:tc>
          <w:tcPr>
            <w:tcW w:w="2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25,466</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right="500" w:firstLine="3"/>
        <w:spacing w:after="0" w:line="241" w:lineRule="auto"/>
        <w:tabs>
          <w:tab w:leader="none" w:pos="138"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$0.4 million of month-to-month lease costs for the nine months ended September 30, 2023. The Company did not have month-to-month lease costs for the nine and three months ended September 30, 2022 or the three months ended September 30, 2023.</w:t>
      </w:r>
    </w:p>
    <w:p>
      <w:pPr>
        <w:spacing w:after="0" w:line="160"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7"/>
          <w:szCs w:val="17"/>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options at the lease commencement date to determine if we are reasonably certain to exercise the option on the basis of economic factors. The table below summarizes the weighted average remaining lease terms as of September 30, 2023 and 2022,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Remaining Lease Term (In Years)</w:t>
            </w:r>
          </w:p>
        </w:tc>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212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September 30, 2022</w:t>
            </w:r>
          </w:p>
        </w:tc>
      </w:tr>
      <w:tr>
        <w:trPr>
          <w:trHeight w:val="212"/>
        </w:trPr>
        <w:tc>
          <w:tcPr>
            <w:tcW w:w="6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8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r>
      <w:tr>
        <w:trPr>
          <w:trHeight w:val="21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w:t>
            </w: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22.66</w:t>
            </w:r>
          </w:p>
        </w:tc>
      </w:tr>
    </w:tbl>
    <w:p>
      <w:pPr>
        <w:spacing w:after="0" w:line="2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discount rate implicit within our finance leases was determined at the time of lease commencement. However, the discount rate implicit within our operating leases is generally not determinable at the time of lease commencement and therefore the Company determines the discount rate based on its incremental borrowing rate. For all operating leases in which the discount rate is not explicit, the Company utilized a market-based approach to estimate the incremental borrowing rate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table below summarizes the weighted average discount rate used to measure our lease liabilities as of September 30, 2023 and 2022,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Discount Rate</w:t>
            </w: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278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September 30, 2022</w:t>
            </w:r>
          </w:p>
        </w:tc>
      </w:tr>
      <w:tr>
        <w:trPr>
          <w:trHeight w:val="212"/>
        </w:trPr>
        <w:tc>
          <w:tcPr>
            <w:tcW w:w="398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0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4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5.94 %</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4.56 %</w:t>
            </w:r>
          </w:p>
        </w:tc>
        <w:tc>
          <w:tcPr>
            <w:tcW w:w="560" w:type="dxa"/>
            <w:vAlign w:val="bottom"/>
          </w:tcPr>
          <w:p>
            <w:pPr>
              <w:spacing w:after="0"/>
              <w:rPr>
                <w:sz w:val="19"/>
                <w:szCs w:val="19"/>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4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9.63 %</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9.72 %</w:t>
            </w:r>
          </w:p>
        </w:tc>
        <w:tc>
          <w:tcPr>
            <w:tcW w:w="560" w:type="dxa"/>
            <w:vAlign w:val="bottom"/>
          </w:tcPr>
          <w:p>
            <w:pPr>
              <w:spacing w:after="0"/>
              <w:rPr>
                <w:sz w:val="19"/>
                <w:szCs w:val="19"/>
                <w:color w:val="auto"/>
              </w:rPr>
            </w:pPr>
          </w:p>
        </w:tc>
      </w:tr>
      <w:tr>
        <w:trPr>
          <w:trHeight w:val="847"/>
        </w:trPr>
        <w:tc>
          <w:tcPr>
            <w:tcW w:w="3980" w:type="dxa"/>
            <w:vAlign w:val="bottom"/>
          </w:tcPr>
          <w:p>
            <w:pPr>
              <w:spacing w:after="0"/>
              <w:rPr>
                <w:sz w:val="24"/>
                <w:szCs w:val="24"/>
                <w:color w:val="auto"/>
              </w:rPr>
            </w:pPr>
          </w:p>
        </w:tc>
        <w:tc>
          <w:tcPr>
            <w:tcW w:w="21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8"/>
        </w:trPr>
        <w:tc>
          <w:tcPr>
            <w:tcW w:w="398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lease liabilities at September 30, 2023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20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Operating Lease</w:t>
            </w:r>
          </w:p>
        </w:tc>
        <w:tc>
          <w:tcPr>
            <w:tcW w:w="100" w:type="dxa"/>
            <w:vAlign w:val="bottom"/>
          </w:tcPr>
          <w:p>
            <w:pPr>
              <w:spacing w:after="0"/>
              <w:rPr>
                <w:sz w:val="17"/>
                <w:szCs w:val="17"/>
                <w:color w:val="auto"/>
              </w:rPr>
            </w:pP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 Liabilities</w:t>
            </w:r>
          </w:p>
        </w:tc>
        <w:tc>
          <w:tcPr>
            <w:tcW w:w="120" w:type="dxa"/>
            <w:vAlign w:val="bottom"/>
          </w:tcPr>
          <w:p>
            <w:pPr>
              <w:spacing w:after="0"/>
              <w:rPr>
                <w:sz w:val="17"/>
                <w:szCs w:val="17"/>
                <w:color w:val="auto"/>
              </w:rPr>
            </w:pPr>
          </w:p>
        </w:tc>
        <w:tc>
          <w:tcPr>
            <w:tcW w:w="174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9"/>
              </w:rPr>
              <w:t>Total Lease Liabilities</w:t>
            </w:r>
          </w:p>
        </w:tc>
        <w:tc>
          <w:tcPr>
            <w:tcW w:w="0" w:type="dxa"/>
            <w:vAlign w:val="bottom"/>
          </w:tcPr>
          <w:p>
            <w:pPr>
              <w:spacing w:after="0"/>
              <w:rPr>
                <w:sz w:val="1"/>
                <w:szCs w:val="1"/>
                <w:color w:val="auto"/>
              </w:rPr>
            </w:pPr>
          </w:p>
        </w:tc>
      </w:tr>
      <w:tr>
        <w:trPr>
          <w:trHeight w:val="230"/>
        </w:trPr>
        <w:tc>
          <w:tcPr>
            <w:tcW w:w="3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center"/>
              <w:ind w:right="300"/>
              <w:spacing w:after="0" w:line="229" w:lineRule="exact"/>
              <w:rPr>
                <w:sz w:val="20"/>
                <w:szCs w:val="20"/>
                <w:color w:val="auto"/>
              </w:rPr>
            </w:pPr>
            <w:r>
              <w:rPr>
                <w:rFonts w:ascii="Times New Roman" w:cs="Times New Roman" w:eastAsia="Times New Roman" w:hAnsi="Times New Roman"/>
                <w:sz w:val="17"/>
                <w:szCs w:val="17"/>
                <w:b w:val="1"/>
                <w:bCs w:val="1"/>
                <w:color w:val="auto"/>
                <w:w w:val="95"/>
              </w:rPr>
              <w:t xml:space="preserve">Liabilities </w:t>
            </w:r>
            <w:r>
              <w:rPr>
                <w:rFonts w:ascii="Times New Roman" w:cs="Times New Roman" w:eastAsia="Times New Roman" w:hAnsi="Times New Roman"/>
                <w:sz w:val="22"/>
                <w:szCs w:val="22"/>
                <w:b w:val="1"/>
                <w:bCs w:val="1"/>
                <w:color w:val="auto"/>
                <w:w w:val="95"/>
                <w:vertAlign w:val="superscript"/>
              </w:rPr>
              <w:t>(1)</w:t>
            </w:r>
          </w:p>
        </w:tc>
        <w:tc>
          <w:tcPr>
            <w:tcW w:w="10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As Restated</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16,620</w:t>
            </w: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70,874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66,935</w:t>
            </w: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63,167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59,171</w:t>
            </w: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53,540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229,657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109,943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339,600</w:t>
            </w: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528,934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669,907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Amounts representing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(130,560)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(86,038)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(216,598)</w:t>
            </w: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398,374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54,935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453,309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140" w:hanging="137"/>
        <w:spacing w:after="0"/>
        <w:tabs>
          <w:tab w:leader="none" w:pos="1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Includes leases with related parties. See Note 10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amounts leased from related parties.</w:t>
      </w:r>
    </w:p>
    <w:p>
      <w:pPr>
        <w:spacing w:after="0" w:line="18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At September 30, 2023, the Company has entered into leases for Showrooms and equipment which have not yet commenced with expected lease terms ranging from 3 to 17 years. The aggregate minimum rental payments over the term of the leases of approximately $159.5 million are not included in the above table.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for the nine months ended September 30, 2023 and 2022, respectively is as follows (amounts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56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68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paid for amounts included in the measurement of lease liabilities:</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3160" w:type="dxa"/>
            <w:vAlign w:val="bottom"/>
            <w:gridSpan w:val="2"/>
          </w:tcPr>
          <w:p>
            <w:pPr>
              <w:jc w:val="right"/>
              <w:ind w:right="13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41,759</w:t>
            </w:r>
          </w:p>
        </w:tc>
        <w:tc>
          <w:tcPr>
            <w:tcW w:w="80" w:type="dxa"/>
            <w:vAlign w:val="bottom"/>
          </w:tcPr>
          <w:p>
            <w:pPr>
              <w:spacing w:after="0"/>
              <w:rPr>
                <w:sz w:val="19"/>
                <w:szCs w:val="19"/>
                <w:color w:val="auto"/>
              </w:rPr>
            </w:pPr>
          </w:p>
        </w:tc>
        <w:tc>
          <w:tcPr>
            <w:tcW w:w="136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35,587</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flows for finance leases</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w:t>
            </w: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cash flows for finance leases</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 obtained in exchange for lease obligations:</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3160" w:type="dxa"/>
            <w:vAlign w:val="bottom"/>
            <w:gridSpan w:val="2"/>
          </w:tcPr>
          <w:p>
            <w:pPr>
              <w:jc w:val="right"/>
              <w:ind w:right="13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76,375</w:t>
            </w:r>
          </w:p>
        </w:tc>
        <w:tc>
          <w:tcPr>
            <w:tcW w:w="80" w:type="dxa"/>
            <w:vAlign w:val="bottom"/>
          </w:tcPr>
          <w:p>
            <w:pPr>
              <w:spacing w:after="0"/>
              <w:rPr>
                <w:sz w:val="19"/>
                <w:szCs w:val="19"/>
                <w:color w:val="auto"/>
              </w:rPr>
            </w:pPr>
          </w:p>
        </w:tc>
        <w:tc>
          <w:tcPr>
            <w:tcW w:w="136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50,565</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w:t>
            </w:r>
          </w:p>
        </w:tc>
      </w:tr>
      <w:tr>
        <w:trPr>
          <w:trHeight w:val="864"/>
        </w:trPr>
        <w:tc>
          <w:tcPr>
            <w:tcW w:w="5380" w:type="dxa"/>
            <w:vAlign w:val="bottom"/>
          </w:tcPr>
          <w:p>
            <w:pPr>
              <w:spacing w:after="0"/>
              <w:rPr>
                <w:sz w:val="24"/>
                <w:szCs w:val="24"/>
                <w:color w:val="auto"/>
              </w:rPr>
            </w:pPr>
          </w:p>
        </w:tc>
        <w:tc>
          <w:tcPr>
            <w:tcW w:w="1620" w:type="dxa"/>
            <w:vAlign w:val="bottom"/>
          </w:tcPr>
          <w:p>
            <w:pPr>
              <w:jc w:val="right"/>
              <w:ind w:right="1214"/>
              <w:spacing w:after="0"/>
              <w:rPr>
                <w:sz w:val="20"/>
                <w:szCs w:val="20"/>
                <w:color w:val="auto"/>
              </w:rPr>
            </w:pPr>
            <w:r>
              <w:rPr>
                <w:rFonts w:ascii="Times New Roman" w:cs="Times New Roman" w:eastAsia="Times New Roman" w:hAnsi="Times New Roman"/>
                <w:sz w:val="17"/>
                <w:szCs w:val="17"/>
                <w:color w:val="auto"/>
              </w:rPr>
              <w:t>16</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8"/>
        </w:trPr>
        <w:tc>
          <w:tcPr>
            <w:tcW w:w="53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Equity Based Compensation</w:t>
      </w:r>
    </w:p>
    <w:p>
      <w:pPr>
        <w:spacing w:after="0" w:line="18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following tables summarize the activity of the Company’s Restricted Stock for the nine months ended September 30, 2023 and the equity based compensation expense for the nine and three months ended September 30, 2023 and 2022, respectively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410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Restricted Stock - Class A</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1440" w:type="dxa"/>
            <w:vAlign w:val="bottom"/>
            <w:vMerge w:val="restart"/>
          </w:tcPr>
          <w:p>
            <w:pPr>
              <w:ind w:left="84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Weighted Average Grant Date</w:t>
            </w:r>
          </w:p>
        </w:tc>
        <w:tc>
          <w:tcPr>
            <w:tcW w:w="0" w:type="dxa"/>
            <w:vAlign w:val="bottom"/>
          </w:tcPr>
          <w:p>
            <w:pPr>
              <w:spacing w:after="0"/>
              <w:rPr>
                <w:sz w:val="1"/>
                <w:szCs w:val="1"/>
                <w:color w:val="auto"/>
              </w:rPr>
            </w:pPr>
          </w:p>
        </w:tc>
      </w:tr>
      <w:tr>
        <w:trPr>
          <w:trHeight w:val="232"/>
        </w:trPr>
        <w:tc>
          <w:tcPr>
            <w:tcW w:w="42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2022</w:t>
            </w:r>
          </w:p>
        </w:tc>
        <w:tc>
          <w:tcPr>
            <w:tcW w:w="1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1,510,269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0" w:type="dxa"/>
            <w:vAlign w:val="bottom"/>
          </w:tcPr>
          <w:p>
            <w:pPr>
              <w:spacing w:after="0"/>
              <w:rPr>
                <w:sz w:val="1"/>
                <w:szCs w:val="1"/>
                <w:color w:val="auto"/>
              </w:rPr>
            </w:pPr>
          </w:p>
        </w:tc>
      </w:tr>
      <w:tr>
        <w:trPr>
          <w:trHeight w:val="21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(1,009,965)</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32"/>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September 30,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500,304</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6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300" w:type="dxa"/>
            <w:vAlign w:val="bottom"/>
          </w:tcPr>
          <w:p>
            <w:pPr>
              <w:spacing w:after="0"/>
              <w:rPr>
                <w:sz w:val="19"/>
                <w:szCs w:val="19"/>
                <w:color w:val="auto"/>
              </w:rPr>
            </w:pPr>
          </w:p>
        </w:tc>
        <w:tc>
          <w:tcPr>
            <w:tcW w:w="3320" w:type="dxa"/>
            <w:vAlign w:val="bottom"/>
            <w:gridSpan w:val="4"/>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37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48"/>
        </w:trPr>
        <w:tc>
          <w:tcPr>
            <w:tcW w:w="37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Equity based compensation expense - Restricted</w:t>
            </w:r>
          </w:p>
        </w:tc>
        <w:tc>
          <w:tcPr>
            <w:tcW w:w="3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32"/>
        </w:trPr>
        <w:tc>
          <w:tcPr>
            <w:tcW w:w="376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Stock</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r>
      <w:tr>
        <w:trPr>
          <w:trHeight w:val="52"/>
        </w:trPr>
        <w:tc>
          <w:tcPr>
            <w:tcW w:w="376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bl>
    <w:p>
      <w:pPr>
        <w:spacing w:after="0" w:line="57" w:lineRule="exact"/>
        <w:rPr>
          <w:sz w:val="20"/>
          <w:szCs w:val="20"/>
          <w:color w:val="auto"/>
        </w:rPr>
      </w:pPr>
    </w:p>
    <w:p>
      <w:pPr>
        <w:ind w:firstLine="3"/>
        <w:spacing w:after="0" w:line="275" w:lineRule="auto"/>
        <w:tabs>
          <w:tab w:leader="none" w:pos="126"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Total unrecognized equity based compensation to be recognized in future periods is $6.8 million at September 30, 2023, and will be recognized over a weighted average period of 2.65 years. Equity based compensation expense is recorded within selling, general and administrative expenses on our condensed consolidated statements of comprehensive income.</w:t>
      </w:r>
    </w:p>
    <w:p>
      <w:pPr>
        <w:spacing w:after="0" w:line="138"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The Arhaus, Inc. 2021 Equity Incentive Plan (the “2021 Plan”) was adopted on November 8,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11,205,100 shares.</w:t>
      </w:r>
    </w:p>
    <w:p>
      <w:pPr>
        <w:spacing w:after="0" w:line="145"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As of September 30, 2023, the Company has granted RSUs and PSUs to certain named executive officers and other key employees (“Award Recipient”). The Company has also issued RSU awards to certain members of the Board of Directors.</w:t>
      </w:r>
    </w:p>
    <w:p>
      <w:pPr>
        <w:spacing w:after="0" w:line="11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Each RSU represents a contingent right to receive one share of the Company’s Class A common stock upon vesting. The RSUs granted to Award Recipients vest in one-third increments on each of the first, second and third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canceled immediately without consideration. The RSUs issued to certain members of the Board of Directors will vest on the one-year anniversary of the grant date. The Company accounts for forfeitures as they occur.</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Each PSU represents a contingent right to receive one share of the Company’s Class A common stock upon vesting. The number of PSUs earned will be based on the Company’s financial performance as measured against pre-established target goals for cumulative demand revenue and cumulative adjusted EBITDA (the “Performance Goals”) over the applicable performance period. PSUs will vest as of the end of the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Performance Goals. The Company accounts for forfeitures as they occur.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activity of the Company’s PSU and RSU awards for the nine months ended September 30, 2023, and their equity based compensation expense for the nine and three months ended September 30, 2023 and 2022, respectively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4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PSU Awards</w:t>
            </w:r>
          </w:p>
        </w:tc>
        <w:tc>
          <w:tcPr>
            <w:tcW w:w="3720" w:type="dxa"/>
            <w:vAlign w:val="bottom"/>
            <w:gridSpan w:val="4"/>
          </w:tcPr>
          <w:p>
            <w:pPr>
              <w:jc w:val="right"/>
              <w:ind w:right="1294"/>
              <w:spacing w:after="0"/>
              <w:rPr>
                <w:sz w:val="20"/>
                <w:szCs w:val="20"/>
                <w:color w:val="auto"/>
              </w:rPr>
            </w:pPr>
            <w:r>
              <w:rPr>
                <w:rFonts w:ascii="Times New Roman" w:cs="Times New Roman" w:eastAsia="Times New Roman" w:hAnsi="Times New Roman"/>
                <w:sz w:val="17"/>
                <w:szCs w:val="17"/>
                <w:b w:val="1"/>
                <w:bCs w:val="1"/>
                <w:color w:val="auto"/>
              </w:rPr>
              <w:t>RSU Awards</w:t>
            </w: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300" w:type="dxa"/>
            <w:vAlign w:val="bottom"/>
            <w:tcBorders>
              <w:top w:val="single" w:sz="8" w:color="auto"/>
            </w:tcBorders>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154"/>
              <w:spacing w:after="0" w:line="166" w:lineRule="exact"/>
              <w:rPr>
                <w:sz w:val="20"/>
                <w:szCs w:val="20"/>
                <w:color w:val="auto"/>
              </w:rPr>
            </w:pPr>
            <w:r>
              <w:rPr>
                <w:rFonts w:ascii="Times New Roman" w:cs="Times New Roman" w:eastAsia="Times New Roman" w:hAnsi="Times New Roman"/>
                <w:sz w:val="17"/>
                <w:szCs w:val="17"/>
                <w:b w:val="1"/>
                <w:bCs w:val="1"/>
                <w:color w:val="auto"/>
              </w:rPr>
              <w:t>Weighted Average</w:t>
            </w:r>
          </w:p>
        </w:tc>
        <w:tc>
          <w:tcPr>
            <w:tcW w:w="80" w:type="dxa"/>
            <w:vAlign w:val="bottom"/>
          </w:tcPr>
          <w:p>
            <w:pPr>
              <w:spacing w:after="0"/>
              <w:rPr>
                <w:sz w:val="14"/>
                <w:szCs w:val="14"/>
                <w:color w:val="auto"/>
              </w:rPr>
            </w:pPr>
          </w:p>
        </w:tc>
        <w:tc>
          <w:tcPr>
            <w:tcW w:w="1900" w:type="dxa"/>
            <w:vAlign w:val="bottom"/>
            <w:tcBorders>
              <w:top w:val="single" w:sz="8" w:color="auto"/>
            </w:tcBorders>
            <w:gridSpan w:val="2"/>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154"/>
              <w:spacing w:after="0" w:line="166" w:lineRule="exact"/>
              <w:rPr>
                <w:sz w:val="20"/>
                <w:szCs w:val="20"/>
                <w:color w:val="auto"/>
              </w:rPr>
            </w:pPr>
            <w:r>
              <w:rPr>
                <w:rFonts w:ascii="Times New Roman" w:cs="Times New Roman" w:eastAsia="Times New Roman" w:hAnsi="Times New Roman"/>
                <w:sz w:val="17"/>
                <w:szCs w:val="17"/>
                <w:b w:val="1"/>
                <w:bCs w:val="1"/>
                <w:color w:val="auto"/>
              </w:rPr>
              <w:t>Weighted Average</w:t>
            </w:r>
          </w:p>
        </w:tc>
        <w:tc>
          <w:tcPr>
            <w:tcW w:w="0" w:type="dxa"/>
            <w:vAlign w:val="bottom"/>
          </w:tcPr>
          <w:p>
            <w:pPr>
              <w:spacing w:after="0"/>
              <w:rPr>
                <w:sz w:val="1"/>
                <w:szCs w:val="1"/>
                <w:color w:val="auto"/>
              </w:rPr>
            </w:pPr>
          </w:p>
        </w:tc>
      </w:tr>
      <w:tr>
        <w:trPr>
          <w:trHeight w:val="227"/>
        </w:trPr>
        <w:tc>
          <w:tcPr>
            <w:tcW w:w="3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1900" w:type="dxa"/>
            <w:vAlign w:val="bottom"/>
            <w:gridSpan w:val="2"/>
            <w:vMerge w:val="continue"/>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0" w:type="dxa"/>
            <w:vAlign w:val="bottom"/>
          </w:tcPr>
          <w:p>
            <w:pPr>
              <w:spacing w:after="0"/>
              <w:rPr>
                <w:sz w:val="1"/>
                <w:szCs w:val="1"/>
                <w:color w:val="auto"/>
              </w:rPr>
            </w:pPr>
          </w:p>
        </w:tc>
      </w:tr>
      <w:tr>
        <w:trPr>
          <w:trHeight w:val="212"/>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2022</w:t>
            </w: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731,661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0" w:type="dxa"/>
            <w:vAlign w:val="bottom"/>
          </w:tcPr>
          <w:p>
            <w:pPr>
              <w:spacing w:after="0"/>
              <w:rPr>
                <w:sz w:val="1"/>
                <w:szCs w:val="1"/>
                <w:color w:val="auto"/>
              </w:rPr>
            </w:pPr>
          </w:p>
        </w:tc>
      </w:tr>
      <w:tr>
        <w:trPr>
          <w:trHeight w:val="21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468,483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(302,137)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32"/>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September 30,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704,952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815,639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60" w:type="dxa"/>
            <w:vAlign w:val="bottom"/>
          </w:tcPr>
          <w:p>
            <w:pPr>
              <w:spacing w:after="0"/>
              <w:rPr>
                <w:sz w:val="19"/>
                <w:szCs w:val="19"/>
                <w:color w:val="auto"/>
              </w:rPr>
            </w:pPr>
          </w:p>
        </w:tc>
        <w:tc>
          <w:tcPr>
            <w:tcW w:w="2920" w:type="dxa"/>
            <w:vAlign w:val="bottom"/>
            <w:gridSpan w:val="4"/>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44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44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Equity based compensation expense - PSUs</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r>
      <w:tr>
        <w:trPr>
          <w:trHeight w:val="29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based compensation expense - RSUs</w:t>
            </w:r>
            <w:r>
              <w:rPr>
                <w:rFonts w:ascii="Times New Roman" w:cs="Times New Roman" w:eastAsia="Times New Roman" w:hAnsi="Times New Roman"/>
                <w:sz w:val="22"/>
                <w:szCs w:val="22"/>
                <w:color w:val="auto"/>
                <w:vertAlign w:val="superscript"/>
              </w:rPr>
              <w:t>(2)</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2,062</w:t>
            </w:r>
          </w:p>
        </w:tc>
        <w:tc>
          <w:tcPr>
            <w:tcW w:w="100" w:type="dxa"/>
            <w:vAlign w:val="bottom"/>
          </w:tcPr>
          <w:p>
            <w:pPr>
              <w:spacing w:after="0"/>
              <w:rPr>
                <w:sz w:val="24"/>
                <w:szCs w:val="24"/>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80" w:type="dxa"/>
            <w:vAlign w:val="bottom"/>
          </w:tcPr>
          <w:p>
            <w:pPr>
              <w:spacing w:after="0"/>
              <w:rPr>
                <w:sz w:val="24"/>
                <w:szCs w:val="24"/>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079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07970" cy="8255"/>
                    </a:xfrm>
                    <a:prstGeom prst="rect">
                      <a:avLst/>
                    </a:prstGeom>
                    <a:noFill/>
                  </pic:spPr>
                </pic:pic>
              </a:graphicData>
            </a:graphic>
          </wp:anchor>
        </w:drawing>
      </w:r>
    </w:p>
    <w:p>
      <w:pPr>
        <w:spacing w:after="0" w:line="34" w:lineRule="exact"/>
        <w:rPr>
          <w:sz w:val="20"/>
          <w:szCs w:val="20"/>
          <w:color w:val="auto"/>
        </w:rPr>
      </w:pPr>
    </w:p>
    <w:p>
      <w:pPr>
        <w:ind w:right="320" w:firstLine="3"/>
        <w:spacing w:after="0" w:line="288" w:lineRule="auto"/>
        <w:tabs>
          <w:tab w:leader="none" w:pos="126" w:val="left"/>
        </w:tabs>
        <w:numPr>
          <w:ilvl w:val="0"/>
          <w:numId w:val="11"/>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Total unrecognized equity based compensation for the PSUs to be recognized in future periods is $4.2 million at September 30, 2023, and will be recognized over a weighted average period of 1.74 years. Equity based compensation expense is recorded within selling, general and administrative expenses on our condensed consolidated statements of comprehensive income.</w:t>
      </w:r>
    </w:p>
    <w:p>
      <w:pPr>
        <w:spacing w:after="0" w:line="1" w:lineRule="exact"/>
        <w:rPr>
          <w:rFonts w:ascii="Times New Roman" w:cs="Times New Roman" w:eastAsia="Times New Roman" w:hAnsi="Times New Roman"/>
          <w:sz w:val="14"/>
          <w:szCs w:val="14"/>
          <w:b w:val="1"/>
          <w:bCs w:val="1"/>
          <w:color w:val="auto"/>
          <w:vertAlign w:val="superscript"/>
        </w:rPr>
      </w:pPr>
    </w:p>
    <w:p>
      <w:pPr>
        <w:ind w:right="300" w:firstLine="3"/>
        <w:spacing w:after="0" w:line="306" w:lineRule="auto"/>
        <w:tabs>
          <w:tab w:leader="none" w:pos="126" w:val="left"/>
        </w:tabs>
        <w:numPr>
          <w:ilvl w:val="0"/>
          <w:numId w:val="1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Total unrecognized equity based compensation for the RSUs to be recognized in future periods is $5.1 million at September 30, 2023, and will be recognized over a weighted average period of 2.07 years. Equity based compensation expense is recorded within selling, general and administrative expenses on our condensed consolidated statements of comprehensive income.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Segment Reporting</w:t>
      </w:r>
    </w:p>
    <w:p>
      <w:pPr>
        <w:spacing w:after="0" w:line="19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Our chief operating decision maker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spacing w:after="0" w:line="13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majority of our net revenue is generated through sales to clients in the United States. Sales to clients outside of the United States are not significant. Further, no single client represents more than ten percent or more of our net revenue.</w:t>
      </w:r>
    </w:p>
    <w:p>
      <w:pPr>
        <w:spacing w:after="0" w:line="11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following table shows net revenue by merchandise sales channel for the nine and three months ended September 30, 2023 and 2022, respectively (amounts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3820" w:type="dxa"/>
            <w:vAlign w:val="bottom"/>
            <w:gridSpan w:val="6"/>
          </w:tcPr>
          <w:p>
            <w:pPr>
              <w:ind w:left="6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320" w:type="dxa"/>
            <w:vAlign w:val="bottom"/>
          </w:tcPr>
          <w:p>
            <w:pPr>
              <w:spacing w:after="0"/>
              <w:rPr>
                <w:sz w:val="19"/>
                <w:szCs w:val="19"/>
                <w:color w:val="auto"/>
              </w:rPr>
            </w:pPr>
          </w:p>
        </w:tc>
        <w:tc>
          <w:tcPr>
            <w:tcW w:w="360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35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8"/>
                <w:szCs w:val="18"/>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768,624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268,988</w:t>
            </w:r>
          </w:p>
        </w:tc>
        <w:tc>
          <w:tcPr>
            <w:tcW w:w="200" w:type="dxa"/>
            <w:vAlign w:val="bottom"/>
          </w:tcPr>
          <w:p>
            <w:pPr>
              <w:spacing w:after="0"/>
              <w:rPr>
                <w:sz w:val="18"/>
                <w:szCs w:val="18"/>
                <w:color w:val="auto"/>
              </w:rPr>
            </w:pP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eCommerce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175,072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144,642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64,443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51,042</w:t>
            </w:r>
          </w:p>
        </w:tc>
        <w:tc>
          <w:tcPr>
            <w:tcW w:w="200" w:type="dxa"/>
            <w:vAlign w:val="bottom"/>
          </w:tcPr>
          <w:p>
            <w:pPr>
              <w:spacing w:after="0"/>
              <w:rPr>
                <w:sz w:val="19"/>
                <w:szCs w:val="19"/>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revenue</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943,696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326,229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320,030</w:t>
            </w:r>
          </w:p>
        </w:tc>
        <w:tc>
          <w:tcPr>
            <w:tcW w:w="200" w:type="dxa"/>
            <w:vAlign w:val="bottom"/>
          </w:tcPr>
          <w:p>
            <w:pPr>
              <w:spacing w:after="0"/>
              <w:rPr>
                <w:sz w:val="20"/>
                <w:szCs w:val="20"/>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23"/>
        </w:trPr>
        <w:tc>
          <w:tcPr>
            <w:tcW w:w="3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right"/>
              <w:ind w:right="1434"/>
              <w:spacing w:after="0"/>
              <w:rPr>
                <w:sz w:val="20"/>
                <w:szCs w:val="20"/>
                <w:color w:val="auto"/>
              </w:rPr>
            </w:pPr>
            <w:r>
              <w:rPr>
                <w:rFonts w:ascii="Times New Roman" w:cs="Times New Roman" w:eastAsia="Times New Roman" w:hAnsi="Times New Roman"/>
                <w:sz w:val="17"/>
                <w:szCs w:val="17"/>
                <w:color w:val="auto"/>
                <w:w w:val="93"/>
              </w:rPr>
              <w:t>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Net and Comprehensive Income per Share</w:t>
      </w:r>
    </w:p>
    <w:p>
      <w:pPr>
        <w:spacing w:after="0" w:line="18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Basic and diluted net and comprehensive income per share for the nine and three months ended September 30, 2023 and 2022, was calculated by dividing net and comprehensive income by the number of basic and diluted weighted average common shares outstanding.</w:t>
      </w:r>
    </w:p>
    <w:p>
      <w:pPr>
        <w:spacing w:after="0" w:line="12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Basic and diluted net and comprehensive income per share for the nine and three months ended September 30, 2023 and 2022, is as follows (amounts in thousands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80" w:type="dxa"/>
            <w:vAlign w:val="bottom"/>
          </w:tcPr>
          <w:p>
            <w:pPr>
              <w:spacing w:after="0"/>
              <w:rPr>
                <w:sz w:val="19"/>
                <w:szCs w:val="19"/>
                <w:color w:val="auto"/>
              </w:rPr>
            </w:pPr>
          </w:p>
        </w:tc>
        <w:tc>
          <w:tcPr>
            <w:tcW w:w="2940" w:type="dxa"/>
            <w:vAlign w:val="bottom"/>
            <w:gridSpan w:val="4"/>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49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and comprehensive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94,023</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19,741</w:t>
            </w:r>
          </w:p>
        </w:tc>
        <w:tc>
          <w:tcPr>
            <w:tcW w:w="80" w:type="dxa"/>
            <w:vAlign w:val="bottom"/>
          </w:tcPr>
          <w:p>
            <w:pPr>
              <w:spacing w:after="0"/>
              <w:rPr>
                <w:sz w:val="19"/>
                <w:szCs w:val="19"/>
                <w:color w:val="auto"/>
              </w:rPr>
            </w:pPr>
          </w:p>
        </w:tc>
        <w:tc>
          <w:tcPr>
            <w:tcW w:w="38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36,936</w:t>
            </w:r>
          </w:p>
        </w:tc>
      </w:tr>
      <w:tr>
        <w:trPr>
          <w:trHeight w:val="258"/>
        </w:trPr>
        <w:tc>
          <w:tcPr>
            <w:tcW w:w="4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Denominator—Weighted Average Shares Outstanding</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basic</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139,365,870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137,939,577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139,628,776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138,484,495</w:t>
            </w:r>
          </w:p>
        </w:tc>
      </w:tr>
      <w:tr>
        <w:trPr>
          <w:trHeight w:val="219"/>
        </w:trPr>
        <w:tc>
          <w:tcPr>
            <w:tcW w:w="49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Effect of dilutive restricted stock </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655,800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512,123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1,360,838</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diluted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140,021,670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139,545,802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140,140,899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139,845,333</w:t>
            </w:r>
          </w:p>
        </w:tc>
      </w:tr>
      <w:tr>
        <w:trPr>
          <w:trHeight w:val="258"/>
        </w:trPr>
        <w:tc>
          <w:tcPr>
            <w:tcW w:w="4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and Comprehensive Income Per Share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and comprehensive income per share,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tcPr>
          <w:p>
            <w:pPr>
              <w:spacing w:after="0"/>
              <w:rPr>
                <w:sz w:val="19"/>
                <w:szCs w:val="19"/>
                <w:color w:val="auto"/>
              </w:rPr>
            </w:pPr>
          </w:p>
        </w:tc>
        <w:tc>
          <w:tcPr>
            <w:tcW w:w="38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0.27</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and comprehensive income per share,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r>
      <w:tr>
        <w:trPr>
          <w:trHeight w:val="103"/>
        </w:trPr>
        <w:tc>
          <w:tcPr>
            <w:tcW w:w="49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83" w:lineRule="exact"/>
        <w:rPr>
          <w:sz w:val="20"/>
          <w:szCs w:val="20"/>
          <w:color w:val="auto"/>
        </w:rPr>
      </w:pPr>
    </w:p>
    <w:p>
      <w:pPr>
        <w:jc w:val="both"/>
        <w:ind w:firstLine="3"/>
        <w:spacing w:after="0" w:line="233" w:lineRule="auto"/>
        <w:tabs>
          <w:tab w:leader="none" w:pos="15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nine and three months ended September 30, 2023, 736,173 and 416,123 shares of unvested restricted stock and RSUs were excluded from the computation of diluted earnings per share because their effect would have been anti-dilutive, respectively. During the nine and three months ended September 30, 2022, 594,312 and 546,164 shares of unvested restricted stock and RSUs were excluded from the computation of diluted earnings per share because their effect would have been anti-dilutive,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Commitments and Contingencies</w:t>
      </w:r>
    </w:p>
    <w:p>
      <w:pPr>
        <w:spacing w:after="0" w:line="182"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September 30, 2023 and December 31, 2022, we recorded liabilities of $0.3 million and $0.4 million, respectively, in accrued taxes on the condensed consolidated balance sheets for non-income tax matters that were probable and reasonably estimable.</w:t>
      </w:r>
    </w:p>
    <w:p>
      <w:pPr>
        <w:spacing w:after="0" w:line="14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In August 2023, the Company committed to make a $10.0 million donation to The Nature Conservancy. For the nine and three months ended September 30, 2023, the Company recorded expense of $10.0 million and $10.0 million, respectively, within selling, general and administrative expenses on our condensed consolidated statements of comprehensive income. As of September 30, 2023, we recorded a liability of $10.0 million in accrued other expense on our condensed consolidated balance sheet.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Related Party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Leasing transactio</w:t>
      </w:r>
      <w:r>
        <w:rPr>
          <w:rFonts w:ascii="Times New Roman" w:cs="Times New Roman" w:eastAsia="Times New Roman" w:hAnsi="Times New Roman"/>
          <w:sz w:val="17"/>
          <w:szCs w:val="17"/>
          <w:color w:val="auto"/>
        </w:rPr>
        <w:t>ns</w:t>
      </w:r>
    </w:p>
    <w:p>
      <w:pPr>
        <w:spacing w:after="0" w:line="19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are $0.1 million. In July 2023, the Company amended the lease agreement to extend the lease term to April 2034 with one additional 5-year renewal option. The monthly rental payments range from $0.1 million to $0.2 million. Rent expense was $1.1 million and $1.0 million for the nine months ended September 30, 2023 and 2022, respectively. Rent expense was $0.4 million and $0.3 million for the three months ended September 30, 2023 and 2022, respectively.</w:t>
      </w:r>
    </w:p>
    <w:p>
      <w:pPr>
        <w:spacing w:after="0" w:line="13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 July 2010, the Company entered into a lease agreement with Brooklyn Arhaus, a company of which our CEO and Mr. Beargie, a Director of the Company, own 85% and 15%, respectively, for our Outlet in Brooklyn, Ohio. The base lease term is 15 years with no lease renewal options. The monthly rental payments are $20 thousand. Rent expense was $0.2 million and $0.2 million for the nine months ended September 30, 2023 and 2022, respectively. Rent expense was $0.1 million and $0.1 million for the three months ended September 30, 2023 and 2022, respectively.</w:t>
      </w:r>
    </w:p>
    <w:p>
      <w:pPr>
        <w:spacing w:after="0" w:line="13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$3.0 million and $2.8 million for the nine months ended September 30, 2023 and 2022, respectively. Rent expense was $1.0 million and $1.0 million for the three months ended September 30, 2023 and 2022,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transactions</w:t>
      </w:r>
    </w:p>
    <w:p>
      <w:pPr>
        <w:spacing w:after="0" w:line="18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The accounts payable due to related parties for state and federal income tax refunds were $2.4 million and $1.8 million at September 30, 2023 and December 31, 2022, respectively, and are included within accounts payable on the condensed consolidated balance sheets.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19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Income tax expenses were $31.8 million and $27.9 million in the nine months ended September 30, 2023 and 2022, respectively. Income tax expenses were $5.3 million and $9.6 million in the three months ended September 30, 2023 and 2022, respectively. The effective tax rate was 25.3% and 23.7% for the nine months ended September 30, 2023 and 2022, respectively. The effective tax rate was 21.2% and 20.6% for the three months ended September 30, 2023 and 2022, respectively.</w:t>
      </w:r>
    </w:p>
    <w:p>
      <w:pPr>
        <w:spacing w:after="0" w:line="12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7"/>
          <w:szCs w:val="17"/>
          <w:color w:val="auto"/>
        </w:rPr>
        <w:t>As of September 30, 2023, no unrecognized tax benefits have been recognized. The Company files income tax returns in the U.S. and various state and local jurisdictions. The tax years after 2018 remain open to examination by the state taxing jurisdictions in which the Company is subject to tax. As of September 30, 2023, the Company was not under examination by the Internal Revenue Service or any state tax jurisdiction.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Form 10-Q and our Annual Report on Form 10-K for the year ended December 31, 2022. This Quarterly Report on Form 10-Q contains forward 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“believe,”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343"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manage and maintain the growth rate of our business;</w:t>
      </w:r>
    </w:p>
    <w:p>
      <w:pPr>
        <w:spacing w:after="0" w:line="31"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obtain quality merchandise in sufficient quantities;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line="253" w:lineRule="auto"/>
        <w:tabs>
          <w:tab w:leader="none" w:pos="616"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Disruption in our receiving and distribution system, including delays in the integration of our new distribution centers and the possibility that we may not realize the anticipated benefits of multiple distribution centers;</w:t>
      </w: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possibility of cyberattacks and our ability to maintain adequate cybersecurity systems and procedures;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Loss, corruption and misappropriation of data and information relating to clients and employees;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and compliance with applicable data privacy rules and regulations;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as a result of constraints in our supply chain;</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 failure of our vendors to meet our quality standards;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Declines in general economic conditions that affect consumer confidence and consumer spending that could adversely affect our revenue;</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anticipate changes in consumer preferences;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maintaining and increasing Showroom traffic and sales;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compete in our market;</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adequately protect our intellectual property;</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Compliance with applicable governmental regulations;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Effectively managing our eCommerce business and digital marketing efforts;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reliance on third-party transportation carriers and risks associated with freight and transportation costs;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COVID-19 pandemic and its effect on our business; and</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Compliance with SEC rules and regulations as a public reporting company.</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2022.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8"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7"/>
          <w:szCs w:val="17"/>
          <w:i w:val="1"/>
          <w:iCs w:val="1"/>
          <w:color w:val="auto"/>
        </w:rPr>
        <w:t>The following discussion contains references to the nine and three months ended September 30, 2023 and 2022, which represents the condensed consolidated financial results of Arhaus, Inc. and subsidiaries for the nine and three months ended September 30,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Restatement and Revision of Previously Issued Condensed Consolidated Financial Statements</w:t>
      </w:r>
    </w:p>
    <w:p>
      <w:pPr>
        <w:spacing w:after="0" w:line="18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 xml:space="preserve">This “Management’s Discussion and Analysis of Financial Condition and Results of Operations” has been amended to give effect to the restatement and revision of our condensed consolidated balance sheets and condensed consolidated statements of cash flows, as more fully described in Note 1 - </w:t>
      </w:r>
      <w:r>
        <w:rPr>
          <w:rFonts w:ascii="Times New Roman" w:cs="Times New Roman" w:eastAsia="Times New Roman" w:hAnsi="Times New Roman"/>
          <w:sz w:val="17"/>
          <w:szCs w:val="17"/>
          <w:i w:val="1"/>
          <w:iCs w:val="1"/>
          <w:color w:val="auto"/>
        </w:rPr>
        <w:t>Nature of Business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Basis of Presentation </w:t>
      </w:r>
      <w:r>
        <w:rPr>
          <w:rFonts w:ascii="Times New Roman" w:cs="Times New Roman" w:eastAsia="Times New Roman" w:hAnsi="Times New Roman"/>
          <w:sz w:val="17"/>
          <w:szCs w:val="17"/>
          <w:color w:val="auto"/>
        </w:rPr>
        <w:t>to the Notes to Condensed Consolidated Financial Statements (Unaudited) – Restatement and Revision of Previously Issued Condensed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Statements. For further detail regarding the restatement, see the “Explanatory Note” to this Quarterly Report on Form 10-Q/A.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Arhaus is a rapidly growing lifestyle brand and premium retailer in the U.S.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 lighting, textiles, décor, and outdoor. Our products, designed to be used and enjoyed throughout the home, are sourced directly from factories and vendors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spacing w:after="0" w:line="149" w:lineRule="exact"/>
        <w:rPr>
          <w:sz w:val="20"/>
          <w:szCs w:val="20"/>
          <w:color w:val="auto"/>
        </w:rPr>
      </w:pPr>
    </w:p>
    <w:p>
      <w:pPr>
        <w:ind w:right="800"/>
        <w:spacing w:after="0" w:line="287" w:lineRule="auto"/>
        <w:rPr>
          <w:sz w:val="20"/>
          <w:szCs w:val="20"/>
          <w:color w:val="auto"/>
        </w:rPr>
      </w:pPr>
      <w:r>
        <w:rPr>
          <w:rFonts w:ascii="Times New Roman" w:cs="Times New Roman" w:eastAsia="Times New Roman" w:hAnsi="Times New Roman"/>
          <w:sz w:val="17"/>
          <w:szCs w:val="17"/>
          <w:color w:val="auto"/>
        </w:rPr>
        <w:t>We have one reportable segment as of September 30, 2023. At September 30, 2023, we operated 86 Showrooms, 71 with in-home interior designers. At December 31, 2022, we operated 81 Showrooms, 65 with in-home interior designers.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b w:val="1"/>
                <w:bCs w:val="1"/>
                <w:color w:val="231F20"/>
              </w:rPr>
              <w:t>September 30, 2023</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9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231F20"/>
              </w:rPr>
              <w:t>December 31, 2022</w:t>
            </w:r>
          </w:p>
        </w:tc>
      </w:tr>
      <w:tr>
        <w:trPr>
          <w:trHeight w:val="238"/>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231F20"/>
              </w:rPr>
              <w:t>Traditional showrooms</w:t>
            </w:r>
          </w:p>
        </w:tc>
        <w:tc>
          <w:tcPr>
            <w:tcW w:w="20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20"/>
                <w:szCs w:val="20"/>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32"/>
        </w:trPr>
        <w:tc>
          <w:tcPr>
            <w:tcW w:w="7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231F20"/>
              </w:rPr>
              <w:t>Design Studios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2"/>
        </w:trPr>
        <w:tc>
          <w:tcPr>
            <w:tcW w:w="7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231F20"/>
              </w:rPr>
              <w:t>Outlets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0"/>
                <w:szCs w:val="20"/>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50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Total Showroom locations</w:t>
            </w:r>
          </w:p>
        </w:tc>
        <w:tc>
          <w:tcPr>
            <w:tcW w:w="20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rPr>
              <w:t>86</w:t>
            </w:r>
          </w:p>
        </w:tc>
        <w:tc>
          <w:tcPr>
            <w:tcW w:w="80" w:type="dxa"/>
            <w:vAlign w:val="bottom"/>
          </w:tcPr>
          <w:p>
            <w:pPr>
              <w:spacing w:after="0"/>
              <w:rPr>
                <w:sz w:val="18"/>
                <w:szCs w:val="18"/>
                <w:color w:val="auto"/>
              </w:rPr>
            </w:pPr>
          </w:p>
        </w:tc>
        <w:tc>
          <w:tcPr>
            <w:tcW w:w="2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rPr>
              <w:t>81</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224"/>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231F20"/>
              </w:rPr>
              <w:t>Total square footage (in thousands)</w:t>
            </w:r>
          </w:p>
        </w:tc>
        <w:tc>
          <w:tcPr>
            <w:tcW w:w="2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1,371</w:t>
            </w:r>
          </w:p>
        </w:tc>
        <w:tc>
          <w:tcPr>
            <w:tcW w:w="8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1,308</w:t>
            </w:r>
          </w:p>
        </w:tc>
      </w:tr>
    </w:tbl>
    <w:p>
      <w:pPr>
        <w:spacing w:after="0" w:line="24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2023, we generated $943.7 million of net revenue, $399.2 million of gross margin and $94.0 million of net and comprehensive income. For the three months ended September 30, 2023, we generated $326.2 million of net revenue, $130.9 million of gross margin and $19.7 million of net and comprehensive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We Assess the Performance of Our Business</w:t>
      </w:r>
    </w:p>
    <w:p>
      <w:pPr>
        <w:spacing w:after="0" w:line="195"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7"/>
          <w:szCs w:val="17"/>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 to period by removing the effect of non-recurring items.</w:t>
      </w:r>
    </w:p>
    <w:p>
      <w:pPr>
        <w:spacing w:after="0" w:line="1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3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i w:val="1"/>
          <w:iCs w:val="1"/>
          <w:color w:val="auto"/>
        </w:rPr>
        <w:t>Net Revenue and Demand</w:t>
      </w:r>
      <w:r>
        <w:rPr>
          <w:rFonts w:ascii="Times New Roman" w:cs="Times New Roman" w:eastAsia="Times New Roman" w:hAnsi="Times New Roman"/>
          <w:sz w:val="17"/>
          <w:szCs w:val="17"/>
          <w:color w:val="auto"/>
        </w:rPr>
        <w:t>. Net revenue is recognized when a client obtains control of the merchandise. We also track demand in our business which is a key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7"/>
          <w:szCs w:val="17"/>
          <w:color w:val="auto"/>
        </w:rPr>
        <w:t>orders are recognized as net revenue when a client obtains control of the merchandise. Because demand is measured net of cancellations, all demand will eventually become net revenue, with appropriate reserves, when delivered to the client.</w:t>
      </w:r>
    </w:p>
    <w:p>
      <w:pPr>
        <w:spacing w:after="0" w:line="1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Comparable Growth</w:t>
      </w:r>
      <w:r>
        <w:rPr>
          <w:rFonts w:ascii="Times New Roman" w:cs="Times New Roman" w:eastAsia="Times New Roman" w:hAnsi="Times New Roman"/>
          <w:sz w:val="17"/>
          <w:szCs w:val="17"/>
          <w:color w:val="auto"/>
        </w:rPr>
        <w:t>. Comparable growth is the year-over-year percentage change of the dollar value of orders delivered (based on purchase price), net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The dollar value of orders delivered for Outlet comparable locations is included.</w:t>
      </w:r>
    </w:p>
    <w:p>
      <w:pPr>
        <w:spacing w:after="0" w:line="13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i w:val="1"/>
          <w:iCs w:val="1"/>
          <w:color w:val="auto"/>
        </w:rPr>
        <w:t>Demand Comparable Growth</w:t>
      </w:r>
      <w:r>
        <w:rPr>
          <w:rFonts w:ascii="Times New Roman" w:cs="Times New Roman" w:eastAsia="Times New Roman" w:hAnsi="Times New Roman"/>
          <w:sz w:val="17"/>
          <w:szCs w:val="17"/>
          <w:color w:val="auto"/>
        </w:rPr>
        <w:t>. Demand comparable growth is the year-over-year percentage change of demand from our comparable Showrooms and eCommerce,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through our catalogs and other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w:t>
      </w:r>
    </w:p>
    <w:p>
      <w:pPr>
        <w:spacing w:after="0" w:line="13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84"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Gross margin is equal to our net revenue less cost of goods sold. Cost of goods sold includes the direct cost of purchased merchandise, inventory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shrinkage,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condensed consolidated statements of comprehensive income).</w:t>
      </w:r>
    </w:p>
    <w:p>
      <w:pPr>
        <w:spacing w:after="0" w:line="19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Selling, general and administrative, or SG&amp;A, expenses include all operating costs not included in cost of goods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relatively fixed.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EBITDA. </w:t>
      </w:r>
      <w:r>
        <w:rPr>
          <w:rFonts w:ascii="Times New Roman" w:cs="Times New Roman" w:eastAsia="Times New Roman" w:hAnsi="Times New Roman"/>
          <w:sz w:val="17"/>
          <w:szCs w:val="17"/>
          <w:color w:val="auto"/>
        </w:rPr>
        <w:t>We define EBITDA as consolidated net income before depreciation and amortization, interest expense (income), net and income tax expense.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3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Adjusted EBITDA. </w:t>
      </w:r>
      <w:r>
        <w:rPr>
          <w:rFonts w:ascii="Times New Roman" w:cs="Times New Roman" w:eastAsia="Times New Roman" w:hAnsi="Times New Roman"/>
          <w:sz w:val="17"/>
          <w:szCs w:val="17"/>
          <w:color w:val="auto"/>
        </w:rPr>
        <w:t>We believe that adjusted EBITDA is a useful measure of operating performance as the adjustments eliminate items that we believe are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reflective of underlying operating performance in a particular period. Adjusted EBITDA facilitates a comparison of our operating performance on a consistent basis from period-to-period and provides for a more complete understanding of factors and trends affecting our business.</w:t>
      </w:r>
    </w:p>
    <w:p>
      <w:pPr>
        <w:spacing w:after="0" w:line="13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reconciliation of our net and comprehensive income to EBITDA and adjusted EBITDA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38"/>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94,023</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89,633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36,936</w:t>
            </w:r>
          </w:p>
        </w:tc>
      </w:tr>
      <w:tr>
        <w:trPr>
          <w:trHeight w:val="21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r>
      <w:tr>
        <w:trPr>
          <w:trHeight w:val="21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31,771</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9,568</w:t>
            </w:r>
          </w:p>
        </w:tc>
      </w:tr>
      <w:tr>
        <w:trPr>
          <w:trHeight w:val="245"/>
        </w:trPr>
        <w:tc>
          <w:tcPr>
            <w:tcW w:w="3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21,439</w:t>
            </w:r>
          </w:p>
        </w:tc>
        <w:tc>
          <w:tcPr>
            <w:tcW w:w="8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18,319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7,299</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6,324</w:t>
            </w:r>
          </w:p>
        </w:tc>
      </w:tr>
      <w:tr>
        <w:trPr>
          <w:trHeight w:val="23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145,502</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139,170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53,579</w:t>
            </w:r>
          </w:p>
        </w:tc>
      </w:tr>
      <w:tr>
        <w:trPr>
          <w:trHeight w:val="245"/>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based compensation</w:t>
            </w:r>
          </w:p>
        </w:tc>
        <w:tc>
          <w:tcPr>
            <w:tcW w:w="1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5,752</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w:t>
            </w:r>
          </w:p>
        </w:tc>
      </w:tr>
      <w:tr>
        <w:trPr>
          <w:trHeight w:val="28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Other expenses </w:t>
            </w:r>
            <w:r>
              <w:rPr>
                <w:rFonts w:ascii="Times New Roman" w:cs="Times New Roman" w:eastAsia="Times New Roman" w:hAnsi="Times New Roman"/>
                <w:sz w:val="22"/>
                <w:szCs w:val="22"/>
                <w:color w:val="auto"/>
                <w:vertAlign w:val="superscript"/>
              </w:rPr>
              <w:t>(1)</w:t>
            </w:r>
          </w:p>
        </w:tc>
        <w:tc>
          <w:tcPr>
            <w:tcW w:w="12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w:t>
            </w:r>
          </w:p>
        </w:tc>
      </w:tr>
      <w:tr>
        <w:trPr>
          <w:trHeight w:val="212"/>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28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152,246</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148,350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33,660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56,712</w:t>
            </w:r>
          </w:p>
        </w:tc>
      </w:tr>
      <w:tr>
        <w:trPr>
          <w:trHeight w:val="20"/>
        </w:trPr>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6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Other expenses represent costs and investments not indicative of ongoing business performance, such as public offering costs, third-party consulting costs, one-time project start-up costs, severance, signing bonuses, recruiting and project-based strategic initiatives. For the nine and three months ended September 30, 2023, these expenses largely consisted of $0.7 million and $0.6 million of public offering costs, respectively. For the nine and three months ended September 30, 2022, these expenses consisted largely of $4.6 million and $1.6 million of costs related to the opening and set-up of our Dallas distribution center,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the Comparability of our Results of Operations</w:t>
      </w:r>
    </w:p>
    <w:p>
      <w:pPr>
        <w:spacing w:after="0" w:line="19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Our results over the past two years have been affected by the following events, which must be understood in order to assess the comparability of our period-to-period financial performance and condition.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Showroom Openings and Closings</w:t>
      </w:r>
    </w:p>
    <w:p>
      <w:pPr>
        <w:spacing w:after="0" w:line="18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New Showrooms contribute incremental expense, new Showroom opening expense and net revenue to the Company. In the nine months ended September 30, 2023, we opened seven Showrooms and closed two Showrooms. The two Showroom closures in the nine months ended September 30, 2023, were related to relocations. During the year ended December 31, 2022, we opened four Showrooms and closed two Showrooms. Of the two Showroom closures in 2022, one was related to relocation in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The following tables summarize key components of our results of operations for the periods indicated. The following discussion should be read in conjunction with our condensed consolidated financial statements and related notes.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1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8"/>
              </w:rPr>
              <w:t>Table of Contents</w:t>
            </w:r>
          </w:p>
        </w:tc>
        <w:tc>
          <w:tcPr>
            <w:tcW w:w="36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960"/>
        </w:trPr>
        <w:tc>
          <w:tcPr>
            <w:tcW w:w="51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Statement of Condensed Consolidated Comprehensive Income Data:</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25"/>
        </w:trPr>
        <w:tc>
          <w:tcPr>
            <w:tcW w:w="1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200" w:type="dxa"/>
            <w:vAlign w:val="bottom"/>
          </w:tcPr>
          <w:p>
            <w:pPr>
              <w:spacing w:after="0"/>
              <w:rPr>
                <w:sz w:val="24"/>
                <w:szCs w:val="24"/>
                <w:color w:val="auto"/>
              </w:rPr>
            </w:pPr>
          </w:p>
        </w:tc>
        <w:tc>
          <w:tcPr>
            <w:tcW w:w="298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4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943,696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872,595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326,229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320,030</w:t>
            </w:r>
          </w:p>
        </w:tc>
      </w:tr>
      <w:tr>
        <w:trPr>
          <w:trHeight w:val="219"/>
        </w:trPr>
        <w:tc>
          <w:tcPr>
            <w:tcW w:w="4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544,481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505,561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195,372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183,739</w:t>
            </w:r>
          </w:p>
        </w:tc>
      </w:tr>
      <w:tr>
        <w:trPr>
          <w:trHeight w:val="212"/>
        </w:trPr>
        <w:tc>
          <w:tcPr>
            <w:tcW w:w="4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margin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136,291</w:t>
            </w:r>
          </w:p>
        </w:tc>
      </w:tr>
      <w:tr>
        <w:trPr>
          <w:trHeight w:val="219"/>
        </w:trPr>
        <w:tc>
          <w:tcPr>
            <w:tcW w:w="4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275,890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246,767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89,145</w:t>
            </w:r>
          </w:p>
        </w:tc>
      </w:tr>
      <w:tr>
        <w:trPr>
          <w:trHeight w:val="212"/>
        </w:trPr>
        <w:tc>
          <w:tcPr>
            <w:tcW w:w="4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operations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47,146</w:t>
            </w:r>
          </w:p>
        </w:tc>
      </w:tr>
      <w:tr>
        <w:trPr>
          <w:trHeight w:val="219"/>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r>
      <w:tr>
        <w:trPr>
          <w:trHeight w:val="219"/>
        </w:trPr>
        <w:tc>
          <w:tcPr>
            <w:tcW w:w="4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2"/>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Income before taxes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46,504</w:t>
            </w:r>
          </w:p>
        </w:tc>
      </w:tr>
      <w:tr>
        <w:trPr>
          <w:trHeight w:val="219"/>
        </w:trPr>
        <w:tc>
          <w:tcPr>
            <w:tcW w:w="4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9,568</w:t>
            </w:r>
          </w:p>
        </w:tc>
      </w:tr>
      <w:tr>
        <w:trPr>
          <w:trHeight w:val="212"/>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Net and comprehensive income</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89,633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19,741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36,936</w:t>
            </w:r>
          </w:p>
        </w:tc>
      </w:tr>
      <w:tr>
        <w:trPr>
          <w:trHeight w:val="20"/>
        </w:trPr>
        <w:tc>
          <w:tcPr>
            <w:tcW w:w="1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Operational Data:</w:t>
            </w:r>
          </w:p>
        </w:tc>
        <w:tc>
          <w:tcPr>
            <w:tcW w:w="1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2"/>
        </w:trPr>
        <w:tc>
          <w:tcPr>
            <w:tcW w:w="4720" w:type="dxa"/>
            <w:vAlign w:val="bottom"/>
          </w:tcPr>
          <w:p>
            <w:pPr>
              <w:spacing w:after="0"/>
              <w:rPr>
                <w:sz w:val="24"/>
                <w:szCs w:val="24"/>
                <w:color w:val="auto"/>
              </w:rPr>
            </w:pPr>
          </w:p>
        </w:tc>
        <w:tc>
          <w:tcPr>
            <w:tcW w:w="330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322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60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2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147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tbl>
      <w:tblPr>
        <w:tblLayout w:type="fixed"/>
        <w:tblInd w:w="0" w:type="dxa"/>
        <w:tblCellMar>
          <w:top w:w="0" w:type="dxa"/>
          <w:left w:w="0" w:type="dxa"/>
          <w:bottom w:w="0" w:type="dxa"/>
          <w:right w:w="0" w:type="dxa"/>
        </w:tblCellMar>
      </w:tblPr>
      <w:tr>
        <w:trPr>
          <w:trHeight w:val="221"/>
        </w:trPr>
        <w:tc>
          <w:tcPr>
            <w:tcW w:w="4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Comparable growth</w:t>
            </w:r>
          </w:p>
        </w:tc>
        <w:tc>
          <w:tcPr>
            <w:tcW w:w="180" w:type="dxa"/>
            <w:vAlign w:val="bottom"/>
          </w:tcPr>
          <w:p>
            <w:pPr>
              <w:spacing w:after="0"/>
              <w:rPr>
                <w:sz w:val="19"/>
                <w:szCs w:val="19"/>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Demand comparable growth</w:t>
            </w:r>
          </w:p>
        </w:tc>
        <w:tc>
          <w:tcPr>
            <w:tcW w:w="180" w:type="dxa"/>
            <w:vAlign w:val="bottom"/>
          </w:tcPr>
          <w:p>
            <w:pPr>
              <w:spacing w:after="0"/>
              <w:rPr>
                <w:sz w:val="21"/>
                <w:szCs w:val="21"/>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 as a % of net revenue</w:t>
            </w:r>
          </w:p>
        </w:tc>
        <w:tc>
          <w:tcPr>
            <w:tcW w:w="180" w:type="dxa"/>
            <w:vAlign w:val="bottom"/>
          </w:tcPr>
          <w:p>
            <w:pPr>
              <w:spacing w:after="0"/>
              <w:rPr>
                <w:sz w:val="21"/>
                <w:szCs w:val="21"/>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 as a % of net revenue</w:t>
            </w:r>
          </w:p>
        </w:tc>
        <w:tc>
          <w:tcPr>
            <w:tcW w:w="180" w:type="dxa"/>
            <w:vAlign w:val="bottom"/>
          </w:tcPr>
          <w:p>
            <w:pPr>
              <w:spacing w:after="0"/>
              <w:rPr>
                <w:sz w:val="21"/>
                <w:szCs w:val="21"/>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 as a % of net revenue</w:t>
            </w:r>
          </w:p>
        </w:tc>
        <w:tc>
          <w:tcPr>
            <w:tcW w:w="180" w:type="dxa"/>
            <w:vAlign w:val="bottom"/>
          </w:tcPr>
          <w:p>
            <w:pPr>
              <w:spacing w:after="0"/>
              <w:rPr>
                <w:sz w:val="21"/>
                <w:szCs w:val="21"/>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and 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and comprehensive income as a % of net revenue</w:t>
            </w:r>
          </w:p>
        </w:tc>
        <w:tc>
          <w:tcPr>
            <w:tcW w:w="180" w:type="dxa"/>
            <w:vAlign w:val="bottom"/>
          </w:tcPr>
          <w:p>
            <w:pPr>
              <w:spacing w:after="0"/>
              <w:rPr>
                <w:sz w:val="20"/>
                <w:szCs w:val="20"/>
                <w:color w:val="auto"/>
              </w:rPr>
            </w:pPr>
          </w:p>
        </w:tc>
      </w:tr>
      <w:tr>
        <w:trPr>
          <w:trHeight w:val="29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 as a % of net revenue</w:t>
            </w:r>
          </w:p>
        </w:tc>
        <w:tc>
          <w:tcPr>
            <w:tcW w:w="180" w:type="dxa"/>
            <w:vAlign w:val="bottom"/>
          </w:tcPr>
          <w:p>
            <w:pPr>
              <w:spacing w:after="0"/>
              <w:rPr>
                <w:sz w:val="19"/>
                <w:szCs w:val="19"/>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Showrooms at end of period</w:t>
            </w:r>
          </w:p>
        </w:tc>
        <w:tc>
          <w:tcPr>
            <w:tcW w:w="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29959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959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7"/>
              </w:rPr>
              <w:t>943,696</w:t>
            </w:r>
          </w:p>
        </w:tc>
        <w:tc>
          <w:tcPr>
            <w:tcW w:w="48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872,595</w:t>
            </w: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326,229</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320,030</w:t>
            </w:r>
          </w:p>
        </w:tc>
      </w:tr>
      <w:tr>
        <w:trPr>
          <w:trHeight w:val="247"/>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4.8 %</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54.3 %</w:t>
            </w:r>
          </w:p>
        </w:tc>
      </w:tr>
      <w:tr>
        <w:trPr>
          <w:trHeight w:val="245"/>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9.6 %</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11.7 %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15.8 %</w:t>
            </w:r>
          </w:p>
        </w:tc>
      </w:tr>
      <w:tr>
        <w:trPr>
          <w:trHeight w:val="245"/>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42.3 %</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40.1 %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42.6 %</w:t>
            </w:r>
          </w:p>
        </w:tc>
      </w:tr>
      <w:tr>
        <w:trPr>
          <w:trHeight w:val="245"/>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29.2 %</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32.8 %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27.9 %</w:t>
            </w:r>
          </w:p>
        </w:tc>
      </w:tr>
      <w:tr>
        <w:trPr>
          <w:trHeight w:val="241"/>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13.1 %</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7.3 %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14.7 %</w:t>
            </w:r>
          </w:p>
        </w:tc>
      </w:tr>
      <w:tr>
        <w:trPr>
          <w:trHeight w:val="223"/>
        </w:trPr>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94,023</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89,633</w:t>
            </w:r>
          </w:p>
        </w:tc>
        <w:tc>
          <w:tcPr>
            <w:tcW w:w="8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19,741</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36,936</w:t>
            </w:r>
          </w:p>
        </w:tc>
      </w:tr>
      <w:tr>
        <w:trPr>
          <w:trHeight w:val="258"/>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10.0 %</w:t>
            </w: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6.1 %</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11.5 %</w:t>
            </w:r>
          </w:p>
        </w:tc>
      </w:tr>
      <w:tr>
        <w:trPr>
          <w:trHeight w:val="271"/>
        </w:trPr>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7"/>
              </w:rPr>
              <w:t>152,246</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148,350</w:t>
            </w:r>
          </w:p>
        </w:tc>
        <w:tc>
          <w:tcPr>
            <w:tcW w:w="80" w:type="dxa"/>
            <w:vAlign w:val="bottom"/>
          </w:tcPr>
          <w:p>
            <w:pPr>
              <w:spacing w:after="0"/>
              <w:rPr>
                <w:sz w:val="23"/>
                <w:szCs w:val="23"/>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33,660</w:t>
            </w:r>
          </w:p>
        </w:tc>
        <w:tc>
          <w:tcPr>
            <w:tcW w:w="100" w:type="dxa"/>
            <w:vAlign w:val="bottom"/>
          </w:tcPr>
          <w:p>
            <w:pPr>
              <w:spacing w:after="0"/>
              <w:rPr>
                <w:sz w:val="23"/>
                <w:szCs w:val="23"/>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56,712</w:t>
            </w:r>
          </w:p>
        </w:tc>
      </w:tr>
      <w:tr>
        <w:trPr>
          <w:trHeight w:val="241"/>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16.1 %</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10.3 %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17.7 %</w:t>
            </w:r>
          </w:p>
        </w:tc>
      </w:tr>
      <w:tr>
        <w:trPr>
          <w:trHeight w:val="223"/>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86</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-1391285</wp:posOffset>
            </wp:positionV>
            <wp:extent cx="7138670" cy="155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-1080135</wp:posOffset>
            </wp:positionV>
            <wp:extent cx="7138670" cy="155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-768985</wp:posOffset>
            </wp:positionV>
            <wp:extent cx="7138670" cy="139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-466090</wp:posOffset>
            </wp:positionV>
            <wp:extent cx="7138670" cy="1720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7208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-139065</wp:posOffset>
            </wp:positionV>
            <wp:extent cx="7138670" cy="155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4880" w:space="720"/>
            <w:col w:w="5640"/>
          </w:cols>
          <w:pgMar w:left="320" w:top="112" w:right="339" w:bottom="1440" w:gutter="0" w:footer="0" w:header="0"/>
          <w:type w:val="continuous"/>
        </w:sectPr>
      </w:pPr>
    </w:p>
    <w:p>
      <w:pPr>
        <w:ind w:left="120" w:hanging="117"/>
        <w:spacing w:after="0"/>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See “How We Assess the Performance of Our Business,” for a definition of adjusted EBITDA and a reconciliation of adjusted EBITDA to net and comprehensive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nine months ended September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p>
      <w:pPr>
        <w:spacing w:after="0" w:line="184"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Net revenue increased $71.1 million, or 8.1%, to $943.7 million in the nine months ended September 30, 2023 compared to $872.6 million in the nine months ended September 30, 2022. The increase was driven primarily by increased demand for our products in both Showrooms and eCommerce.</w:t>
      </w:r>
    </w:p>
    <w:p>
      <w:pPr>
        <w:spacing w:after="0" w:line="125"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7"/>
          <w:szCs w:val="17"/>
          <w:color w:val="auto"/>
        </w:rPr>
        <w:t>Comparable growth was 4.8% in the nine months ended September 30, 2023 compared to 53.5% in the nine months ended September 30, 2022. Demand comparable growth was 9.6% in the nine months ended September 30, 2023 compared to 15.1% in the nine months ended September 30,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w:t>
      </w:r>
    </w:p>
    <w:p>
      <w:pPr>
        <w:spacing w:after="0" w:line="184"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Gross margin increased $32.2 million, or 8.8%, to $399.2 million in the nine months ended September 30, 2023 compared to $367.0 million in the nine months ended September 30, 2022. Gross margin improvement was driven by the increase in net revenue, partially offset by increased variable expense related to the higher revenue, including $16.1 million of increased product costs, $8.6 million of increased delivery and transportation costs, $8.4 million of increased fixed Showroom costs and $3.2 million of increased credit card fees related to demand.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As a percentage of net revenue, gross margin increased 20 basis points to 42.3% of net revenue in the nine months ended September 30, 2023 compared to 42.1% of net revenue in the nine months ended September 30, 2022. The gross margin increase as a percentage of net revenue was primarily the result of favorable product costs contributing 100 basis points to the gross margin improvement. This was partially offset by higher fixed Showroom, delivery and transportation costs and credit card fees, which together increased 80 basis points as a percentage of net revenue.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8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SG&amp;A expenses increased $29.1 million, or 11.8%, to $275.9 million in the nine months ended September 30, 2023 compared to $246.8 million in the nine months ended September 30, 2022. The increase in SG&amp;A expenses was primarily driven by a $15.0 million increase in corporate expenses to support the growth of the business, an $11.7 million increase in selling expenses related to new Showrooms and higher demand and a $10.0 million donation to The Nature Conservancy, partially offset by a $5.8 million decrease in warehouse expenses.</w:t>
      </w:r>
    </w:p>
    <w:p>
      <w:pPr>
        <w:spacing w:after="0" w:line="13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As a percentage of net revenue, SG&amp;A expenses increased 90 basis points to 29.2% of net revenue in the nine months ended September 30, 2023 compared to 28.3% of net revenue in the nine months ended September 30,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(income), net</w:t>
      </w:r>
    </w:p>
    <w:p>
      <w:pPr>
        <w:spacing w:after="0" w:line="184"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Interest expense (income), net decreased $5.1 million for the nine months ended September 30, 2023 compared to the nine months ended September 30, 2022, primarily due to an increase in interest income earned on money market fund investments of $5.2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 was $31.8 million in the nine months ended September 30, 2023 compared to $27.9 million in the nine months ended September 30, 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effective tax rate was 25.3% and 23.7% for the nine months ended September 30, 2023 and 2022,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and Comprehensive Income</w:t>
      </w:r>
    </w:p>
    <w:p>
      <w:pPr>
        <w:spacing w:after="0" w:line="184"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Net and comprehensive income increased $4.4 million to $94.0 million in the nine months ended September 30, 2023 compared to $89.6 million in the nine months ended September 30, 2022. The increase was driven by the factors described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September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p>
      <w:pPr>
        <w:spacing w:after="0" w:line="184"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Net revenue increased $6.2 million, or 1.9%, to $326.2 million in the three months ended September 30, 2023 compared to $320.0 million in the three months ended September 30, 2022.</w:t>
      </w:r>
    </w:p>
    <w:p>
      <w:pPr>
        <w:spacing w:after="0" w:line="125"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Comparable growth was (2.1)% in the three months ended September 30, 2023 compared to 54.3% in the three months ended September 30, 2022. Demand comparable growth was 11.7% in the three months ended September 30, 2023 compared to 15.8% in the three months ended September 30,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w:t>
      </w:r>
    </w:p>
    <w:p>
      <w:pPr>
        <w:spacing w:after="0" w:line="184"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Gross margin decreased $5.4 million, or 4.0%, to $130.9 million in the three months ended September 30, 2023 compared to $136.3 million in the three months ended September 30, 2022. The change in gross margin was due to product cost increases of $4.5 million primarily driven by the sale of price-actioned products that were receipted with high container costs, higher fixed Showroom costs of $4.0 million and $2.6 million of increased delivery and transportation costs.</w:t>
      </w:r>
    </w:p>
    <w:p>
      <w:pPr>
        <w:spacing w:after="0" w:line="14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As a percentage of net revenue, gross margin decreased 250 basis points to 40.1% of net revenue in the three months ended September 30, 2023 compared to 42.6% of net revenue in the three months ended September 30, 2022. The gross margin decrease as a percentage of net revenue was primarily the result of higher fixed Showroom costs which increased 110 basis points and higher product, delivery and transportation costs, which together increased 130 basis points as a percentage of net revenue.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97"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SG&amp;A expenses increased $17.8 million, or 20.0%, to $107.0 million in the three months ended September 30, 2023 compared to $89.1 million in the three months ended September 30, 2022.</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increase in SG&amp;A expenses was primarily driven by a $10.0 million donation to The Nature Conservancy, $5.7 million of increased selling expenses primarily related to new Showrooms and higher demand and a $3.1 million increase in corporate expenses to support the growth of the business.</w:t>
      </w:r>
    </w:p>
    <w:p>
      <w:pPr>
        <w:spacing w:after="0" w:line="11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As a percentage of net revenue, SG&amp;A expenses increased 490 basis points to 32.8% of net revenue in the three months ended September 30, 2023 compared to 27.9% of net revenue in the three months ended September 30,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(income), net</w:t>
      </w:r>
    </w:p>
    <w:p>
      <w:pPr>
        <w:spacing w:after="0" w:line="184"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Interest expense (income), net decreased $1.8 million for the three months ended September 30, 2023 compared to the three months ended September 30, 2022, primarily due to an in increase in interest income earned on money market fund investments of $1.9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9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Income taxes were $5.3 million in the three months ended September 30, 2023 compared to $9.6 million in the three months ended September 30, 2022. Our effective tax rate was 21.2% and 20.6% for the three months ended September 30, 2023 and 2022,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and Comprehensive Income</w:t>
      </w:r>
    </w:p>
    <w:p>
      <w:pPr>
        <w:spacing w:after="0" w:line="18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Net and comprehensive income decreased $17.2 million to $19.7 million in the three months ended September 30, 2023 compared to $36.9 million in the three months ended September 30, 2022. The decrease was driven by the factors described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Outlook</w:t>
      </w:r>
    </w:p>
    <w:p>
      <w:pPr>
        <w:spacing w:after="0" w:line="18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September 30, 2023, we had cash and cash equivalents of $236.9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November 2021, the Company entered into a revolving credit facility (the “2021 Credit Facility”). The 2021 Credit Facility provides for, among other things,</w:t>
      </w:r>
    </w:p>
    <w:p>
      <w:pPr>
        <w:spacing w:after="0" w:line="28" w:lineRule="exact"/>
        <w:rPr>
          <w:sz w:val="20"/>
          <w:szCs w:val="20"/>
          <w:color w:val="auto"/>
        </w:rPr>
      </w:pPr>
    </w:p>
    <w:p>
      <w:pPr>
        <w:ind w:right="80" w:firstLine="3"/>
        <w:spacing w:after="0" w:line="255" w:lineRule="auto"/>
        <w:tabs>
          <w:tab w:leader="none" w:pos="24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September 30, 2023 and 2022), whereas the applicable margin is adjusted quarterly based on the Company’s consolidated rent-adjusted total leverage ratio.</w:t>
      </w:r>
    </w:p>
    <w:p>
      <w:pPr>
        <w:spacing w:after="0" w:line="14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 At September 30, 2023, we had no borrowings on the 2021 Credit Facility.</w:t>
      </w:r>
    </w:p>
    <w:p>
      <w:pPr>
        <w:spacing w:after="0" w:line="12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2023,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supply chain expansion and growth initiatives. In addition, our needs and uses of capital may change in the future due to changes in our business or new opportunities that we choose to pursue.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Historically, we have invested significant capital expenditures in opening new Showrooms and expanding our distribution center footprint. While our capital expenditures vary year to year, they have increased in the past and may continue to increase in future periods as our distribution centers become fully operational and we open additional Showrooms. Our capital expenditures include expenditures related to investing activities and outflows of capital related to construction activities to design and build landlord-owned leased assets, net of tenant allowances received. Certain lease arrangements require the landlord to fund a portion of the construction related costs through payments directly to us. New Showrooms may require different levels of capital investment on our part in the future.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Facilities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4 — Long-Term Debt to our condensed consolidated financial statements for further information on our 2021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Analysis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summary of our cash provided by operating, investing and financing activities: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5"/>
        </w:trPr>
        <w:tc>
          <w:tcPr>
            <w:tcW w:w="7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5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2"/>
        </w:trPr>
        <w:tc>
          <w:tcPr>
            <w:tcW w:w="7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145,824</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61,459</w:t>
            </w:r>
          </w:p>
        </w:tc>
        <w:tc>
          <w:tcPr>
            <w:tcW w:w="0" w:type="dxa"/>
            <w:vAlign w:val="bottom"/>
          </w:tcPr>
          <w:p>
            <w:pPr>
              <w:spacing w:after="0"/>
              <w:rPr>
                <w:sz w:val="1"/>
                <w:szCs w:val="1"/>
                <w:color w:val="auto"/>
              </w:rPr>
            </w:pPr>
          </w:p>
        </w:tc>
      </w:tr>
      <w:tr>
        <w:trPr>
          <w:trHeight w:val="21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(40,172)</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12"/>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 equivalents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87,868</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21,174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operating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the nine months ended September 30, 2023 and 2022</w:t>
      </w:r>
    </w:p>
    <w:p>
      <w:pPr>
        <w:spacing w:after="0" w:line="18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For the nine months ended September 30, 2023, net cash provided by operating activities was $145.8 million and consisted of net income of $94.0 million and an increase of non-cash items of $68.4 million, which were partially offset by a change in working capital and other activities of $16.6 million. The use of cash from working capital was primarily driven by a decrease in operating lease liabilities of $28.8 million primarily due to payments made under the related lease agreements, a decrease in accounts payable of $10.1 million, and an increase in prepaid and other assets of $8.4 million, which was partially offset by a decrease of merchandise inventory of $17.4 million, an increase in client deposits of $9.8 million and an increase in accrued expenses of $3.5 million, in the nine months ended September 30, 2023.</w:t>
      </w:r>
    </w:p>
    <w:p>
      <w:pPr>
        <w:spacing w:after="0" w:line="13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For the nine months ended September 30, 2022, net cash provided by operating activities was $61.5 million and consisted of net income of $89.6 million and increases of non-cash items of $56.9 million, which was partially offset by a change in working capital and other activities of $85.0 million. The use of cash from working capital was primarily driven by an increase in merchandise inventory of $84.2 million, a decrease in operating lease liabilities of $22.6 million primarily due to payments made under the related lease agreements, an increase in prepaid and other assets of $6.2 million, a decrease in client deposits of $3.1 million, which was partially offset by an increase in accrued expenses of $23.7 million and an increase in accounts payable of $8.5 million in the nine months ended September 30, 2022.</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investing activities</w:t>
      </w:r>
    </w:p>
    <w:p>
      <w:pPr>
        <w:spacing w:after="0" w:line="19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Investing activities consist primarily of capital expenditures related to investments in retail Showrooms, information technology and systems infrastructure, as well as supply chain investments.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the nine months ended September 30, 2023 and 2022</w:t>
      </w:r>
    </w:p>
    <w:p>
      <w:pPr>
        <w:spacing w:after="0" w:line="18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For the nine months ended September 30, 2023, net cash used in investing activities was $56.4 million primarily due to investments in Showrooms, supply chain expansion and information technology and systems infrastructure.</w:t>
      </w:r>
    </w:p>
    <w:p>
      <w:pPr>
        <w:spacing w:after="0" w:line="12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For the nine months ended September 30, 2022, net cash used in investing activities was $40.2 million primarily due to investments in Showrooms, supply chain expansion and information technology and systems infrastructure.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Historical capital expenditures are summarized as follows:</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2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5"/>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40,172</w:t>
            </w:r>
          </w:p>
        </w:tc>
        <w:tc>
          <w:tcPr>
            <w:tcW w:w="0" w:type="dxa"/>
            <w:vAlign w:val="bottom"/>
          </w:tcPr>
          <w:p>
            <w:pPr>
              <w:spacing w:after="0"/>
              <w:rPr>
                <w:sz w:val="1"/>
                <w:szCs w:val="1"/>
                <w:color w:val="auto"/>
              </w:rPr>
            </w:pPr>
          </w:p>
        </w:tc>
      </w:tr>
      <w:tr>
        <w:trPr>
          <w:trHeight w:val="258"/>
        </w:trPr>
        <w:tc>
          <w:tcPr>
            <w:tcW w:w="5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Landlord contributions</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11,373</w:t>
            </w:r>
          </w:p>
        </w:tc>
        <w:tc>
          <w:tcPr>
            <w:tcW w:w="0" w:type="dxa"/>
            <w:vAlign w:val="bottom"/>
          </w:tcPr>
          <w:p>
            <w:pPr>
              <w:spacing w:after="0"/>
              <w:rPr>
                <w:sz w:val="1"/>
                <w:szCs w:val="1"/>
                <w:color w:val="auto"/>
              </w:rPr>
            </w:pPr>
          </w:p>
        </w:tc>
      </w:tr>
      <w:tr>
        <w:trPr>
          <w:trHeight w:val="276"/>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 expenditures, net of landlord contributions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Total capital expenditures, net of landlord contributions increased by $16.7 million in the nine months ended September 30, 2023 compared to the nine months ended September 30, 2022.</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anticipate our total company funded capital expenditures to be between $60 million and $70 million in fiscal year 2023, primarily related to the opening of new Showrooms.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financing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the nine months ended September 30, 2023 and 2022</w:t>
      </w:r>
    </w:p>
    <w:p>
      <w:pPr>
        <w:spacing w:after="0" w:line="19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For the nine months ended September 30, 2023, net cash used in financing activities was $1.5 million primarily due to the repurchase of shares for payment of withholding taxes for equity based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nine months ended September 30, 2022, net cash used in financing activities was $0.1 million due to principal payments on finance leases.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2023, we have no material off-balance sheet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8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See Note 2 — </w:t>
      </w:r>
      <w:r>
        <w:rPr>
          <w:rFonts w:ascii="Times New Roman" w:cs="Times New Roman" w:eastAsia="Times New Roman" w:hAnsi="Times New Roman"/>
          <w:sz w:val="17"/>
          <w:szCs w:val="17"/>
          <w:i w:val="1"/>
          <w:iCs w:val="1"/>
          <w:color w:val="auto"/>
        </w:rPr>
        <w:t>Recently Issued Accounting Standards</w:t>
      </w:r>
      <w:r>
        <w:rPr>
          <w:rFonts w:ascii="Times New Roman" w:cs="Times New Roman" w:eastAsia="Times New Roman" w:hAnsi="Times New Roman"/>
          <w:sz w:val="17"/>
          <w:szCs w:val="17"/>
          <w:color w:val="auto"/>
        </w:rPr>
        <w:t xml:space="preserve"> to our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82"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We are exposed to market risks, which include significant deterioration of the U.S. and foreign markets, changes in U.S.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9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nine and three months ended September 30, 2023 and 2022,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8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are primarily exposed to interest rate risk with respect to borrowing under our 2021 Credit Facility and as of September 30, 2023,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Impact of Inflation</w:t>
      </w:r>
    </w:p>
    <w:p>
      <w:pPr>
        <w:spacing w:after="0" w:line="18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Emerging Growth Company Status</w:t>
      </w:r>
    </w:p>
    <w:p>
      <w:pPr>
        <w:spacing w:after="0" w:line="19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are no longer an emerging growth company or affirmatively and irrevocably opt out of the extended transition period provided in the JOBS Act. Accordingly, our condensed consolidated financial statements may not be comparable to companies that comply with new or revised accounting pronouncements as of public company effective dates.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9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Under the supervision and with the participation of our CEO and Chief Financial Officer (“CFO”), management has evaluated the effectiveness of the design and operation of our disclosure controls and procedures (as defined in Rules 13a-15(e) and 15d-15(e) of the Securities Exchange Act of 1934) as of September 30, 2023. Based on their evaluation as of September 30, 2023, the CEO and CFO have concluded that our disclosure controls and procedures were not effective at the reasonable assurance level because of the material weaknesses in our internal control over financial reporting described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upon that evaluation, our CEO and CFO identified four material weaknesses in our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Weaknesses in Internal Control Over Financial Reporting</w:t>
      </w:r>
    </w:p>
    <w:p>
      <w:pPr>
        <w:spacing w:after="0" w:line="19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13" w:lineRule="exact"/>
        <w:rPr>
          <w:sz w:val="20"/>
          <w:szCs w:val="20"/>
          <w:color w:val="auto"/>
        </w:rPr>
      </w:pPr>
    </w:p>
    <w:p>
      <w:pPr>
        <w:ind w:left="620" w:right="180" w:hanging="307"/>
        <w:spacing w:after="0" w:line="264"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20" w:right="160"/>
        <w:spacing w:after="0" w:line="263" w:lineRule="auto"/>
        <w:rPr>
          <w:sz w:val="20"/>
          <w:szCs w:val="20"/>
          <w:color w:val="auto"/>
        </w:rPr>
      </w:pPr>
      <w:r>
        <w:rPr>
          <w:rFonts w:ascii="Times New Roman" w:cs="Times New Roman" w:eastAsia="Times New Roman" w:hAnsi="Times New Roman"/>
          <w:sz w:val="17"/>
          <w:szCs w:val="17"/>
          <w:color w:val="auto"/>
        </w:rPr>
        <w:t>demonstrated by, amongst other things, insufficient segregation of duties in our finance and accounting functions. This material weakness contributed to the following additional material weaknesses.</w:t>
      </w:r>
    </w:p>
    <w:p>
      <w:pPr>
        <w:spacing w:after="0" w:line="1" w:lineRule="exact"/>
        <w:rPr>
          <w:sz w:val="20"/>
          <w:szCs w:val="20"/>
          <w:color w:val="auto"/>
        </w:rPr>
      </w:pPr>
    </w:p>
    <w:p>
      <w:pPr>
        <w:ind w:left="620" w:right="60" w:hanging="307"/>
        <w:spacing w:after="0" w:line="25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ind w:left="620" w:right="440" w:hanging="307"/>
        <w:spacing w:after="0" w:line="259"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18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7"/>
          <w:szCs w:val="17"/>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20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7"/>
          <w:szCs w:val="17"/>
          <w:color w:val="auto"/>
        </w:rPr>
        <w:t>In preparation of the December 31, 2023 consolidated financial statements, these material weaknesses resulted in a restatement as of and for the interim period ended September 30, 2023 and revisions as of and for the annual periods ended December 31, 2022 and 2021, and as of and for the interim periods ended March 31, 2022, June 30, 2022, September 30, 2022, December 31, 2022, March 31, 2023 and June 30, 2023, principally related to prepaid and other current assets, and property, furniture and equipment, net, which resulted in misclassifications in the balance sheets and statements of cash flows and the timely recording of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41" w:lineRule="exact"/>
        <w:rPr>
          <w:sz w:val="20"/>
          <w:szCs w:val="20"/>
          <w:color w:val="auto"/>
        </w:rPr>
      </w:pPr>
    </w:p>
    <w:p>
      <w:pPr>
        <w:ind w:left="620" w:hanging="307"/>
        <w:spacing w:after="0" w:line="25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4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Remediation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oversight of senior management and our Audit Committee, we have designed and begun to implement a remediation plan which includes:</w:t>
      </w:r>
    </w:p>
    <w:p>
      <w:pPr>
        <w:spacing w:after="0" w:line="178" w:lineRule="exact"/>
        <w:rPr>
          <w:sz w:val="20"/>
          <w:szCs w:val="20"/>
          <w:color w:val="auto"/>
        </w:rPr>
      </w:pPr>
    </w:p>
    <w:p>
      <w:pPr>
        <w:ind w:left="620" w:right="520" w:hanging="307"/>
        <w:spacing w:after="0" w:line="26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Updating our policies and procedures to establish and maintain effective segregation of duties for our accounting staff in relation to journal entries, reconciliations and other applicable processes.</w:t>
      </w:r>
    </w:p>
    <w:p>
      <w:pPr>
        <w:jc w:val="both"/>
        <w:ind w:left="620" w:right="560" w:hanging="307"/>
        <w:spacing w:after="0" w:line="25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ind w:left="620" w:right="620" w:hanging="307"/>
        <w:spacing w:after="0" w:line="25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the design and operation of user access control activities and procedures to ensure that access to IT applications and data is adequately restricted to appropriate personnel.</w:t>
      </w:r>
    </w:p>
    <w:p>
      <w:pPr>
        <w:ind w:left="620" w:right="380" w:hanging="307"/>
        <w:spacing w:after="0" w:line="266"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additional competent and qualified technical accounting and financial reporting personnel with appropriate knowledge and experience of U.S. GAAP and SEC financial reporting requirements, including non-routine and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complex transactions, to design, execute and/or provide appropriate oversight of activities related to internal control over financial reporting, or ICFR.</w:t>
      </w:r>
    </w:p>
    <w:p>
      <w:pPr>
        <w:spacing w:after="0" w:line="28" w:lineRule="exact"/>
        <w:rPr>
          <w:sz w:val="20"/>
          <w:szCs w:val="20"/>
          <w:color w:val="auto"/>
        </w:rPr>
      </w:pPr>
    </w:p>
    <w:p>
      <w:pPr>
        <w:ind w:left="620" w:right="38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ind w:left="620" w:right="30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a formal systems development lifecycle methodology and related program development controls to ensure significant IT change events are appropriately tested and approved.</w:t>
      </w:r>
    </w:p>
    <w:p>
      <w:pPr>
        <w:ind w:left="620" w:right="18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the design and operation of control activities and procedures within the computer operations domain to ensure key batch jobs are monitored, processing failures are adequately resolved, and recovery capability is tested.</w:t>
      </w: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evaluating key IT dependencies including key reports, automated application controls, interfaces, and end user computer facilities.</w:t>
      </w:r>
    </w:p>
    <w:p>
      <w:pPr>
        <w:spacing w:after="0" w:line="16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Although we have developed and begun to implement our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82"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Other than as described above with respect to ongoing remediation efforts, there were no changes in our internal control over financial reporting as such term is defined in Exchange Act Rule 13a-15(f)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3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from the risk factors disclosed in Part I, Item 1A “Risk Factors” in our Annual Report on Form 10-K for the year ended December 31,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9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following table contains information with respect to repurchases of shares made by the Company during the three months ended September 30, 2023. The table reflects shares delivered to the Company by employees to satisfy tax withholding obligations due upon the vesting of restricted stock. These shares were not repurchased in connection with any publicly announced share repurchase programs.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00" w:type="dxa"/>
            <w:vAlign w:val="bottom"/>
          </w:tcPr>
          <w:p>
            <w:pPr>
              <w:spacing w:after="0"/>
              <w:rPr>
                <w:sz w:val="17"/>
                <w:szCs w:val="17"/>
                <w:color w:val="auto"/>
              </w:rPr>
            </w:pPr>
          </w:p>
        </w:tc>
        <w:tc>
          <w:tcPr>
            <w:tcW w:w="248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Approximate dollar value of</w:t>
            </w:r>
          </w:p>
        </w:tc>
      </w:tr>
      <w:tr>
        <w:trPr>
          <w:trHeight w:val="20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purchased as part of</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shares that may yet be purchased</w:t>
            </w:r>
          </w:p>
        </w:tc>
      </w:tr>
      <w:tr>
        <w:trPr>
          <w:trHeight w:val="22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Average price paid per share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publicly announced plans</w:t>
            </w:r>
          </w:p>
        </w:tc>
        <w:tc>
          <w:tcPr>
            <w:tcW w:w="100" w:type="dxa"/>
            <w:vAlign w:val="bottom"/>
          </w:tcPr>
          <w:p>
            <w:pPr>
              <w:spacing w:after="0"/>
              <w:rPr>
                <w:sz w:val="19"/>
                <w:szCs w:val="19"/>
                <w:color w:val="auto"/>
              </w:rPr>
            </w:pPr>
          </w:p>
        </w:tc>
        <w:tc>
          <w:tcPr>
            <w:tcW w:w="248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under publicly announced plans</w:t>
            </w:r>
          </w:p>
        </w:tc>
      </w:tr>
      <w:tr>
        <w:trPr>
          <w:trHeight w:val="25"/>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1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2023</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58,609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00" w:type="dxa"/>
            <w:vAlign w:val="bottom"/>
          </w:tcPr>
          <w:p>
            <w:pPr>
              <w:spacing w:after="0"/>
              <w:rPr>
                <w:sz w:val="19"/>
                <w:szCs w:val="19"/>
                <w:color w:val="auto"/>
              </w:rPr>
            </w:pPr>
          </w:p>
        </w:tc>
        <w:tc>
          <w:tcPr>
            <w:tcW w:w="2240" w:type="dxa"/>
            <w:vAlign w:val="bottom"/>
            <w:gridSpan w:val="2"/>
          </w:tcPr>
          <w:p>
            <w:pPr>
              <w:ind w:left="1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2023</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58,609</w:t>
            </w:r>
          </w:p>
        </w:tc>
        <w:tc>
          <w:tcPr>
            <w:tcW w:w="8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00" w:type="dxa"/>
            <w:vAlign w:val="bottom"/>
          </w:tcPr>
          <w:p>
            <w:pPr>
              <w:spacing w:after="0"/>
              <w:rPr>
                <w:sz w:val="21"/>
                <w:szCs w:val="21"/>
                <w:color w:val="auto"/>
              </w:rPr>
            </w:pPr>
          </w:p>
        </w:tc>
        <w:tc>
          <w:tcPr>
            <w:tcW w:w="2240" w:type="dxa"/>
            <w:vAlign w:val="bottom"/>
            <w:gridSpan w:val="2"/>
          </w:tcPr>
          <w:p>
            <w:pPr>
              <w:ind w:left="1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5"/>
        </w:trPr>
        <w:tc>
          <w:tcPr>
            <w:tcW w:w="802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0"/>
        </w:trPr>
        <w:tc>
          <w:tcPr>
            <w:tcW w:w="12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100" w:type="dxa"/>
            <w:vAlign w:val="bottom"/>
            <w:tcBorders>
              <w:top w:val="single" w:sz="8" w:color="0000FF"/>
            </w:tcBorders>
          </w:tcPr>
          <w:p>
            <w:pPr>
              <w:spacing w:after="0"/>
              <w:rPr>
                <w:sz w:val="24"/>
                <w:szCs w:val="24"/>
                <w:color w:val="auto"/>
              </w:rPr>
            </w:pPr>
          </w:p>
        </w:tc>
        <w:tc>
          <w:tcPr>
            <w:tcW w:w="6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0" w:type="dxa"/>
            <w:vAlign w:val="bottom"/>
          </w:tcPr>
          <w:p>
            <w:pPr>
              <w:spacing w:after="0"/>
              <w:rPr>
                <w:sz w:val="21"/>
                <w:szCs w:val="21"/>
                <w:color w:val="auto"/>
              </w:rPr>
            </w:pPr>
          </w:p>
        </w:tc>
        <w:tc>
          <w:tcPr>
            <w:tcW w:w="6720" w:type="dxa"/>
            <w:vAlign w:val="bottom"/>
            <w:vMerge w:val="restart"/>
          </w:tcPr>
          <w:p>
            <w:pPr>
              <w:ind w:left="29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32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Filings Referenced for Incorporation by</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100" w:type="dxa"/>
            <w:vAlign w:val="bottom"/>
          </w:tcPr>
          <w:p>
            <w:pPr>
              <w:spacing w:after="0"/>
              <w:rPr>
                <w:sz w:val="20"/>
                <w:szCs w:val="20"/>
                <w:color w:val="auto"/>
              </w:rPr>
            </w:pPr>
          </w:p>
        </w:tc>
        <w:tc>
          <w:tcPr>
            <w:tcW w:w="6720" w:type="dxa"/>
            <w:vAlign w:val="bottom"/>
            <w:vMerge w:val="continue"/>
          </w:tcPr>
          <w:p>
            <w:pPr>
              <w:spacing w:after="0"/>
              <w:rPr>
                <w:sz w:val="20"/>
                <w:szCs w:val="20"/>
                <w:color w:val="auto"/>
              </w:rPr>
            </w:pPr>
          </w:p>
        </w:tc>
        <w:tc>
          <w:tcPr>
            <w:tcW w:w="322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color w:val="auto"/>
              </w:rPr>
              <w:t>Reference</w:t>
            </w:r>
          </w:p>
        </w:tc>
        <w:tc>
          <w:tcPr>
            <w:tcW w:w="0" w:type="dxa"/>
            <w:vAlign w:val="bottom"/>
          </w:tcPr>
          <w:p>
            <w:pPr>
              <w:spacing w:after="0"/>
              <w:rPr>
                <w:sz w:val="1"/>
                <w:szCs w:val="1"/>
                <w:color w:val="auto"/>
              </w:rPr>
            </w:pPr>
          </w:p>
        </w:tc>
      </w:tr>
      <w:tr>
        <w:trPr>
          <w:trHeight w:val="251"/>
        </w:trPr>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0000FF"/>
            </w:tcBorders>
          </w:tcPr>
          <w:p>
            <w:pPr>
              <w:spacing w:after="0"/>
              <w:rPr>
                <w:rFonts w:ascii="Times New Roman" w:cs="Times New Roman" w:eastAsia="Times New Roman" w:hAnsi="Times New Roman"/>
                <w:sz w:val="17"/>
                <w:szCs w:val="17"/>
                <w:color w:val="0000FF"/>
                <w:w w:val="93"/>
              </w:rPr>
            </w:pPr>
            <w:hyperlink r:id="rId85">
              <w:r>
                <w:rPr>
                  <w:rFonts w:ascii="Times New Roman" w:cs="Times New Roman" w:eastAsia="Times New Roman" w:hAnsi="Times New Roman"/>
                  <w:sz w:val="17"/>
                  <w:szCs w:val="17"/>
                  <w:color w:val="0000FF"/>
                  <w:w w:val="93"/>
                </w:rPr>
                <w:t>3.</w:t>
              </w:r>
              <w:r>
                <w:rPr>
                  <w:rFonts w:ascii="Times New Roman" w:cs="Times New Roman" w:eastAsia="Times New Roman" w:hAnsi="Times New Roman"/>
                  <w:sz w:val="17"/>
                  <w:szCs w:val="17"/>
                  <w:u w:val="single" w:color="auto"/>
                  <w:color w:val="0000FF"/>
                  <w:w w:val="93"/>
                </w:rPr>
                <w:t>1</w:t>
              </w:r>
            </w:hyperlink>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Amended and Restated Certificate of Incorporation of Arhaus, Inc.</w:t>
            </w:r>
          </w:p>
        </w:tc>
        <w:tc>
          <w:tcPr>
            <w:tcW w:w="3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November 10, 2021 Form 8-K, Exhibit 3.1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20" w:type="dxa"/>
            <w:vAlign w:val="bottom"/>
            <w:tcBorders>
              <w:bottom w:val="single" w:sz="8" w:color="0000FF"/>
            </w:tcBorders>
          </w:tcPr>
          <w:p>
            <w:pPr>
              <w:spacing w:after="0"/>
              <w:rPr>
                <w:rFonts w:ascii="Times New Roman" w:cs="Times New Roman" w:eastAsia="Times New Roman" w:hAnsi="Times New Roman"/>
                <w:sz w:val="17"/>
                <w:szCs w:val="17"/>
                <w:color w:val="0000FF"/>
                <w:w w:val="93"/>
              </w:rPr>
            </w:pPr>
            <w:hyperlink r:id="rId86">
              <w:r>
                <w:rPr>
                  <w:rFonts w:ascii="Times New Roman" w:cs="Times New Roman" w:eastAsia="Times New Roman" w:hAnsi="Times New Roman"/>
                  <w:sz w:val="17"/>
                  <w:szCs w:val="17"/>
                  <w:color w:val="0000FF"/>
                  <w:w w:val="93"/>
                </w:rPr>
                <w:t>3.</w:t>
              </w:r>
              <w:r>
                <w:rPr>
                  <w:rFonts w:ascii="Times New Roman" w:cs="Times New Roman" w:eastAsia="Times New Roman" w:hAnsi="Times New Roman"/>
                  <w:sz w:val="17"/>
                  <w:szCs w:val="17"/>
                  <w:u w:val="single" w:color="auto"/>
                  <w:color w:val="0000FF"/>
                  <w:w w:val="93"/>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Amended and Restated Bylaws of Arhaus, Inc.</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November 10, 2021 Form 8-K, Exhibit 3.2</w:t>
            </w:r>
          </w:p>
        </w:tc>
        <w:tc>
          <w:tcPr>
            <w:tcW w:w="0" w:type="dxa"/>
            <w:vAlign w:val="bottom"/>
          </w:tcPr>
          <w:p>
            <w:pPr>
              <w:spacing w:after="0"/>
              <w:rPr>
                <w:sz w:val="1"/>
                <w:szCs w:val="1"/>
                <w:color w:val="auto"/>
              </w:rPr>
            </w:pPr>
          </w:p>
        </w:tc>
      </w:tr>
      <w:tr>
        <w:trPr>
          <w:trHeight w:val="328"/>
        </w:trPr>
        <w:tc>
          <w:tcPr>
            <w:tcW w:w="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Certificate of Chief Executive Officer Pursuant to Rules 13a-14(a) and 15d-14(a) of the Securities</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Exchange Act of 1934, as Adopted Pursuant to Section 302 of the 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Certificate of Chief Financial Officer Pursuant to Rules 13a-14(a) and 15d-14(a) of the Securities</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Exchange Act of 1934, as Adopted Pursuant to Section 302 of the 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Certification of Chief Executive Officer Pursuant to 18 U.S.C. Section 1350, as Adopted Pursuant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Furnished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 Section 906 of the 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Certification of Chief Financial Officer Pursuant to 18 U.S.C. Section 1350, as Adopted Pursuant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Furnished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 Section 906 of the 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101.INS</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XBRL Instance Document (the instance document does not appear in the Interactive Data File</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because its XBRL tags are embedded within the Inline XBRL document)</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101.SCH</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101.CAL</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101.DEF</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101.LAB</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101.PRE</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318"/>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Cover Page with Interactive Data File (formatted as Inline XBRL with applicable taxonomy</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extension information contained in Exhibits 101)</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8515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256" w:lineRule="exact"/>
        <w:rPr>
          <w:sz w:val="20"/>
          <w:szCs w:val="20"/>
          <w:color w:val="auto"/>
        </w:rPr>
      </w:pPr>
    </w:p>
    <w:p>
      <w:pPr>
        <w:ind w:left="380" w:right="20" w:hanging="377"/>
        <w:spacing w:after="0" w:line="256" w:lineRule="auto"/>
        <w:tabs>
          <w:tab w:leader="none" w:pos="199"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certifications furnished in Exhibit 32.1 and 32.2 hereto are deemed to accompany this Quarterly Report on Form 10-Q/A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 on this 11th day of March, 2024.</w:t>
      </w:r>
    </w:p>
    <w:p>
      <w:pPr>
        <w:spacing w:after="0" w:line="14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ARHAUS, INC.</w:t>
      </w:r>
    </w:p>
    <w:p>
      <w:pPr>
        <w:spacing w:after="0" w:line="286" w:lineRule="exact"/>
        <w:rPr>
          <w:sz w:val="20"/>
          <w:szCs w:val="20"/>
          <w:color w:val="auto"/>
        </w:rPr>
      </w:pPr>
    </w:p>
    <w:tbl>
      <w:tblPr>
        <w:tblLayout w:type="fixed"/>
        <w:tblInd w:w="526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Dawn Phillipson</w:t>
            </w: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Dawn Phillipson</w:t>
            </w:r>
          </w:p>
        </w:tc>
      </w:tr>
      <w:tr>
        <w:trPr>
          <w:trHeight w:val="219"/>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7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864"/>
        </w:trPr>
        <w:tc>
          <w:tcPr>
            <w:tcW w:w="7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35</w:t>
            </w:r>
          </w:p>
        </w:tc>
        <w:tc>
          <w:tcPr>
            <w:tcW w:w="4540" w:type="dxa"/>
            <w:vAlign w:val="bottom"/>
          </w:tcPr>
          <w:p>
            <w:pPr>
              <w:spacing w:after="0"/>
              <w:rPr>
                <w:sz w:val="24"/>
                <w:szCs w:val="24"/>
                <w:color w:val="auto"/>
              </w:rPr>
            </w:pPr>
          </w:p>
        </w:tc>
      </w:tr>
    </w:tbl>
    <w:p>
      <w:pPr>
        <w:sectPr>
          <w:pgSz w:w="11900" w:h="16838" w:orient="portrait"/>
          <w:cols w:equalWidth="0" w:num="1">
            <w:col w:w="10700"/>
          </w:cols>
          <w:pgMar w:left="320" w:top="119" w:right="8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1F4742"/>
        </w:rPr>
        <w:t>Exhibit 31.1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PERIODIC REPORT UNDER SECTION 302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Reed, certify that:</w:t>
      </w:r>
    </w:p>
    <w:p>
      <w:pPr>
        <w:spacing w:after="0" w:line="191"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10-Q/A of Arhaus, Inc.;</w:t>
      </w:r>
    </w:p>
    <w:p>
      <w:pPr>
        <w:spacing w:after="0" w:line="178"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620" w:right="220" w:hanging="307"/>
        <w:spacing w:after="0" w:line="270"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7"/>
          <w:szCs w:val="17"/>
          <w:color w:val="auto"/>
        </w:rPr>
      </w:pPr>
    </w:p>
    <w:p>
      <w:pPr>
        <w:ind w:left="1240" w:right="260" w:hanging="309"/>
        <w:spacing w:after="0" w:line="270"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1240" w:right="560" w:hanging="309"/>
        <w:spacing w:after="0" w:line="270"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7"/>
          <w:szCs w:val="17"/>
          <w:color w:val="auto"/>
        </w:rPr>
      </w:pPr>
    </w:p>
    <w:p>
      <w:pPr>
        <w:jc w:val="both"/>
        <w:ind w:left="1240" w:right="720" w:hanging="309"/>
        <w:spacing w:after="0" w:line="287"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240" w:right="280" w:hanging="309"/>
        <w:spacing w:after="0" w:line="270"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7"/>
          <w:szCs w:val="17"/>
          <w:color w:val="auto"/>
        </w:rPr>
      </w:pPr>
    </w:p>
    <w:p>
      <w:pPr>
        <w:ind w:left="1240" w:right="160" w:hanging="309"/>
        <w:spacing w:after="0" w:line="287"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Times New Roman" w:cs="Times New Roman" w:eastAsia="Times New Roman" w:hAnsi="Times New Roman"/>
          <w:sz w:val="17"/>
          <w:szCs w:val="17"/>
          <w:color w:val="auto"/>
        </w:rPr>
      </w:pPr>
    </w:p>
    <w:p>
      <w:pPr>
        <w:ind w:left="1240" w:right="140" w:hanging="309"/>
        <w:spacing w:after="0" w:line="287"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7"/>
          <w:szCs w:val="17"/>
          <w:color w:val="auto"/>
        </w:rPr>
        <w:t>Date:</w:t>
        <w:tab/>
        <w:t>March 11, 2024</w:t>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0695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06959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John Reed</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35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PERIODIC REPORT UNDER SECTION 302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Dawn Phillipson, certify that:</w:t>
      </w:r>
    </w:p>
    <w:p>
      <w:pPr>
        <w:spacing w:after="0" w:line="191"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10-Q/A of Arhaus, Inc.;</w:t>
      </w:r>
    </w:p>
    <w:p>
      <w:pPr>
        <w:spacing w:after="0" w:line="178"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620" w:right="220" w:hanging="307"/>
        <w:spacing w:after="0" w:line="270"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7"/>
          <w:szCs w:val="17"/>
          <w:color w:val="auto"/>
        </w:rPr>
      </w:pPr>
    </w:p>
    <w:p>
      <w:pPr>
        <w:ind w:left="1240" w:right="260" w:hanging="309"/>
        <w:spacing w:after="0" w:line="270" w:lineRule="auto"/>
        <w:tabs>
          <w:tab w:leader="none" w:pos="123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1240" w:right="560" w:hanging="309"/>
        <w:spacing w:after="0" w:line="270" w:lineRule="auto"/>
        <w:tabs>
          <w:tab w:leader="none" w:pos="12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7"/>
          <w:szCs w:val="17"/>
          <w:color w:val="auto"/>
        </w:rPr>
      </w:pPr>
    </w:p>
    <w:p>
      <w:pPr>
        <w:jc w:val="both"/>
        <w:ind w:left="1240" w:right="720" w:hanging="309"/>
        <w:spacing w:after="0" w:line="287" w:lineRule="auto"/>
        <w:tabs>
          <w:tab w:leader="none" w:pos="123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240" w:right="280" w:hanging="309"/>
        <w:spacing w:after="0" w:line="270" w:lineRule="auto"/>
        <w:tabs>
          <w:tab w:leader="none" w:pos="12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7"/>
          <w:szCs w:val="17"/>
          <w:color w:val="auto"/>
        </w:rPr>
      </w:pPr>
    </w:p>
    <w:p>
      <w:pPr>
        <w:ind w:left="1240" w:right="160" w:hanging="309"/>
        <w:spacing w:after="0" w:line="287" w:lineRule="auto"/>
        <w:tabs>
          <w:tab w:leader="none" w:pos="123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Times New Roman" w:cs="Times New Roman" w:eastAsia="Times New Roman" w:hAnsi="Times New Roman"/>
          <w:sz w:val="17"/>
          <w:szCs w:val="17"/>
          <w:color w:val="auto"/>
        </w:rPr>
      </w:pPr>
    </w:p>
    <w:p>
      <w:pPr>
        <w:ind w:left="1240" w:right="140" w:hanging="309"/>
        <w:spacing w:after="0" w:line="286" w:lineRule="auto"/>
        <w:tabs>
          <w:tab w:leader="none" w:pos="12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ind w:left="20"/>
        <w:spacing w:after="0" w:line="186" w:lineRule="auto"/>
        <w:tabs>
          <w:tab w:leader="none" w:pos="640" w:val="left"/>
        </w:tabs>
        <w:rPr>
          <w:sz w:val="20"/>
          <w:szCs w:val="20"/>
          <w:color w:val="auto"/>
        </w:rPr>
      </w:pPr>
      <w:r>
        <w:rPr>
          <w:rFonts w:ascii="Times New Roman" w:cs="Times New Roman" w:eastAsia="Times New Roman" w:hAnsi="Times New Roman"/>
          <w:sz w:val="25"/>
          <w:szCs w:val="25"/>
          <w:color w:val="auto"/>
          <w:vertAlign w:val="subscript"/>
        </w:rPr>
        <w:t>Date:</w:t>
      </w:r>
      <w:r>
        <w:rPr>
          <w:sz w:val="20"/>
          <w:szCs w:val="20"/>
          <w:color w:val="auto"/>
        </w:rPr>
        <w:tab/>
      </w:r>
      <w:r>
        <w:rPr>
          <w:rFonts w:ascii="Times New Roman" w:cs="Times New Roman" w:eastAsia="Times New Roman" w:hAnsi="Times New Roman"/>
          <w:sz w:val="14"/>
          <w:szCs w:val="14"/>
          <w:color w:val="auto"/>
        </w:rPr>
        <w:t>March 11, 2024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0695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06959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Dawn Phillipson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ectPr>
          <w:pgSz w:w="11900" w:h="16838" w:orient="portrait"/>
          <w:cols w:equalWidth="0" w:num="1">
            <w:col w:w="11240"/>
          </w:cols>
          <w:pgMar w:left="320" w:top="132" w:right="339" w:bottom="1440" w:gutter="0" w:footer="0" w:header="0"/>
        </w:sectPr>
      </w:pPr>
    </w:p>
    <w:bookmarkStart w:id="39" w:name="page40"/>
    <w:bookmarkEnd w:id="39"/>
    <w:p>
      <w:pPr>
        <w:ind w:left="1036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6" w:lineRule="exact"/>
        <w:rPr>
          <w:sz w:val="20"/>
          <w:szCs w:val="20"/>
          <w:color w:val="auto"/>
        </w:rPr>
      </w:pPr>
    </w:p>
    <w:p>
      <w:pPr>
        <w:jc w:val="center"/>
        <w:spacing w:after="0" w:line="244" w:lineRule="auto"/>
        <w:rPr>
          <w:sz w:val="20"/>
          <w:szCs w:val="20"/>
          <w:color w:val="auto"/>
        </w:rPr>
      </w:pPr>
      <w:r>
        <w:rPr>
          <w:rFonts w:ascii="Times New Roman" w:cs="Times New Roman" w:eastAsia="Times New Roman" w:hAnsi="Times New Roman"/>
          <w:sz w:val="17"/>
          <w:szCs w:val="17"/>
          <w:b w:val="1"/>
          <w:bCs w:val="1"/>
          <w:color w:val="auto"/>
        </w:rPr>
        <w:t>CERTIFICATION PURSUANT TO 18 U.S.C. SECTION 1350, AS ADOPTED PURSUANT TO SECTION 906 OF THE SARBANES-OXLEY ACT OF 2002</w:t>
      </w:r>
    </w:p>
    <w:p>
      <w:pPr>
        <w:spacing w:after="0" w:line="35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In connection with the Quarterly Report of Arhaus, Inc. (the “Company”) on Form 10-Q/A for the quarter ended September 30, 2023 as filed with the Securities and Exchange Commission on the date hereof (the “Report”), I, John Reed, Chief Executive Officer of the Company, hereby certify, pursuant to 18 U.S.C. Section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1350, as adopted pursuant to Section 906 of the Sarbanes-Oxley Act of 2002, to the best of my knowledge, that:</w:t>
      </w:r>
    </w:p>
    <w:p>
      <w:pPr>
        <w:spacing w:after="0" w:line="122"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52" w:lineRule="exact"/>
        <w:rPr>
          <w:rFonts w:ascii="Times New Roman" w:cs="Times New Roman" w:eastAsia="Times New Roman" w:hAnsi="Times New Roman"/>
          <w:sz w:val="17"/>
          <w:szCs w:val="17"/>
          <w:color w:val="auto"/>
        </w:rPr>
      </w:pPr>
    </w:p>
    <w:p>
      <w:pPr>
        <w:ind w:left="620" w:hanging="307"/>
        <w:spacing w:after="0" w:line="239" w:lineRule="auto"/>
        <w:tabs>
          <w:tab w:leader="none" w:pos="61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John Reed</w:t>
      </w:r>
    </w:p>
    <w:p>
      <w:pPr>
        <w:spacing w:after="0" w:line="205" w:lineRule="auto"/>
        <w:rPr>
          <w:sz w:val="20"/>
          <w:szCs w:val="20"/>
          <w:color w:val="auto"/>
        </w:rPr>
      </w:pPr>
      <w:r>
        <w:rPr>
          <w:rFonts w:ascii="Times New Roman" w:cs="Times New Roman" w:eastAsia="Times New Roman" w:hAnsi="Times New Roman"/>
          <w:sz w:val="17"/>
          <w:szCs w:val="17"/>
          <w:color w:val="auto"/>
        </w:rPr>
        <w:t>John Reed</w:t>
      </w:r>
    </w:p>
    <w:p>
      <w:pPr>
        <w:spacing w:after="0" w:line="222" w:lineRule="auto"/>
        <w:rPr>
          <w:sz w:val="20"/>
          <w:szCs w:val="20"/>
          <w:color w:val="auto"/>
        </w:rPr>
      </w:pPr>
      <w:r>
        <w:rPr>
          <w:rFonts w:ascii="Times New Roman" w:cs="Times New Roman" w:eastAsia="Times New Roman" w:hAnsi="Times New Roman"/>
          <w:sz w:val="17"/>
          <w:szCs w:val="17"/>
          <w:color w:val="auto"/>
        </w:rPr>
        <w:t>Chief Executive Officer</w:t>
      </w: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11, 2024</w:t>
      </w:r>
    </w:p>
    <w:p>
      <w:pPr>
        <w:spacing w:after="0" w:line="15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19" w:right="339" w:bottom="1440" w:gutter="0" w:footer="0" w:header="0"/>
        </w:sectPr>
      </w:pPr>
    </w:p>
    <w:bookmarkStart w:id="40" w:name="page41"/>
    <w:bookmarkEnd w:id="40"/>
    <w:p>
      <w:pPr>
        <w:ind w:left="1036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56" w:lineRule="exact"/>
        <w:rPr>
          <w:sz w:val="20"/>
          <w:szCs w:val="20"/>
          <w:color w:val="auto"/>
        </w:rPr>
      </w:pPr>
    </w:p>
    <w:p>
      <w:pPr>
        <w:jc w:val="center"/>
        <w:spacing w:after="0" w:line="244" w:lineRule="auto"/>
        <w:rPr>
          <w:sz w:val="20"/>
          <w:szCs w:val="20"/>
          <w:color w:val="auto"/>
        </w:rPr>
      </w:pPr>
      <w:r>
        <w:rPr>
          <w:rFonts w:ascii="Times New Roman" w:cs="Times New Roman" w:eastAsia="Times New Roman" w:hAnsi="Times New Roman"/>
          <w:sz w:val="17"/>
          <w:szCs w:val="17"/>
          <w:b w:val="1"/>
          <w:bCs w:val="1"/>
          <w:color w:val="auto"/>
        </w:rPr>
        <w:t>CERTIFICATION PURSUANT TO 18 U.S.C. SECTION 1350, AS ADOPTED PURSUANT TO SECTION 906 OF THE SARBANES-OXLEY ACT OF 2002</w:t>
      </w:r>
    </w:p>
    <w:p>
      <w:pPr>
        <w:spacing w:after="0" w:line="35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In connection with the Quarterly Report of Arhaus, Inc. (the “Company”) on Form 10-Q/A for the quarter ended September 30, 2023 as filed with the Securities and Exchange Commission on the date hereof (the “Report”), I, Dawn Phillipson, Chief Financial Officer of the Company, hereby certify, pursuant to 18 U.S.C.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1350, as adopted pursuant to Section 906 of the Sarbanes-Oxley Act of 2002, to the best of my knowledge, that:</w:t>
      </w:r>
    </w:p>
    <w:p>
      <w:pPr>
        <w:spacing w:after="0" w:line="122"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52" w:lineRule="exact"/>
        <w:rPr>
          <w:rFonts w:ascii="Times New Roman" w:cs="Times New Roman" w:eastAsia="Times New Roman" w:hAnsi="Times New Roman"/>
          <w:sz w:val="17"/>
          <w:szCs w:val="17"/>
          <w:color w:val="auto"/>
        </w:rPr>
      </w:pPr>
    </w:p>
    <w:p>
      <w:pPr>
        <w:ind w:left="620" w:hanging="307"/>
        <w:spacing w:after="0" w:line="239" w:lineRule="auto"/>
        <w:tabs>
          <w:tab w:leader="none" w:pos="61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Dawn Phillipson</w:t>
      </w:r>
    </w:p>
    <w:p>
      <w:pPr>
        <w:spacing w:after="0" w:line="205" w:lineRule="auto"/>
        <w:rPr>
          <w:sz w:val="20"/>
          <w:szCs w:val="20"/>
          <w:color w:val="auto"/>
        </w:rPr>
      </w:pPr>
      <w:r>
        <w:rPr>
          <w:rFonts w:ascii="Times New Roman" w:cs="Times New Roman" w:eastAsia="Times New Roman" w:hAnsi="Times New Roman"/>
          <w:sz w:val="17"/>
          <w:szCs w:val="17"/>
          <w:color w:val="auto"/>
        </w:rPr>
        <w:t>Dawn Phillipson</w:t>
      </w:r>
    </w:p>
    <w:p>
      <w:pPr>
        <w:spacing w:after="0" w:line="222" w:lineRule="auto"/>
        <w:rPr>
          <w:sz w:val="20"/>
          <w:szCs w:val="20"/>
          <w:color w:val="auto"/>
        </w:rPr>
      </w:pPr>
      <w:r>
        <w:rPr>
          <w:rFonts w:ascii="Times New Roman" w:cs="Times New Roman" w:eastAsia="Times New Roman" w:hAnsi="Times New Roman"/>
          <w:sz w:val="17"/>
          <w:szCs w:val="17"/>
          <w:color w:val="auto"/>
        </w:rPr>
        <w:t>Chief Financial Officer</w:t>
      </w:r>
    </w:p>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11, 2024</w:t>
      </w:r>
    </w:p>
    <w:p>
      <w:pPr>
        <w:spacing w:after="0" w:line="15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85" Type="http://schemas.openxmlformats.org/officeDocument/2006/relationships/hyperlink" Target="https://www.sec.gov/Archives/edgar/data/1875444/000187544421000004/exhibit31-arcertificateo.htm" TargetMode="External"/><Relationship Id="rId86" Type="http://schemas.openxmlformats.org/officeDocument/2006/relationships/hyperlink" Target="https://www.sec.gov/Archives/edgar/data/1875444/000187544421000004/exhibit32-arbylawsofar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2024-03-11T15:26:52Z</dcterms:created>
  <dcterms:modified xsi:type="dcterms:W3CDTF">2024-03-11T15:26:52Z</dcterms:modified>
</cp:coreProperties>
</file>