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467995</wp:posOffset>
            </wp:positionV>
            <wp:extent cx="71589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488950</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213" w:lineRule="exact"/>
        <w:rPr>
          <w:sz w:val="24"/>
          <w:szCs w:val="24"/>
          <w:color w:val="auto"/>
        </w:rPr>
      </w:pPr>
    </w:p>
    <w:p>
      <w:pPr>
        <w:ind w:left="520" w:hanging="36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5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2025</w:t>
      </w:r>
    </w:p>
    <w:p>
      <w:pPr>
        <w:spacing w:after="0" w:line="1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91" w:lineRule="exact"/>
        <w:rPr>
          <w:sz w:val="24"/>
          <w:szCs w:val="24"/>
          <w:color w:val="auto"/>
        </w:rPr>
      </w:pPr>
    </w:p>
    <w:p>
      <w:pPr>
        <w:ind w:left="100"/>
        <w:spacing w:after="0" w:line="171" w:lineRule="exact"/>
        <w:rPr>
          <w:sz w:val="20"/>
          <w:szCs w:val="20"/>
          <w:color w:val="auto"/>
        </w:rPr>
      </w:pPr>
      <w:r>
        <w:rPr>
          <w:rFonts w:ascii="MS PGothic" w:cs="MS PGothic" w:eastAsia="MS PGothic" w:hAnsi="MS PGothic"/>
          <w:sz w:val="17"/>
          <w:szCs w:val="17"/>
          <w:color w:val="auto"/>
        </w:rPr>
        <w:t>☐</w:t>
      </w:r>
    </w:p>
    <w:p>
      <w:pPr>
        <w:spacing w:after="0" w:line="12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5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For the transition period from to</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61"/>
              <w:spacing w:after="0"/>
              <w:rPr>
                <w:sz w:val="20"/>
                <w:szCs w:val="20"/>
                <w:color w:val="auto"/>
              </w:rPr>
            </w:pPr>
            <w:r>
              <w:rPr>
                <w:rFonts w:ascii="Times New Roman" w:cs="Times New Roman" w:eastAsia="Times New Roman" w:hAnsi="Times New Roman"/>
                <w:sz w:val="15"/>
                <w:szCs w:val="15"/>
                <w:b w:val="1"/>
                <w:bCs w:val="1"/>
                <w:color w:val="auto"/>
                <w:w w:val="96"/>
              </w:rPr>
              <w:t>Commission file number: 001-41009</w:t>
            </w:r>
          </w:p>
        </w:tc>
        <w:tc>
          <w:tcPr>
            <w:tcW w:w="4080" w:type="dxa"/>
            <w:vAlign w:val="bottom"/>
          </w:tcPr>
          <w:p>
            <w:pPr>
              <w:spacing w:after="0"/>
              <w:rPr>
                <w:sz w:val="16"/>
                <w:szCs w:val="16"/>
                <w:color w:val="auto"/>
              </w:rPr>
            </w:pPr>
          </w:p>
        </w:tc>
      </w:tr>
      <w:tr>
        <w:trPr>
          <w:trHeight w:val="443"/>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left="281"/>
              <w:spacing w:after="0"/>
              <w:rPr>
                <w:sz w:val="20"/>
                <w:szCs w:val="20"/>
                <w:color w:val="auto"/>
              </w:rPr>
            </w:pPr>
            <w:r>
              <w:rPr>
                <w:rFonts w:ascii="Times New Roman" w:cs="Times New Roman" w:eastAsia="Times New Roman" w:hAnsi="Times New Roman"/>
                <w:sz w:val="26"/>
                <w:szCs w:val="26"/>
                <w:b w:val="1"/>
                <w:bCs w:val="1"/>
                <w:color w:val="auto"/>
                <w:w w:val="99"/>
              </w:rPr>
              <w:t>Arhaus, Inc.</w:t>
            </w:r>
          </w:p>
        </w:tc>
        <w:tc>
          <w:tcPr>
            <w:tcW w:w="4080" w:type="dxa"/>
            <w:vAlign w:val="bottom"/>
          </w:tcPr>
          <w:p>
            <w:pPr>
              <w:spacing w:after="0"/>
              <w:rPr>
                <w:sz w:val="24"/>
                <w:szCs w:val="24"/>
                <w:color w:val="auto"/>
              </w:rPr>
            </w:pPr>
          </w:p>
        </w:tc>
      </w:tr>
      <w:tr>
        <w:trPr>
          <w:trHeight w:val="229"/>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80" w:type="dxa"/>
            <w:vAlign w:val="bottom"/>
            <w:gridSpan w:val="3"/>
          </w:tcPr>
          <w:p>
            <w:pPr>
              <w:jc w:val="center"/>
              <w:ind w:right="3667"/>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341"/>
        </w:trPr>
        <w:tc>
          <w:tcPr>
            <w:tcW w:w="3720" w:type="dxa"/>
            <w:vAlign w:val="bottom"/>
            <w:gridSpan w:val="2"/>
          </w:tcPr>
          <w:p>
            <w:pPr>
              <w:jc w:val="center"/>
              <w:ind w:left="1867"/>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80" w:type="dxa"/>
            <w:vAlign w:val="bottom"/>
          </w:tcPr>
          <w:p>
            <w:pPr>
              <w:jc w:val="center"/>
              <w:ind w:right="1167"/>
              <w:spacing w:after="0"/>
              <w:rPr>
                <w:sz w:val="20"/>
                <w:szCs w:val="20"/>
                <w:color w:val="auto"/>
              </w:rPr>
            </w:pPr>
            <w:r>
              <w:rPr>
                <w:rFonts w:ascii="Times New Roman" w:cs="Times New Roman" w:eastAsia="Times New Roman" w:hAnsi="Times New Roman"/>
                <w:sz w:val="15"/>
                <w:szCs w:val="15"/>
                <w:b w:val="1"/>
                <w:bCs w:val="1"/>
                <w:color w:val="auto"/>
                <w:w w:val="99"/>
              </w:rPr>
              <w:t>87-1729256</w:t>
            </w:r>
          </w:p>
        </w:tc>
      </w:tr>
      <w:tr>
        <w:trPr>
          <w:trHeight w:val="229"/>
        </w:trPr>
        <w:tc>
          <w:tcPr>
            <w:tcW w:w="3720" w:type="dxa"/>
            <w:vAlign w:val="bottom"/>
            <w:gridSpan w:val="2"/>
          </w:tcPr>
          <w:p>
            <w:pPr>
              <w:jc w:val="center"/>
              <w:ind w:left="1887"/>
              <w:spacing w:after="0"/>
              <w:rPr>
                <w:sz w:val="20"/>
                <w:szCs w:val="20"/>
                <w:color w:val="auto"/>
              </w:rPr>
            </w:pPr>
            <w:r>
              <w:rPr>
                <w:rFonts w:ascii="Times New Roman" w:cs="Times New Roman" w:eastAsia="Times New Roman" w:hAnsi="Times New Roman"/>
                <w:sz w:val="15"/>
                <w:szCs w:val="15"/>
                <w:color w:val="auto"/>
                <w:w w:val="96"/>
              </w:rPr>
              <w:t>(State or other jurisdiction of</w:t>
            </w:r>
          </w:p>
        </w:tc>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80" w:type="dxa"/>
            <w:vAlign w:val="bottom"/>
          </w:tcPr>
          <w:p>
            <w:pPr>
              <w:jc w:val="center"/>
              <w:ind w:right="1167"/>
              <w:spacing w:after="0"/>
              <w:rPr>
                <w:sz w:val="20"/>
                <w:szCs w:val="20"/>
                <w:color w:val="auto"/>
              </w:rPr>
            </w:pPr>
            <w:r>
              <w:rPr>
                <w:rFonts w:ascii="Times New Roman" w:cs="Times New Roman" w:eastAsia="Times New Roman" w:hAnsi="Times New Roman"/>
                <w:sz w:val="15"/>
                <w:szCs w:val="15"/>
                <w:color w:val="auto"/>
                <w:w w:val="97"/>
              </w:rPr>
              <w:t>(I.R.S. Employer</w:t>
            </w:r>
          </w:p>
        </w:tc>
      </w:tr>
      <w:tr>
        <w:trPr>
          <w:trHeight w:val="207"/>
        </w:trPr>
        <w:tc>
          <w:tcPr>
            <w:tcW w:w="3720" w:type="dxa"/>
            <w:vAlign w:val="bottom"/>
            <w:gridSpan w:val="2"/>
          </w:tcPr>
          <w:p>
            <w:pPr>
              <w:jc w:val="center"/>
              <w:ind w:left="1867"/>
              <w:spacing w:after="0"/>
              <w:rPr>
                <w:sz w:val="20"/>
                <w:szCs w:val="20"/>
                <w:color w:val="auto"/>
              </w:rPr>
            </w:pPr>
            <w:r>
              <w:rPr>
                <w:rFonts w:ascii="Times New Roman" w:cs="Times New Roman" w:eastAsia="Times New Roman" w:hAnsi="Times New Roman"/>
                <w:sz w:val="15"/>
                <w:szCs w:val="15"/>
                <w:color w:val="auto"/>
                <w:w w:val="96"/>
              </w:rPr>
              <w:t>incorporation or organization)</w:t>
            </w:r>
          </w:p>
        </w:tc>
        <w:tc>
          <w:tcPr>
            <w:tcW w:w="2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80" w:type="dxa"/>
            <w:vAlign w:val="bottom"/>
          </w:tcPr>
          <w:p>
            <w:pPr>
              <w:jc w:val="center"/>
              <w:ind w:right="1167"/>
              <w:spacing w:after="0"/>
              <w:rPr>
                <w:sz w:val="20"/>
                <w:szCs w:val="20"/>
                <w:color w:val="auto"/>
              </w:rPr>
            </w:pPr>
            <w:r>
              <w:rPr>
                <w:rFonts w:ascii="Times New Roman" w:cs="Times New Roman" w:eastAsia="Times New Roman" w:hAnsi="Times New Roman"/>
                <w:sz w:val="15"/>
                <w:szCs w:val="15"/>
                <w:color w:val="auto"/>
                <w:w w:val="96"/>
              </w:rPr>
              <w:t>Identification No.)</w:t>
            </w:r>
          </w:p>
        </w:tc>
      </w:tr>
      <w:tr>
        <w:trPr>
          <w:trHeight w:val="410"/>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left="281"/>
              <w:spacing w:after="0"/>
              <w:rPr>
                <w:sz w:val="20"/>
                <w:szCs w:val="20"/>
                <w:color w:val="auto"/>
              </w:rPr>
            </w:pPr>
            <w:r>
              <w:rPr>
                <w:rFonts w:ascii="Times New Roman" w:cs="Times New Roman" w:eastAsia="Times New Roman" w:hAnsi="Times New Roman"/>
                <w:sz w:val="15"/>
                <w:szCs w:val="15"/>
                <w:b w:val="1"/>
                <w:bCs w:val="1"/>
                <w:color w:val="auto"/>
                <w:w w:val="96"/>
              </w:rPr>
              <w:t>51 E. Hines Hill Road, Boston Heights, Ohio</w:t>
            </w:r>
          </w:p>
        </w:tc>
        <w:tc>
          <w:tcPr>
            <w:tcW w:w="4080" w:type="dxa"/>
            <w:vAlign w:val="bottom"/>
          </w:tcPr>
          <w:p>
            <w:pPr>
              <w:spacing w:after="0"/>
              <w:rPr>
                <w:sz w:val="24"/>
                <w:szCs w:val="24"/>
                <w:color w:val="auto"/>
              </w:rPr>
            </w:pPr>
          </w:p>
        </w:tc>
      </w:tr>
      <w:tr>
        <w:trPr>
          <w:trHeight w:val="189"/>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61"/>
              <w:spacing w:after="0"/>
              <w:rPr>
                <w:sz w:val="20"/>
                <w:szCs w:val="20"/>
                <w:color w:val="auto"/>
              </w:rPr>
            </w:pPr>
            <w:r>
              <w:rPr>
                <w:rFonts w:ascii="Times New Roman" w:cs="Times New Roman" w:eastAsia="Times New Roman" w:hAnsi="Times New Roman"/>
                <w:sz w:val="15"/>
                <w:szCs w:val="15"/>
                <w:color w:val="auto"/>
                <w:w w:val="96"/>
              </w:rPr>
              <w:t>(Address of Principal Executive Offices)</w:t>
            </w:r>
          </w:p>
        </w:tc>
        <w:tc>
          <w:tcPr>
            <w:tcW w:w="4080" w:type="dxa"/>
            <w:vAlign w:val="bottom"/>
          </w:tcPr>
          <w:p>
            <w:pPr>
              <w:spacing w:after="0"/>
              <w:rPr>
                <w:sz w:val="16"/>
                <w:szCs w:val="16"/>
                <w:color w:val="auto"/>
              </w:rPr>
            </w:pPr>
          </w:p>
        </w:tc>
      </w:tr>
      <w:tr>
        <w:trPr>
          <w:trHeight w:val="196"/>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44236</w:t>
            </w:r>
          </w:p>
        </w:tc>
        <w:tc>
          <w:tcPr>
            <w:tcW w:w="124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07"/>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2"/>
          </w:tcPr>
          <w:p>
            <w:pPr>
              <w:jc w:val="center"/>
              <w:ind w:left="261"/>
              <w:spacing w:after="0"/>
              <w:rPr>
                <w:sz w:val="20"/>
                <w:szCs w:val="20"/>
                <w:color w:val="auto"/>
              </w:rPr>
            </w:pPr>
            <w:r>
              <w:rPr>
                <w:rFonts w:ascii="Times New Roman" w:cs="Times New Roman" w:eastAsia="Times New Roman" w:hAnsi="Times New Roman"/>
                <w:sz w:val="15"/>
                <w:szCs w:val="15"/>
                <w:color w:val="auto"/>
                <w:w w:val="96"/>
              </w:rPr>
              <w:t>(Zip Code)</w:t>
            </w:r>
          </w:p>
        </w:tc>
        <w:tc>
          <w:tcPr>
            <w:tcW w:w="4080" w:type="dxa"/>
            <w:vAlign w:val="bottom"/>
          </w:tcPr>
          <w:p>
            <w:pPr>
              <w:spacing w:after="0"/>
              <w:rPr>
                <w:sz w:val="17"/>
                <w:szCs w:val="17"/>
                <w:color w:val="auto"/>
              </w:rPr>
            </w:pPr>
          </w:p>
        </w:tc>
      </w:tr>
      <w:tr>
        <w:trPr>
          <w:trHeight w:val="301"/>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right"/>
              <w:ind w:right="1120"/>
              <w:spacing w:after="0"/>
              <w:rPr>
                <w:sz w:val="20"/>
                <w:szCs w:val="20"/>
                <w:color w:val="auto"/>
              </w:rPr>
            </w:pPr>
            <w:r>
              <w:rPr>
                <w:rFonts w:ascii="Times New Roman" w:cs="Times New Roman" w:eastAsia="Times New Roman" w:hAnsi="Times New Roman"/>
                <w:sz w:val="15"/>
                <w:szCs w:val="15"/>
                <w:b w:val="1"/>
                <w:bCs w:val="1"/>
                <w:color w:val="auto"/>
              </w:rPr>
              <w:t>(440) 439-7700</w:t>
            </w:r>
          </w:p>
        </w:tc>
        <w:tc>
          <w:tcPr>
            <w:tcW w:w="4080" w:type="dxa"/>
            <w:vAlign w:val="bottom"/>
          </w:tcPr>
          <w:p>
            <w:pPr>
              <w:spacing w:after="0"/>
              <w:rPr>
                <w:sz w:val="24"/>
                <w:szCs w:val="24"/>
                <w:color w:val="auto"/>
              </w:rPr>
            </w:pPr>
          </w:p>
        </w:tc>
      </w:tr>
      <w:tr>
        <w:trPr>
          <w:trHeight w:val="189"/>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2"/>
          </w:tcPr>
          <w:p>
            <w:pPr>
              <w:jc w:val="center"/>
              <w:ind w:left="281"/>
              <w:spacing w:after="0"/>
              <w:rPr>
                <w:sz w:val="20"/>
                <w:szCs w:val="20"/>
                <w:color w:val="auto"/>
              </w:rPr>
            </w:pPr>
            <w:r>
              <w:rPr>
                <w:rFonts w:ascii="Times New Roman" w:cs="Times New Roman" w:eastAsia="Times New Roman" w:hAnsi="Times New Roman"/>
                <w:sz w:val="15"/>
                <w:szCs w:val="15"/>
                <w:color w:val="auto"/>
                <w:w w:val="96"/>
              </w:rPr>
              <w:t>(Registrant's telephone number, including area code)</w:t>
            </w:r>
          </w:p>
        </w:tc>
        <w:tc>
          <w:tcPr>
            <w:tcW w:w="4080" w:type="dxa"/>
            <w:vAlign w:val="bottom"/>
          </w:tcPr>
          <w:p>
            <w:pPr>
              <w:spacing w:after="0"/>
              <w:rPr>
                <w:sz w:val="16"/>
                <w:szCs w:val="16"/>
                <w:color w:val="auto"/>
              </w:rPr>
            </w:pPr>
          </w:p>
        </w:tc>
      </w:tr>
      <w:tr>
        <w:trPr>
          <w:trHeight w:val="327"/>
        </w:trPr>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63"/>
        </w:trPr>
        <w:tc>
          <w:tcPr>
            <w:tcW w:w="3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r>
      <w:tr>
        <w:trPr>
          <w:trHeight w:val="176"/>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Title of each class</w:t>
            </w: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6"/>
              </w:rPr>
              <w:t>Trading Symbol(s)</w:t>
            </w:r>
          </w:p>
        </w:tc>
        <w:tc>
          <w:tcPr>
            <w:tcW w:w="1240" w:type="dxa"/>
            <w:vAlign w:val="bottom"/>
            <w:tcBorders>
              <w:bottom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jc w:val="center"/>
              <w:ind w:right="1187"/>
              <w:spacing w:after="0"/>
              <w:rPr>
                <w:sz w:val="20"/>
                <w:szCs w:val="20"/>
                <w:color w:val="auto"/>
              </w:rPr>
            </w:pPr>
            <w:r>
              <w:rPr>
                <w:rFonts w:ascii="Times New Roman" w:cs="Times New Roman" w:eastAsia="Times New Roman" w:hAnsi="Times New Roman"/>
                <w:sz w:val="15"/>
                <w:szCs w:val="15"/>
                <w:b w:val="1"/>
                <w:bCs w:val="1"/>
                <w:color w:val="auto"/>
                <w:w w:val="96"/>
              </w:rPr>
              <w:t>Name of each exchange on which registered</w:t>
            </w:r>
          </w:p>
        </w:tc>
      </w:tr>
      <w:tr>
        <w:trPr>
          <w:trHeight w:val="176"/>
        </w:trPr>
        <w:tc>
          <w:tcPr>
            <w:tcW w:w="3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Class A common stock, $0.001 par value per share</w:t>
            </w:r>
          </w:p>
        </w:tc>
        <w:tc>
          <w:tcPr>
            <w:tcW w:w="12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Times New Roman" w:cs="Times New Roman" w:eastAsia="Times New Roman" w:hAnsi="Times New Roman"/>
                <w:sz w:val="15"/>
                <w:szCs w:val="15"/>
                <w:color w:val="auto"/>
                <w:w w:val="94"/>
              </w:rPr>
              <w:t>ARHS</w:t>
            </w:r>
          </w:p>
        </w:tc>
        <w:tc>
          <w:tcPr>
            <w:tcW w:w="1240" w:type="dxa"/>
            <w:vAlign w:val="bottom"/>
            <w:tcBorders>
              <w:bottom w:val="single" w:sz="8" w:color="auto"/>
            </w:tcBorders>
            <w:shd w:val="clear" w:color="auto" w:fill="CCEEFF"/>
          </w:tcPr>
          <w:p>
            <w:pPr>
              <w:spacing w:after="0"/>
              <w:rPr>
                <w:sz w:val="15"/>
                <w:szCs w:val="15"/>
                <w:color w:val="auto"/>
              </w:rPr>
            </w:pPr>
          </w:p>
        </w:tc>
        <w:tc>
          <w:tcPr>
            <w:tcW w:w="4080" w:type="dxa"/>
            <w:vAlign w:val="bottom"/>
            <w:tcBorders>
              <w:bottom w:val="single" w:sz="8" w:color="auto"/>
              <w:right w:val="single" w:sz="8" w:color="auto"/>
            </w:tcBorders>
            <w:shd w:val="clear" w:color="auto" w:fill="CCEEFF"/>
          </w:tcPr>
          <w:p>
            <w:pPr>
              <w:jc w:val="center"/>
              <w:ind w:right="1187"/>
              <w:spacing w:after="0"/>
              <w:rPr>
                <w:sz w:val="20"/>
                <w:szCs w:val="20"/>
                <w:color w:val="auto"/>
              </w:rPr>
            </w:pPr>
            <w:r>
              <w:rPr>
                <w:rFonts w:ascii="Times New Roman" w:cs="Times New Roman" w:eastAsia="Times New Roman" w:hAnsi="Times New Roman"/>
                <w:sz w:val="15"/>
                <w:szCs w:val="15"/>
                <w:color w:val="auto"/>
                <w:w w:val="96"/>
              </w:rPr>
              <w:t>The Nasdaq Global Select Market</w:t>
            </w:r>
          </w:p>
        </w:tc>
      </w:tr>
    </w:tbl>
    <w:p>
      <w:pPr>
        <w:spacing w:after="0" w:line="203" w:lineRule="exact"/>
        <w:rPr>
          <w:sz w:val="24"/>
          <w:szCs w:val="24"/>
          <w:color w:val="auto"/>
        </w:rPr>
      </w:pPr>
    </w:p>
    <w:p>
      <w:pPr>
        <w:ind w:right="140"/>
        <w:spacing w:after="0" w:line="21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03" w:lineRule="exact"/>
        <w:rPr>
          <w:sz w:val="24"/>
          <w:szCs w:val="24"/>
          <w:color w:val="auto"/>
        </w:rPr>
      </w:pPr>
    </w:p>
    <w:p>
      <w:pPr>
        <w:ind w:right="40"/>
        <w:spacing w:after="0" w:line="21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92" w:lineRule="exact"/>
        <w:rPr>
          <w:sz w:val="24"/>
          <w:szCs w:val="24"/>
          <w:color w:val="auto"/>
        </w:rPr>
      </w:pPr>
    </w:p>
    <w:p>
      <w:pPr>
        <w:ind w:right="400"/>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040" w:type="dxa"/>
            <w:vAlign w:val="bottom"/>
            <w:vMerge w:val="restart"/>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Accelerated filer</w:t>
            </w:r>
          </w:p>
        </w:tc>
        <w:tc>
          <w:tcPr>
            <w:tcW w:w="1240" w:type="dxa"/>
            <w:vAlign w:val="bottom"/>
            <w:vMerge w:val="restart"/>
          </w:tcPr>
          <w:p>
            <w:pPr>
              <w:ind w:left="10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040" w:type="dxa"/>
            <w:vAlign w:val="bottom"/>
            <w:vMerge w:val="restart"/>
          </w:tcPr>
          <w:p>
            <w:pPr>
              <w:ind w:left="880"/>
              <w:spacing w:after="0" w:line="171" w:lineRule="exact"/>
              <w:rPr>
                <w:sz w:val="20"/>
                <w:szCs w:val="20"/>
                <w:color w:val="auto"/>
              </w:rPr>
            </w:pPr>
            <w:r>
              <w:rPr>
                <w:rFonts w:ascii="MS PGothic" w:cs="MS PGothic" w:eastAsia="MS PGothic" w:hAnsi="MS PGothic"/>
                <w:sz w:val="17"/>
                <w:szCs w:val="17"/>
                <w:color w:val="auto"/>
              </w:rPr>
              <w:t>☐</w:t>
            </w:r>
          </w:p>
        </w:tc>
        <w:tc>
          <w:tcPr>
            <w:tcW w:w="46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240" w:type="dxa"/>
            <w:vAlign w:val="bottom"/>
            <w:vMerge w:val="restart"/>
          </w:tcPr>
          <w:p>
            <w:pPr>
              <w:ind w:left="10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240" w:type="dxa"/>
            <w:vAlign w:val="bottom"/>
            <w:vMerge w:val="restart"/>
          </w:tcPr>
          <w:p>
            <w:pPr>
              <w:ind w:left="10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ind w:right="540"/>
        <w:spacing w:after="0" w:line="21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April 30, 2025 the registrant had 53,818,122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661670</wp:posOffset>
            </wp:positionV>
            <wp:extent cx="718439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4390" cy="393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1589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1589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285"/>
        </w:trPr>
        <w:tc>
          <w:tcPr>
            <w:tcW w:w="20" w:type="dxa"/>
            <w:vAlign w:val="bottom"/>
            <w:shd w:val="clear" w:color="auto" w:fill="CCEEFF"/>
          </w:tcPr>
          <w:p>
            <w:pPr>
              <w:spacing w:after="0"/>
              <w:rPr>
                <w:sz w:val="24"/>
                <w:szCs w:val="24"/>
                <w:color w:val="auto"/>
              </w:rPr>
            </w:pPr>
          </w:p>
        </w:tc>
        <w:tc>
          <w:tcPr>
            <w:tcW w:w="104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0000FF"/>
              </w:rPr>
              <w:t>Part I - Financial Information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1.</w:t>
            </w:r>
          </w:p>
        </w:tc>
        <w:tc>
          <w:tcPr>
            <w:tcW w:w="580" w:type="dxa"/>
            <w:vAlign w:val="bottom"/>
            <w:gridSpan w:val="3"/>
          </w:tcPr>
          <w:p>
            <w:pPr>
              <w:spacing w:after="0"/>
              <w:rPr>
                <w:sz w:val="13"/>
                <w:szCs w:val="13"/>
                <w:color w:val="auto"/>
              </w:rPr>
            </w:pPr>
          </w:p>
        </w:tc>
        <w:tc>
          <w:tcPr>
            <w:tcW w:w="3120" w:type="dxa"/>
            <w:vAlign w:val="bottom"/>
            <w:tcBorders>
              <w:bottom w:val="single" w:sz="8" w:color="0000FF"/>
            </w:tcBorders>
            <w:gridSpan w:val="10"/>
          </w:tcPr>
          <w:p>
            <w:pPr>
              <w:spacing w:after="0" w:line="153" w:lineRule="exact"/>
              <w:rPr>
                <w:sz w:val="20"/>
                <w:szCs w:val="20"/>
                <w:color w:val="auto"/>
              </w:rPr>
            </w:pPr>
            <w:r>
              <w:rPr>
                <w:rFonts w:ascii="Times New Roman" w:cs="Times New Roman" w:eastAsia="Times New Roman" w:hAnsi="Times New Roman"/>
                <w:sz w:val="15"/>
                <w:szCs w:val="15"/>
                <w:color w:val="0000FF"/>
                <w:w w:val="96"/>
              </w:rPr>
              <w:t>Financial Statements of Arhaus, Inc. and Subsidiaries</w:t>
            </w:r>
          </w:p>
        </w:tc>
        <w:tc>
          <w:tcPr>
            <w:tcW w:w="6340" w:type="dxa"/>
            <w:vAlign w:val="bottom"/>
            <w:gridSpan w:val="7"/>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2</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6"/>
              </w:rPr>
              <w:t>Condensed Consolidated Balance Sheets (unaudited)</w:t>
            </w:r>
          </w:p>
        </w:tc>
        <w:tc>
          <w:tcPr>
            <w:tcW w:w="6380" w:type="dxa"/>
            <w:vAlign w:val="bottom"/>
            <w:tcBorders>
              <w:bottom w:val="single" w:sz="8" w:color="CCEEFF"/>
            </w:tcBorders>
            <w:gridSpan w:val="8"/>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w:t>
            </w:r>
          </w:p>
        </w:tc>
      </w:tr>
      <w:tr>
        <w:trPr>
          <w:trHeight w:val="152"/>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60" w:type="dxa"/>
            <w:vAlign w:val="bottom"/>
            <w:gridSpan w:val="17"/>
          </w:tcPr>
          <w:p>
            <w:pPr>
              <w:spacing w:after="0" w:line="153" w:lineRule="exact"/>
              <w:rPr>
                <w:sz w:val="20"/>
                <w:szCs w:val="20"/>
                <w:color w:val="auto"/>
              </w:rPr>
            </w:pPr>
            <w:r>
              <w:rPr>
                <w:rFonts w:ascii="Times New Roman" w:cs="Times New Roman" w:eastAsia="Times New Roman" w:hAnsi="Times New Roman"/>
                <w:sz w:val="15"/>
                <w:szCs w:val="15"/>
                <w:color w:val="0000FF"/>
              </w:rPr>
              <w:t>Condensed Consolidated Statements of Comprehensive Income (unaudited)</w:t>
            </w: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3</w:t>
            </w: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4940" w:type="dxa"/>
            <w:vAlign w:val="bottom"/>
            <w:tcBorders>
              <w:bottom w:val="single" w:sz="8" w:color="0000FF"/>
            </w:tcBorders>
            <w:gridSpan w:val="15"/>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6"/>
              </w:rPr>
              <w:t>Condensed Consolidated Statements of Changes in Stockholders’ Equity (unaudited)</w:t>
            </w:r>
          </w:p>
        </w:tc>
        <w:tc>
          <w:tcPr>
            <w:tcW w:w="452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w:t>
            </w:r>
          </w:p>
        </w:tc>
      </w:tr>
      <w:tr>
        <w:trPr>
          <w:trHeight w:val="152"/>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60" w:type="dxa"/>
            <w:vAlign w:val="bottom"/>
            <w:gridSpan w:val="17"/>
          </w:tcPr>
          <w:p>
            <w:pPr>
              <w:spacing w:after="0" w:line="153" w:lineRule="exact"/>
              <w:rPr>
                <w:sz w:val="20"/>
                <w:szCs w:val="20"/>
                <w:color w:val="auto"/>
              </w:rPr>
            </w:pPr>
            <w:r>
              <w:rPr>
                <w:rFonts w:ascii="Times New Roman" w:cs="Times New Roman" w:eastAsia="Times New Roman" w:hAnsi="Times New Roman"/>
                <w:sz w:val="15"/>
                <w:szCs w:val="15"/>
                <w:color w:val="0000FF"/>
              </w:rPr>
              <w:t>Condensed Consolidated Statements of Cash Flows (unaudited)</w:t>
            </w: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5</w:t>
            </w: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FF"/>
            </w:tcBorders>
            <w:gridSpan w:val="13"/>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6"/>
              </w:rPr>
              <w:t>Notes to Condensed Consolidated Financial Statements (unaudited)</w:t>
            </w:r>
          </w:p>
        </w:tc>
        <w:tc>
          <w:tcPr>
            <w:tcW w:w="552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6</w:t>
            </w: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2.</w:t>
            </w:r>
          </w:p>
        </w:tc>
        <w:tc>
          <w:tcPr>
            <w:tcW w:w="580" w:type="dxa"/>
            <w:vAlign w:val="bottom"/>
            <w:gridSpan w:val="3"/>
          </w:tcPr>
          <w:p>
            <w:pPr>
              <w:spacing w:after="0"/>
              <w:rPr>
                <w:sz w:val="13"/>
                <w:szCs w:val="13"/>
                <w:color w:val="auto"/>
              </w:rPr>
            </w:pPr>
          </w:p>
        </w:tc>
        <w:tc>
          <w:tcPr>
            <w:tcW w:w="5220" w:type="dxa"/>
            <w:vAlign w:val="bottom"/>
            <w:tcBorders>
              <w:bottom w:val="single" w:sz="8" w:color="0000FF"/>
            </w:tcBorders>
            <w:gridSpan w:val="16"/>
          </w:tcPr>
          <w:p>
            <w:pPr>
              <w:spacing w:after="0" w:line="153" w:lineRule="exact"/>
              <w:rPr>
                <w:sz w:val="20"/>
                <w:szCs w:val="20"/>
                <w:color w:val="auto"/>
              </w:rPr>
            </w:pPr>
            <w:r>
              <w:rPr>
                <w:rFonts w:ascii="Times New Roman" w:cs="Times New Roman" w:eastAsia="Times New Roman" w:hAnsi="Times New Roman"/>
                <w:sz w:val="15"/>
                <w:szCs w:val="15"/>
                <w:color w:val="0000FF"/>
                <w:w w:val="96"/>
              </w:rPr>
              <w:t>Management’s Discussion and Analysis of Financial Condition and Results of Operations</w:t>
            </w:r>
          </w:p>
        </w:tc>
        <w:tc>
          <w:tcPr>
            <w:tcW w:w="42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17</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4"/>
              </w:rPr>
              <w:t>Item 3.</w:t>
            </w:r>
          </w:p>
        </w:tc>
        <w:tc>
          <w:tcPr>
            <w:tcW w:w="580" w:type="dxa"/>
            <w:vAlign w:val="bottom"/>
            <w:tcBorders>
              <w:bottom w:val="single" w:sz="8" w:color="CCEEFF"/>
            </w:tcBorders>
            <w:gridSpan w:val="3"/>
            <w:shd w:val="clear" w:color="auto" w:fill="CCEEFF"/>
          </w:tcPr>
          <w:p>
            <w:pPr>
              <w:spacing w:after="0"/>
              <w:rPr>
                <w:sz w:val="14"/>
                <w:szCs w:val="14"/>
                <w:color w:val="auto"/>
              </w:rPr>
            </w:pPr>
          </w:p>
        </w:tc>
        <w:tc>
          <w:tcPr>
            <w:tcW w:w="3520" w:type="dxa"/>
            <w:vAlign w:val="bottom"/>
            <w:tcBorders>
              <w:bottom w:val="single" w:sz="8" w:color="0000FF"/>
            </w:tcBorders>
            <w:gridSpan w:val="11"/>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6"/>
              </w:rPr>
              <w:t>Quantitative and Qualitative Disclosures About Market Risk</w:t>
            </w:r>
          </w:p>
        </w:tc>
        <w:tc>
          <w:tcPr>
            <w:tcW w:w="5940" w:type="dxa"/>
            <w:vAlign w:val="bottom"/>
            <w:tcBorders>
              <w:bottom w:val="single" w:sz="8" w:color="CCEEFF"/>
            </w:tcBorders>
            <w:gridSpan w:val="6"/>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25</w:t>
            </w: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4.</w:t>
            </w:r>
          </w:p>
        </w:tc>
        <w:tc>
          <w:tcPr>
            <w:tcW w:w="580" w:type="dxa"/>
            <w:vAlign w:val="bottom"/>
            <w:gridSpan w:val="3"/>
          </w:tcPr>
          <w:p>
            <w:pPr>
              <w:spacing w:after="0"/>
              <w:rPr>
                <w:sz w:val="13"/>
                <w:szCs w:val="13"/>
                <w:color w:val="auto"/>
              </w:rPr>
            </w:pPr>
          </w:p>
        </w:tc>
        <w:tc>
          <w:tcPr>
            <w:tcW w:w="1440" w:type="dxa"/>
            <w:vAlign w:val="bottom"/>
            <w:tcBorders>
              <w:bottom w:val="single" w:sz="8" w:color="0000FF"/>
            </w:tcBorders>
            <w:gridSpan w:val="7"/>
          </w:tcPr>
          <w:p>
            <w:pPr>
              <w:spacing w:after="0" w:line="153" w:lineRule="exact"/>
              <w:rPr>
                <w:sz w:val="20"/>
                <w:szCs w:val="20"/>
                <w:color w:val="auto"/>
              </w:rPr>
            </w:pPr>
            <w:r>
              <w:rPr>
                <w:rFonts w:ascii="Times New Roman" w:cs="Times New Roman" w:eastAsia="Times New Roman" w:hAnsi="Times New Roman"/>
                <w:sz w:val="15"/>
                <w:szCs w:val="15"/>
                <w:color w:val="0000FF"/>
                <w:w w:val="96"/>
              </w:rPr>
              <w:t>Controls and Procedures</w:t>
            </w:r>
          </w:p>
        </w:tc>
        <w:tc>
          <w:tcPr>
            <w:tcW w:w="8020" w:type="dxa"/>
            <w:vAlign w:val="bottom"/>
            <w:gridSpan w:val="10"/>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25</w:t>
            </w:r>
          </w:p>
        </w:tc>
      </w:tr>
      <w:tr>
        <w:trPr>
          <w:trHeight w:val="159"/>
        </w:trPr>
        <w:tc>
          <w:tcPr>
            <w:tcW w:w="20" w:type="dxa"/>
            <w:vAlign w:val="bottom"/>
            <w:shd w:val="clear" w:color="auto" w:fill="CCEEFF"/>
          </w:tcPr>
          <w:p>
            <w:pPr>
              <w:spacing w:after="0"/>
              <w:rPr>
                <w:sz w:val="13"/>
                <w:szCs w:val="13"/>
                <w:color w:val="auto"/>
              </w:rPr>
            </w:pPr>
          </w:p>
        </w:tc>
        <w:tc>
          <w:tcPr>
            <w:tcW w:w="1046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0000FF"/>
              </w:rPr>
              <w:t>Part II. Other Information</w:t>
            </w: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29</w:t>
            </w: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1.</w:t>
            </w:r>
          </w:p>
        </w:tc>
        <w:tc>
          <w:tcPr>
            <w:tcW w:w="580" w:type="dxa"/>
            <w:vAlign w:val="bottom"/>
            <w:gridSpan w:val="3"/>
          </w:tcPr>
          <w:p>
            <w:pPr>
              <w:spacing w:after="0"/>
              <w:rPr>
                <w:sz w:val="13"/>
                <w:szCs w:val="13"/>
                <w:color w:val="auto"/>
              </w:rPr>
            </w:pPr>
          </w:p>
        </w:tc>
        <w:tc>
          <w:tcPr>
            <w:tcW w:w="1080" w:type="dxa"/>
            <w:vAlign w:val="bottom"/>
            <w:tcBorders>
              <w:bottom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5"/>
                <w:szCs w:val="15"/>
                <w:color w:val="0000FF"/>
                <w:w w:val="95"/>
              </w:rPr>
              <w:t>Legal Proceedings</w:t>
            </w:r>
          </w:p>
        </w:tc>
        <w:tc>
          <w:tcPr>
            <w:tcW w:w="8380" w:type="dxa"/>
            <w:vAlign w:val="bottom"/>
            <w:gridSpan w:val="11"/>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29</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0000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3"/>
              </w:rPr>
              <w:t>Item 1A.</w:t>
            </w:r>
          </w:p>
        </w:tc>
        <w:tc>
          <w:tcPr>
            <w:tcW w:w="48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5"/>
              </w:rPr>
              <w:t>Risk Factors</w:t>
            </w:r>
          </w:p>
        </w:tc>
        <w:tc>
          <w:tcPr>
            <w:tcW w:w="8720" w:type="dxa"/>
            <w:vAlign w:val="bottom"/>
            <w:tcBorders>
              <w:bottom w:val="single" w:sz="8" w:color="CCEEFF"/>
            </w:tcBorders>
            <w:gridSpan w:val="1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29</w:t>
            </w: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2.</w:t>
            </w:r>
          </w:p>
        </w:tc>
        <w:tc>
          <w:tcPr>
            <w:tcW w:w="580" w:type="dxa"/>
            <w:vAlign w:val="bottom"/>
            <w:gridSpan w:val="3"/>
          </w:tcPr>
          <w:p>
            <w:pPr>
              <w:spacing w:after="0"/>
              <w:rPr>
                <w:sz w:val="13"/>
                <w:szCs w:val="13"/>
                <w:color w:val="auto"/>
              </w:rPr>
            </w:pPr>
          </w:p>
        </w:tc>
        <w:tc>
          <w:tcPr>
            <w:tcW w:w="3520" w:type="dxa"/>
            <w:vAlign w:val="bottom"/>
            <w:tcBorders>
              <w:bottom w:val="single" w:sz="8" w:color="0000FF"/>
            </w:tcBorders>
            <w:gridSpan w:val="11"/>
          </w:tcPr>
          <w:p>
            <w:pPr>
              <w:spacing w:after="0" w:line="153" w:lineRule="exact"/>
              <w:rPr>
                <w:sz w:val="20"/>
                <w:szCs w:val="20"/>
                <w:color w:val="auto"/>
              </w:rPr>
            </w:pPr>
            <w:r>
              <w:rPr>
                <w:rFonts w:ascii="Times New Roman" w:cs="Times New Roman" w:eastAsia="Times New Roman" w:hAnsi="Times New Roman"/>
                <w:sz w:val="15"/>
                <w:szCs w:val="15"/>
                <w:color w:val="0000FF"/>
                <w:w w:val="96"/>
              </w:rPr>
              <w:t>Unregistered Sales of Equity Securities and Use of Proceeds</w:t>
            </w:r>
          </w:p>
        </w:tc>
        <w:tc>
          <w:tcPr>
            <w:tcW w:w="5940" w:type="dxa"/>
            <w:vAlign w:val="bottom"/>
            <w:gridSpan w:val="6"/>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29</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4"/>
              </w:rPr>
              <w:t>Item 3.</w:t>
            </w:r>
          </w:p>
        </w:tc>
        <w:tc>
          <w:tcPr>
            <w:tcW w:w="580" w:type="dxa"/>
            <w:vAlign w:val="bottom"/>
            <w:tcBorders>
              <w:bottom w:val="single" w:sz="8" w:color="CCEEFF"/>
            </w:tcBorders>
            <w:gridSpan w:val="3"/>
            <w:shd w:val="clear" w:color="auto" w:fill="CCEEFF"/>
          </w:tcPr>
          <w:p>
            <w:pPr>
              <w:spacing w:after="0"/>
              <w:rPr>
                <w:sz w:val="14"/>
                <w:szCs w:val="14"/>
                <w:color w:val="auto"/>
              </w:rPr>
            </w:pPr>
          </w:p>
        </w:tc>
        <w:tc>
          <w:tcPr>
            <w:tcW w:w="188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5"/>
              </w:rPr>
              <w:t>Defaults Upon Senior Securities</w:t>
            </w:r>
          </w:p>
        </w:tc>
        <w:tc>
          <w:tcPr>
            <w:tcW w:w="7580" w:type="dxa"/>
            <w:vAlign w:val="bottom"/>
            <w:tcBorders>
              <w:bottom w:val="single" w:sz="8" w:color="CCEEFF"/>
            </w:tcBorders>
            <w:gridSpan w:val="9"/>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30</w:t>
            </w:r>
          </w:p>
        </w:tc>
      </w:tr>
      <w:tr>
        <w:trPr>
          <w:trHeight w:val="159"/>
        </w:trPr>
        <w:tc>
          <w:tcPr>
            <w:tcW w:w="20" w:type="dxa"/>
            <w:vAlign w:val="bottom"/>
          </w:tcPr>
          <w:p>
            <w:pPr>
              <w:spacing w:after="0"/>
              <w:rPr>
                <w:sz w:val="13"/>
                <w:szCs w:val="13"/>
                <w:color w:val="auto"/>
              </w:rPr>
            </w:pPr>
          </w:p>
        </w:tc>
        <w:tc>
          <w:tcPr>
            <w:tcW w:w="4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4.</w:t>
            </w:r>
          </w:p>
        </w:tc>
        <w:tc>
          <w:tcPr>
            <w:tcW w:w="580" w:type="dxa"/>
            <w:vAlign w:val="bottom"/>
            <w:gridSpan w:val="3"/>
          </w:tcPr>
          <w:p>
            <w:pPr>
              <w:spacing w:after="0"/>
              <w:rPr>
                <w:sz w:val="13"/>
                <w:szCs w:val="13"/>
                <w:color w:val="auto"/>
              </w:rPr>
            </w:pPr>
          </w:p>
        </w:tc>
        <w:tc>
          <w:tcPr>
            <w:tcW w:w="1440" w:type="dxa"/>
            <w:vAlign w:val="bottom"/>
            <w:tcBorders>
              <w:bottom w:val="single" w:sz="8" w:color="0000FF"/>
            </w:tcBorders>
            <w:gridSpan w:val="7"/>
          </w:tcPr>
          <w:p>
            <w:pPr>
              <w:spacing w:after="0" w:line="153" w:lineRule="exact"/>
              <w:rPr>
                <w:sz w:val="20"/>
                <w:szCs w:val="20"/>
                <w:color w:val="auto"/>
              </w:rPr>
            </w:pPr>
            <w:r>
              <w:rPr>
                <w:rFonts w:ascii="Times New Roman" w:cs="Times New Roman" w:eastAsia="Times New Roman" w:hAnsi="Times New Roman"/>
                <w:sz w:val="15"/>
                <w:szCs w:val="15"/>
                <w:color w:val="0000FF"/>
                <w:w w:val="96"/>
              </w:rPr>
              <w:t>Mine Safety Disclosures</w:t>
            </w:r>
          </w:p>
        </w:tc>
        <w:tc>
          <w:tcPr>
            <w:tcW w:w="8020" w:type="dxa"/>
            <w:vAlign w:val="bottom"/>
            <w:gridSpan w:val="10"/>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30</w:t>
            </w:r>
          </w:p>
        </w:tc>
      </w:tr>
      <w:tr>
        <w:trPr>
          <w:trHeight w:val="172"/>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w w:val="94"/>
              </w:rPr>
              <w:t>Item 5.</w:t>
            </w:r>
          </w:p>
        </w:tc>
        <w:tc>
          <w:tcPr>
            <w:tcW w:w="580" w:type="dxa"/>
            <w:vAlign w:val="bottom"/>
            <w:gridSpan w:val="3"/>
            <w:shd w:val="clear" w:color="auto" w:fill="CCEEFF"/>
          </w:tcPr>
          <w:p>
            <w:pPr>
              <w:spacing w:after="0"/>
              <w:rPr>
                <w:sz w:val="14"/>
                <w:szCs w:val="14"/>
                <w:color w:val="auto"/>
              </w:rPr>
            </w:pPr>
          </w:p>
        </w:tc>
        <w:tc>
          <w:tcPr>
            <w:tcW w:w="9460" w:type="dxa"/>
            <w:vAlign w:val="bottom"/>
            <w:gridSpan w:val="17"/>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0000FF"/>
              </w:rPr>
              <w:t>Other Information</w:t>
            </w: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30</w:t>
            </w:r>
          </w:p>
        </w:tc>
      </w:tr>
      <w:tr>
        <w:trPr>
          <w:trHeight w:val="152"/>
        </w:trPr>
        <w:tc>
          <w:tcPr>
            <w:tcW w:w="20" w:type="dxa"/>
            <w:vAlign w:val="bottom"/>
            <w:tcBorders>
              <w:top w:val="single" w:sz="8" w:color="CCEEFF"/>
            </w:tcBorders>
          </w:tcPr>
          <w:p>
            <w:pPr>
              <w:spacing w:after="0"/>
              <w:rPr>
                <w:sz w:val="13"/>
                <w:szCs w:val="13"/>
                <w:color w:val="auto"/>
              </w:rPr>
            </w:pPr>
          </w:p>
        </w:tc>
        <w:tc>
          <w:tcPr>
            <w:tcW w:w="420" w:type="dxa"/>
            <w:vAlign w:val="bottom"/>
            <w:tcBorders>
              <w:top w:val="single" w:sz="8" w:color="0000FF"/>
            </w:tcBorders>
          </w:tcPr>
          <w:p>
            <w:pPr>
              <w:spacing w:after="0" w:line="153" w:lineRule="exact"/>
              <w:rPr>
                <w:sz w:val="20"/>
                <w:szCs w:val="20"/>
                <w:color w:val="auto"/>
              </w:rPr>
            </w:pPr>
            <w:r>
              <w:rPr>
                <w:rFonts w:ascii="Times New Roman" w:cs="Times New Roman" w:eastAsia="Times New Roman" w:hAnsi="Times New Roman"/>
                <w:sz w:val="15"/>
                <w:szCs w:val="15"/>
                <w:color w:val="0000FF"/>
                <w:w w:val="94"/>
              </w:rPr>
              <w:t>Item 6.</w:t>
            </w:r>
          </w:p>
        </w:tc>
        <w:tc>
          <w:tcPr>
            <w:tcW w:w="580" w:type="dxa"/>
            <w:vAlign w:val="bottom"/>
            <w:tcBorders>
              <w:top w:val="single" w:sz="8" w:color="CCEEFF"/>
            </w:tcBorders>
            <w:gridSpan w:val="3"/>
          </w:tcPr>
          <w:p>
            <w:pPr>
              <w:spacing w:after="0"/>
              <w:rPr>
                <w:sz w:val="13"/>
                <w:szCs w:val="13"/>
                <w:color w:val="auto"/>
              </w:rPr>
            </w:pPr>
          </w:p>
        </w:tc>
        <w:tc>
          <w:tcPr>
            <w:tcW w:w="1060" w:type="dxa"/>
            <w:vAlign w:val="bottom"/>
            <w:tcBorders>
              <w:top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5"/>
                <w:szCs w:val="15"/>
                <w:color w:val="0000FF"/>
              </w:rPr>
              <w:t>Exhibits</w:t>
            </w:r>
          </w:p>
        </w:tc>
        <w:tc>
          <w:tcPr>
            <w:tcW w:w="8400" w:type="dxa"/>
            <w:vAlign w:val="bottom"/>
            <w:tcBorders>
              <w:top w:val="single" w:sz="8" w:color="CCEEFF"/>
            </w:tcBorders>
            <w:gridSpan w:val="12"/>
          </w:tcPr>
          <w:p>
            <w:pPr>
              <w:spacing w:after="0"/>
              <w:rPr>
                <w:sz w:val="13"/>
                <w:szCs w:val="13"/>
                <w:color w:val="auto"/>
              </w:rPr>
            </w:pPr>
          </w:p>
        </w:tc>
        <w:tc>
          <w:tcPr>
            <w:tcW w:w="80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5"/>
                <w:szCs w:val="15"/>
                <w:color w:val="auto"/>
              </w:rPr>
              <w:t>31</w:t>
            </w:r>
          </w:p>
        </w:tc>
      </w:tr>
      <w:tr>
        <w:trPr>
          <w:trHeight w:val="26"/>
        </w:trPr>
        <w:tc>
          <w:tcPr>
            <w:tcW w:w="2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2"/>
        </w:trPr>
        <w:tc>
          <w:tcPr>
            <w:tcW w:w="2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0000FF"/>
              </w:rPr>
              <w:t>Signatures</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32</w:t>
            </w:r>
          </w:p>
        </w:tc>
      </w:tr>
      <w:tr>
        <w:trPr>
          <w:trHeight w:val="894"/>
        </w:trPr>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940" w:type="dxa"/>
            <w:vAlign w:val="bottom"/>
            <w:tcBorders>
              <w:top w:val="single" w:sz="8" w:color="CCEEFF"/>
            </w:tcBorders>
            <w:gridSpan w:val="15"/>
          </w:tcPr>
          <w:p>
            <w:pPr>
              <w:ind w:left="4580"/>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63"/>
        </w:trPr>
        <w:tc>
          <w:tcPr>
            <w:tcW w:w="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4240" w:type="dxa"/>
            <w:vAlign w:val="bottom"/>
            <w:tcBorders>
              <w:bottom w:val="single" w:sz="8" w:color="9A9A9A"/>
            </w:tcBorders>
          </w:tcPr>
          <w:p>
            <w:pPr>
              <w:spacing w:after="0"/>
              <w:rPr>
                <w:sz w:val="22"/>
                <w:szCs w:val="22"/>
                <w:color w:val="auto"/>
              </w:rPr>
            </w:pPr>
          </w:p>
        </w:tc>
        <w:tc>
          <w:tcPr>
            <w:tcW w:w="8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Financial Statements of Arhaus, Inc. and Subsidiaries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jc w:val="center"/>
        <w:ind w:right="-59"/>
        <w:spacing w:after="0" w:line="212" w:lineRule="auto"/>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89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260" w:type="dxa"/>
            <w:vAlign w:val="bottom"/>
          </w:tcPr>
          <w:p>
            <w:pPr>
              <w:spacing w:after="0"/>
              <w:rPr>
                <w:sz w:val="15"/>
                <w:szCs w:val="15"/>
                <w:color w:val="auto"/>
              </w:rPr>
            </w:pPr>
          </w:p>
        </w:tc>
        <w:tc>
          <w:tcPr>
            <w:tcW w:w="146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4"/>
        </w:trPr>
        <w:tc>
          <w:tcPr>
            <w:tcW w:w="7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68"/>
        </w:trPr>
        <w:tc>
          <w:tcPr>
            <w:tcW w:w="76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Cash and cash equivalents</w:t>
            </w: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197,511</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231F20"/>
              </w:rPr>
              <w:t>Restricted cash</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3,418</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Accounts receivable, net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231F20"/>
              </w:rPr>
              <w:t>Merchandise inventory, net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297,010</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Prepaid and other current assets</w:t>
            </w: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32,391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31,852</w:t>
            </w:r>
          </w:p>
        </w:tc>
      </w:tr>
      <w:tr>
        <w:trPr>
          <w:trHeight w:val="187"/>
        </w:trPr>
        <w:tc>
          <w:tcPr>
            <w:tcW w:w="7680" w:type="dxa"/>
            <w:vAlign w:val="bottom"/>
          </w:tcPr>
          <w:p>
            <w:pPr>
              <w:ind w:left="280"/>
              <w:spacing w:after="0" w:line="169" w:lineRule="exact"/>
              <w:rPr>
                <w:sz w:val="20"/>
                <w:szCs w:val="20"/>
                <w:color w:val="auto"/>
              </w:rPr>
            </w:pPr>
            <w:r>
              <w:rPr>
                <w:rFonts w:ascii="Times New Roman" w:cs="Times New Roman" w:eastAsia="Times New Roman" w:hAnsi="Times New Roman"/>
                <w:sz w:val="15"/>
                <w:szCs w:val="15"/>
                <w:color w:val="231F20"/>
              </w:rPr>
              <w:t>Total current assets</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552,758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531,043</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Operating right-of-use assets</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322,302</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231F20"/>
              </w:rPr>
              <w:t>Financing right-of-use assets</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36,105</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Property, furniture and equipment, net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282,520</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231F20"/>
              </w:rPr>
              <w:t>Deferred tax assets</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21,091</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231F20"/>
              </w:rPr>
              <w:t>Goodwill</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10,961</w:t>
            </w:r>
          </w:p>
        </w:tc>
      </w:tr>
      <w:tr>
        <w:trPr>
          <w:trHeight w:val="18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231F20"/>
              </w:rPr>
              <w:t>Other noncurrent assets</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2,294</w:t>
            </w:r>
          </w:p>
        </w:tc>
      </w:tr>
      <w:tr>
        <w:trPr>
          <w:trHeight w:val="201"/>
        </w:trPr>
        <w:tc>
          <w:tcPr>
            <w:tcW w:w="7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231F20"/>
              </w:rPr>
              <w:t>Total assets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1,264,942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1,206,316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220"/>
          </w:cols>
          <w:pgMar w:left="300" w:top="461" w:right="379" w:bottom="1440" w:gutter="0" w:footer="0" w:header="0"/>
        </w:sectPr>
      </w:pPr>
    </w:p>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24065" cy="131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4065" cy="13144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Current liabilities</w:t>
      </w:r>
    </w:p>
    <w:p>
      <w:pPr>
        <w:spacing w:after="0" w:line="17" w:lineRule="exact"/>
        <w:rPr>
          <w:sz w:val="20"/>
          <w:szCs w:val="20"/>
          <w:color w:val="auto"/>
        </w:rPr>
      </w:pPr>
    </w:p>
    <w:p>
      <w:pPr>
        <w:ind w:left="20"/>
        <w:spacing w:after="0"/>
        <w:tabs>
          <w:tab w:leader="none" w:pos="7680" w:val="left"/>
        </w:tabs>
        <w:rPr>
          <w:sz w:val="20"/>
          <w:szCs w:val="20"/>
          <w:color w:val="auto"/>
        </w:rPr>
      </w:pPr>
      <w:r>
        <w:rPr>
          <w:rFonts w:ascii="Times New Roman" w:cs="Times New Roman" w:eastAsia="Times New Roman" w:hAnsi="Times New Roman"/>
          <w:sz w:val="15"/>
          <w:szCs w:val="15"/>
          <w:color w:val="231F20"/>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24065" cy="11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Accrued taxes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24065" cy="117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5"/>
          <w:szCs w:val="15"/>
          <w:color w:val="231F20"/>
        </w:rPr>
        <w:t>Accrued other expenses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24065" cy="11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5"/>
          <w:szCs w:val="15"/>
          <w:color w:val="231F20"/>
        </w:rPr>
        <w:t>Current portion of operating lease liabilities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24065"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5"/>
          <w:szCs w:val="15"/>
          <w:color w:val="231F20"/>
        </w:rPr>
        <w:t>Total current liabilities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2406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5"/>
          <w:szCs w:val="15"/>
          <w:color w:val="231F20"/>
        </w:rPr>
        <w:t>Financing lease liabilities, long-term</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24065" cy="11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80"/>
        <w:spacing w:after="0"/>
        <w:tabs>
          <w:tab w:leader="none" w:pos="7680" w:val="left"/>
        </w:tabs>
        <w:rPr>
          <w:sz w:val="20"/>
          <w:szCs w:val="20"/>
          <w:color w:val="auto"/>
        </w:rPr>
      </w:pPr>
      <w:r>
        <w:rPr>
          <w:rFonts w:ascii="Times New Roman" w:cs="Times New Roman" w:eastAsia="Times New Roman" w:hAnsi="Times New Roman"/>
          <w:sz w:val="15"/>
          <w:szCs w:val="15"/>
          <w:color w:val="231F20"/>
        </w:rPr>
        <w:t>Total liabilities</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24065" cy="11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Commitments and contingencies (Note 9)</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Stockholders’ equity</w:t>
      </w:r>
    </w:p>
    <w:p>
      <w:pPr>
        <w:spacing w:after="0" w:line="13" w:lineRule="exact"/>
        <w:rPr>
          <w:sz w:val="20"/>
          <w:szCs w:val="20"/>
          <w:color w:val="auto"/>
        </w:rPr>
      </w:pPr>
    </w:p>
    <w:p>
      <w:pPr>
        <w:ind w:left="20" w:right="640"/>
        <w:spacing w:after="0" w:line="219" w:lineRule="auto"/>
        <w:rPr>
          <w:sz w:val="20"/>
          <w:szCs w:val="20"/>
          <w:color w:val="auto"/>
        </w:rPr>
      </w:pPr>
      <w:r>
        <w:rPr>
          <w:rFonts w:ascii="Times New Roman" w:cs="Times New Roman" w:eastAsia="Times New Roman" w:hAnsi="Times New Roman"/>
          <w:sz w:val="15"/>
          <w:szCs w:val="15"/>
          <w:color w:val="auto"/>
        </w:rPr>
        <w:t>Class A shares, par value $0.001 per share (600,000,000 shares authorized, 54,265,837 shares issued and 53,783,985 outstanding as of March 31, 2025; 53,788,036 shares issued and 53,514,062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24065" cy="207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4065" cy="207645"/>
                    </a:xfrm>
                    <a:prstGeom prst="rect">
                      <a:avLst/>
                    </a:prstGeom>
                    <a:noFill/>
                  </pic:spPr>
                </pic:pic>
              </a:graphicData>
            </a:graphic>
          </wp:anchor>
        </w:drawing>
      </w:r>
    </w:p>
    <w:p>
      <w:pPr>
        <w:ind w:left="20" w:right="1040"/>
        <w:spacing w:after="0" w:line="222" w:lineRule="auto"/>
        <w:rPr>
          <w:sz w:val="20"/>
          <w:szCs w:val="20"/>
          <w:color w:val="auto"/>
        </w:rPr>
      </w:pPr>
      <w:r>
        <w:rPr>
          <w:rFonts w:ascii="Times New Roman" w:cs="Times New Roman" w:eastAsia="Times New Roman" w:hAnsi="Times New Roman"/>
          <w:sz w:val="15"/>
          <w:szCs w:val="15"/>
          <w:color w:val="auto"/>
        </w:rPr>
        <w:t>Class B shares, par value $0.001 per share (100,000,000 shares authorized, 87,115,600 shares issued and outstanding as of March 31, 2025; 87,115,600 shares issued and outstanding as of December 31, 2024)</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24065" cy="11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4065" cy="1174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5"/>
          <w:szCs w:val="15"/>
          <w:color w:val="231F20"/>
        </w:rPr>
        <w:t>Additional paid-in capital</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59,709</w:t>
            </w:r>
          </w:p>
        </w:tc>
        <w:tc>
          <w:tcPr>
            <w:tcW w:w="64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68,621</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10,835</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10,480</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14,221</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11,538</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39,832</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47,668</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263,206</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220,873</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48,916</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42,247</w:t>
            </w:r>
          </w:p>
        </w:tc>
      </w:tr>
      <w:tr>
        <w:trPr>
          <w:trHeight w:val="189"/>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600</w:t>
            </w: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1,024</w:t>
            </w:r>
          </w:p>
        </w:tc>
      </w:tr>
      <w:tr>
        <w:trPr>
          <w:trHeight w:val="183"/>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437,319</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402,451</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422,848</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402,916</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52,550</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53,312</w:t>
            </w:r>
          </w:p>
        </w:tc>
      </w:tr>
      <w:tr>
        <w:trPr>
          <w:trHeight w:val="189"/>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3,397</w:t>
            </w: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3,892</w:t>
            </w:r>
          </w:p>
        </w:tc>
      </w:tr>
      <w:tr>
        <w:trPr>
          <w:trHeight w:val="187"/>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916,114</w:t>
            </w:r>
          </w:p>
        </w:tc>
        <w:tc>
          <w:tcPr>
            <w:tcW w:w="6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862,571</w:t>
            </w:r>
          </w:p>
        </w:tc>
      </w:tr>
      <w:tr>
        <w:trPr>
          <w:trHeight w:val="678"/>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54</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323"/>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87</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185"/>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147,840</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142,898</w:t>
            </w:r>
          </w:p>
        </w:tc>
      </w:tr>
      <w:tr>
        <w:trPr>
          <w:trHeight w:val="187"/>
        </w:trPr>
        <w:tc>
          <w:tcPr>
            <w:tcW w:w="6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90"/>
              </w:rPr>
              <w:t>200,847</w:t>
            </w: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-1014730</wp:posOffset>
            </wp:positionV>
            <wp:extent cx="109982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9820" cy="698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-1499235</wp:posOffset>
            </wp:positionV>
            <wp:extent cx="109982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982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60" w:space="720"/>
            <w:col w:w="2340"/>
          </w:cols>
          <w:pgMar w:left="300" w:top="461" w:right="3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231F20"/>
              </w:rPr>
              <w:t>Total stockholders’ equity</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348,828</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343,745</w:t>
            </w:r>
          </w:p>
        </w:tc>
      </w:tr>
      <w:tr>
        <w:trPr>
          <w:trHeight w:val="176"/>
        </w:trPr>
        <w:tc>
          <w:tcPr>
            <w:tcW w:w="7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58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1,264,942</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1,206,316</w:t>
            </w:r>
          </w:p>
        </w:tc>
      </w:tr>
      <w:tr>
        <w:trPr>
          <w:trHeight w:val="20"/>
        </w:trPr>
        <w:tc>
          <w:tcPr>
            <w:tcW w:w="7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71843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20"/>
          </w:cols>
          <w:pgMar w:left="300" w:top="461" w:right="379" w:bottom="144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jc w:val="center"/>
        <w:ind w:right="-79"/>
        <w:spacing w:after="0" w:line="212" w:lineRule="auto"/>
        <w:rPr>
          <w:sz w:val="20"/>
          <w:szCs w:val="20"/>
          <w:color w:val="auto"/>
        </w:rPr>
      </w:pPr>
      <w:r>
        <w:rPr>
          <w:rFonts w:ascii="Times New Roman" w:cs="Times New Roman" w:eastAsia="Times New Roman" w:hAnsi="Times New Roman"/>
          <w:sz w:val="15"/>
          <w:szCs w:val="15"/>
          <w:b w:val="1"/>
          <w:bCs w:val="1"/>
          <w:color w:val="auto"/>
        </w:rPr>
        <w:t>Condensed Consolidated Statements of Comprehensive Income</w:t>
      </w: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89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60" w:type="dxa"/>
            <w:vAlign w:val="bottom"/>
          </w:tcPr>
          <w:p>
            <w:pPr>
              <w:spacing w:after="0"/>
              <w:rPr>
                <w:sz w:val="16"/>
                <w:szCs w:val="16"/>
                <w:color w:val="auto"/>
              </w:rPr>
            </w:pPr>
          </w:p>
        </w:tc>
      </w:tr>
      <w:tr>
        <w:trPr>
          <w:trHeight w:val="191"/>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6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w:t>
            </w:r>
          </w:p>
        </w:tc>
        <w:tc>
          <w:tcPr>
            <w:tcW w:w="4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311,372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295,162</w:t>
            </w:r>
          </w:p>
        </w:tc>
      </w:tr>
      <w:tr>
        <w:trPr>
          <w:trHeight w:val="18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195,785</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180,108</w:t>
            </w:r>
          </w:p>
        </w:tc>
      </w:tr>
      <w:tr>
        <w:trPr>
          <w:trHeight w:val="17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Gross margin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115,587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115,054</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110,058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96,693</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4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Income from operations</w:t>
            </w:r>
          </w:p>
        </w:tc>
        <w:tc>
          <w:tcPr>
            <w:tcW w:w="4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5,421</w:t>
            </w:r>
          </w:p>
        </w:tc>
        <w:tc>
          <w:tcPr>
            <w:tcW w:w="80" w:type="dxa"/>
            <w:vAlign w:val="bottom"/>
          </w:tcPr>
          <w:p>
            <w:pPr>
              <w:spacing w:after="0"/>
              <w:rPr>
                <w:sz w:val="15"/>
                <w:szCs w:val="15"/>
                <w:color w:val="auto"/>
              </w:rPr>
            </w:pPr>
          </w:p>
        </w:tc>
        <w:tc>
          <w:tcPr>
            <w:tcW w:w="66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18,361</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w:t>
            </w:r>
          </w:p>
        </w:tc>
      </w:tr>
      <w:tr>
        <w:trPr>
          <w:trHeight w:val="18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6"/>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Income before taxes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19,915</w:t>
            </w:r>
          </w:p>
        </w:tc>
      </w:tr>
      <w:tr>
        <w:trPr>
          <w:trHeight w:val="18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4,816</w:t>
            </w:r>
          </w:p>
        </w:tc>
      </w:tr>
      <w:tr>
        <w:trPr>
          <w:trHeight w:val="201"/>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and comprehensive income</w:t>
            </w:r>
          </w:p>
        </w:tc>
        <w:tc>
          <w:tcPr>
            <w:tcW w:w="40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231F20"/>
              </w:rPr>
              <w:t>Net and comprehensive income per share, basic</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5"/>
        </w:trPr>
        <w:tc>
          <w:tcPr>
            <w:tcW w:w="7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Weighted-average number of common shares outstanding, basic</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140,361,588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139,816,792</w:t>
            </w:r>
          </w:p>
        </w:tc>
      </w:tr>
      <w:tr>
        <w:trPr>
          <w:trHeight w:val="185"/>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and comprehensive income per share, basic</w:t>
            </w:r>
          </w:p>
        </w:tc>
        <w:tc>
          <w:tcPr>
            <w:tcW w:w="4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231F20"/>
              </w:rPr>
              <w:t>Net and comprehensive income per share, diluted</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3"/>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Weighted-average number of common shares outstanding, diluted</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141,090,633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140,556,031</w:t>
            </w:r>
          </w:p>
        </w:tc>
      </w:tr>
      <w:tr>
        <w:trPr>
          <w:trHeight w:val="189"/>
        </w:trPr>
        <w:tc>
          <w:tcPr>
            <w:tcW w:w="7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and comprehensive income per share, diluted</w:t>
            </w:r>
          </w:p>
        </w:tc>
        <w:tc>
          <w:tcPr>
            <w:tcW w:w="4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80" w:type="dxa"/>
            <w:vAlign w:val="bottom"/>
          </w:tcPr>
          <w:p>
            <w:pPr>
              <w:spacing w:after="0"/>
              <w:rPr>
                <w:sz w:val="16"/>
                <w:szCs w:val="16"/>
                <w:color w:val="auto"/>
              </w:rPr>
            </w:pPr>
          </w:p>
        </w:tc>
        <w:tc>
          <w:tcPr>
            <w:tcW w:w="66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0.11</w:t>
            </w:r>
          </w:p>
        </w:tc>
      </w:tr>
    </w:tbl>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00"/>
          </w:cols>
          <w:pgMar w:left="300" w:top="535" w:right="399" w:bottom="1440" w:gutter="0" w:footer="0" w:header="0"/>
        </w:sectPr>
      </w:pPr>
    </w:p>
    <w:bookmarkStart w:id="4" w:name="page5"/>
    <w:bookmarkEnd w:id="4"/>
    <w:p>
      <w:pPr>
        <w:ind w:left="4720"/>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Stockholders’ Equity</w:t>
      </w:r>
    </w:p>
    <w:p>
      <w:pPr>
        <w:ind w:left="4560"/>
        <w:spacing w:after="0"/>
        <w:rPr>
          <w:sz w:val="20"/>
          <w:szCs w:val="20"/>
          <w:color w:val="auto"/>
        </w:rPr>
      </w:pPr>
      <w:r>
        <w:rPr>
          <w:rFonts w:ascii="Times New Roman" w:cs="Times New Roman" w:eastAsia="Times New Roman" w:hAnsi="Times New Roman"/>
          <w:sz w:val="15"/>
          <w:szCs w:val="15"/>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899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5"/>
          </w:tcPr>
          <w:p>
            <w:pPr>
              <w:ind w:left="640"/>
              <w:spacing w:after="0" w:line="124"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150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152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15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line="20" w:lineRule="exact"/>
              <w:rPr>
                <w:sz w:val="1"/>
                <w:szCs w:val="1"/>
                <w:color w:val="auto"/>
              </w:rPr>
            </w:pPr>
          </w:p>
        </w:tc>
        <w:tc>
          <w:tcPr>
            <w:tcW w:w="78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80" w:type="dxa"/>
            <w:vAlign w:val="bottom"/>
          </w:tcPr>
          <w:p>
            <w:pPr>
              <w:spacing w:after="0"/>
              <w:rPr>
                <w:sz w:val="13"/>
                <w:szCs w:val="13"/>
                <w:color w:val="auto"/>
              </w:rPr>
            </w:pPr>
          </w:p>
        </w:tc>
        <w:tc>
          <w:tcPr>
            <w:tcW w:w="7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Balances as of December 31, 2024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53,289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w:t>
            </w: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87,116</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w:t>
            </w: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142,898</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200,707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343,745</w:t>
            </w:r>
          </w:p>
        </w:tc>
        <w:tc>
          <w:tcPr>
            <w:tcW w:w="0" w:type="dxa"/>
            <w:vAlign w:val="bottom"/>
          </w:tcPr>
          <w:p>
            <w:pPr>
              <w:spacing w:after="0"/>
              <w:rPr>
                <w:sz w:val="1"/>
                <w:szCs w:val="1"/>
                <w:color w:val="auto"/>
              </w:rPr>
            </w:pPr>
          </w:p>
        </w:tc>
      </w:tr>
      <w:tr>
        <w:trPr>
          <w:trHeight w:val="151"/>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4,882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Shareholder capital contribution</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w w:val="97"/>
              </w:rPr>
              <w:t>Shares withheld to cover employees’ withholding taxes</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equity 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March 31, 2025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53,608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87,116</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147,840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200,847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348,828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5"/>
          </w:tcPr>
          <w:p>
            <w:pPr>
              <w:ind w:left="640"/>
              <w:spacing w:after="0" w:line="124"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150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152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15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line="20" w:lineRule="exact"/>
              <w:rPr>
                <w:sz w:val="1"/>
                <w:szCs w:val="1"/>
                <w:color w:val="auto"/>
              </w:rPr>
            </w:pPr>
          </w:p>
        </w:tc>
        <w:tc>
          <w:tcPr>
            <w:tcW w:w="78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80" w:type="dxa"/>
            <w:vAlign w:val="bottom"/>
          </w:tcPr>
          <w:p>
            <w:pPr>
              <w:spacing w:after="0"/>
              <w:rPr>
                <w:sz w:val="13"/>
                <w:szCs w:val="13"/>
                <w:color w:val="auto"/>
              </w:rPr>
            </w:pPr>
          </w:p>
        </w:tc>
        <w:tc>
          <w:tcPr>
            <w:tcW w:w="7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52,669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w:t>
            </w: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87,116</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w:t>
            </w: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145,292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194,807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340,238</w:t>
            </w:r>
          </w:p>
        </w:tc>
        <w:tc>
          <w:tcPr>
            <w:tcW w:w="0" w:type="dxa"/>
            <w:vAlign w:val="bottom"/>
          </w:tcPr>
          <w:p>
            <w:pPr>
              <w:spacing w:after="0"/>
              <w:rPr>
                <w:sz w:val="1"/>
                <w:szCs w:val="1"/>
                <w:color w:val="auto"/>
              </w:rPr>
            </w:pPr>
          </w:p>
        </w:tc>
      </w:tr>
      <w:tr>
        <w:trPr>
          <w:trHeight w:val="151"/>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15,099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Shareholder capital contribution</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w w:val="97"/>
              </w:rPr>
              <w:t>Shares withheld to cover employees’ withholding taxes</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equity 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0" w:type="dxa"/>
            <w:vAlign w:val="bottom"/>
          </w:tcPr>
          <w:p>
            <w:pPr>
              <w:spacing w:after="0"/>
              <w:rPr>
                <w:sz w:val="1"/>
                <w:szCs w:val="1"/>
                <w:color w:val="auto"/>
              </w:rPr>
            </w:pPr>
          </w:p>
        </w:tc>
      </w:tr>
      <w:tr>
        <w:trPr>
          <w:trHeight w:val="154"/>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(71,185)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(71,185)</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52,761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87,116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87</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89,206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196,301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285,647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0159"/>
          </w:cols>
          <w:pgMar w:left="300" w:top="166" w:right="1440"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jc w:val="center"/>
        <w:ind w:right="-59"/>
        <w:spacing w:after="0" w:line="212" w:lineRule="auto"/>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899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gridSpan w:val="3"/>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80" w:type="dxa"/>
            <w:vAlign w:val="bottom"/>
          </w:tcPr>
          <w:p>
            <w:pPr>
              <w:spacing w:after="0"/>
              <w:rPr>
                <w:sz w:val="16"/>
                <w:szCs w:val="16"/>
                <w:color w:val="auto"/>
              </w:rPr>
            </w:pPr>
          </w:p>
        </w:tc>
      </w:tr>
      <w:tr>
        <w:trPr>
          <w:trHeight w:val="191"/>
        </w:trPr>
        <w:tc>
          <w:tcPr>
            <w:tcW w:w="76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100" w:type="dxa"/>
            <w:vAlign w:val="bottom"/>
          </w:tcPr>
          <w:p>
            <w:pPr>
              <w:spacing w:after="0"/>
              <w:rPr>
                <w:sz w:val="17"/>
                <w:szCs w:val="17"/>
                <w:color w:val="auto"/>
              </w:rPr>
            </w:pPr>
          </w:p>
        </w:tc>
        <w:tc>
          <w:tcPr>
            <w:tcW w:w="740" w:type="dxa"/>
            <w:vAlign w:val="bottom"/>
          </w:tcPr>
          <w:p>
            <w:pPr>
              <w:jc w:val="right"/>
              <w:ind w:right="58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15,099</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8"/>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8,603</w:t>
            </w:r>
          </w:p>
        </w:tc>
      </w:tr>
      <w:tr>
        <w:trPr>
          <w:trHeight w:val="21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operating lease right-of-use asset</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8,738</w:t>
            </w:r>
          </w:p>
        </w:tc>
      </w:tr>
      <w:tr>
        <w:trPr>
          <w:trHeight w:val="198"/>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deferred financing fees, interest on finance lease in excess of principal paid and interest on operating leases</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6,233</w:t>
            </w:r>
          </w:p>
        </w:tc>
      </w:tr>
      <w:tr>
        <w:trPr>
          <w:trHeight w:val="21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Equity based compensation</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2,024</w:t>
            </w:r>
          </w:p>
        </w:tc>
      </w:tr>
      <w:tr>
        <w:trPr>
          <w:trHeight w:val="198"/>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Deferred tax assets</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21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cloud computing arrangements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r>
      <w:tr>
        <w:trPr>
          <w:trHeight w:val="198"/>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on disposal of property, furniture and equipment</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and write-off of lease incentives</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98"/>
        </w:trPr>
        <w:tc>
          <w:tcPr>
            <w:tcW w:w="7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Accounts receivable</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r>
      <w:tr>
        <w:trPr>
          <w:trHeight w:val="198"/>
        </w:trPr>
        <w:tc>
          <w:tcPr>
            <w:tcW w:w="7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Merchandise inventory</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(14,118)</w:t>
            </w:r>
          </w:p>
        </w:tc>
      </w:tr>
      <w:tr>
        <w:trPr>
          <w:trHeight w:val="216"/>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and other assets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(5,758)</w:t>
            </w:r>
          </w:p>
        </w:tc>
      </w:tr>
      <w:tr>
        <w:trPr>
          <w:trHeight w:val="198"/>
        </w:trPr>
        <w:tc>
          <w:tcPr>
            <w:tcW w:w="7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16"/>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(4,819)</w:t>
            </w:r>
          </w:p>
        </w:tc>
      </w:tr>
      <w:tr>
        <w:trPr>
          <w:trHeight w:val="198"/>
        </w:trPr>
        <w:tc>
          <w:tcPr>
            <w:tcW w:w="7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expenses</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(5,092)</w:t>
            </w:r>
          </w:p>
        </w:tc>
      </w:tr>
      <w:tr>
        <w:trPr>
          <w:trHeight w:val="216"/>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(4,207)</w:t>
            </w:r>
          </w:p>
        </w:tc>
      </w:tr>
      <w:tr>
        <w:trPr>
          <w:trHeight w:val="198"/>
        </w:trPr>
        <w:tc>
          <w:tcPr>
            <w:tcW w:w="7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Client deposits</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42,333</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29,114</w:t>
            </w:r>
          </w:p>
        </w:tc>
      </w:tr>
      <w:tr>
        <w:trPr>
          <w:trHeight w:val="207"/>
        </w:trPr>
        <w:tc>
          <w:tcPr>
            <w:tcW w:w="7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46,515</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36,828</w:t>
            </w:r>
          </w:p>
        </w:tc>
      </w:tr>
      <w:tr>
        <w:trPr>
          <w:trHeight w:val="179"/>
        </w:trPr>
        <w:tc>
          <w:tcPr>
            <w:tcW w:w="7680" w:type="dxa"/>
            <w:vAlign w:val="bottom"/>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furniture and equipment</w:t>
            </w: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(27,621)</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(25,932)</w:t>
            </w:r>
          </w:p>
        </w:tc>
      </w:tr>
      <w:tr>
        <w:trPr>
          <w:trHeight w:val="189"/>
        </w:trPr>
        <w:tc>
          <w:tcPr>
            <w:tcW w:w="7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(25,932)</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payments under finance leases</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shares for payment of withholding taxes for equity based compensation</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w:t>
            </w:r>
          </w:p>
        </w:tc>
      </w:tr>
      <w:tr>
        <w:trPr>
          <w:trHeight w:val="198"/>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dividend payments</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189"/>
        </w:trPr>
        <w:tc>
          <w:tcPr>
            <w:tcW w:w="76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10,135</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8"/>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Beginning of period</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200,929</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226,305</w:t>
            </w:r>
          </w:p>
        </w:tc>
      </w:tr>
      <w:tr>
        <w:trPr>
          <w:trHeight w:val="23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 of period</w:t>
            </w: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217,914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236,440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16"/>
        </w:trPr>
        <w:tc>
          <w:tcPr>
            <w:tcW w:w="7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paid in cash</w:t>
            </w:r>
          </w:p>
        </w:tc>
        <w:tc>
          <w:tcPr>
            <w:tcW w:w="50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w:t>
            </w:r>
          </w:p>
        </w:tc>
        <w:tc>
          <w:tcPr>
            <w:tcW w:w="100" w:type="dxa"/>
            <w:vAlign w:val="bottom"/>
          </w:tcPr>
          <w:p>
            <w:pPr>
              <w:spacing w:after="0"/>
              <w:rPr>
                <w:sz w:val="17"/>
                <w:szCs w:val="17"/>
                <w:color w:val="auto"/>
              </w:rPr>
            </w:pPr>
          </w:p>
        </w:tc>
        <w:tc>
          <w:tcPr>
            <w:tcW w:w="740" w:type="dxa"/>
            <w:vAlign w:val="bottom"/>
          </w:tcPr>
          <w:p>
            <w:pPr>
              <w:jc w:val="right"/>
              <w:ind w:right="58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received in cash</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2,871</w:t>
            </w: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taxes paid in cash</w:t>
            </w:r>
          </w:p>
        </w:tc>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Noncash investing activities: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9"/>
        </w:trPr>
        <w:tc>
          <w:tcPr>
            <w:tcW w:w="76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Purchase of property, furniture and equipment in current liabilities</w:t>
            </w: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6,648</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15,250</w:t>
            </w:r>
          </w:p>
        </w:tc>
      </w:tr>
    </w:tbl>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20"/>
          </w:cols>
          <w:pgMar w:left="300" w:top="14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320" w:firstLine="7"/>
        <w:spacing w:after="0" w:line="448" w:lineRule="auto"/>
        <w:tabs>
          <w:tab w:leader="none" w:pos="145"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Business and Basis of Presentation Nature of Business</w:t>
      </w:r>
    </w:p>
    <w:p>
      <w:pPr>
        <w:spacing w:after="0" w:line="1" w:lineRule="exact"/>
        <w:rPr>
          <w:sz w:val="20"/>
          <w:szCs w:val="20"/>
          <w:color w:val="auto"/>
        </w:rPr>
      </w:pPr>
    </w:p>
    <w:p>
      <w:pPr>
        <w:jc w:val="both"/>
        <w:ind w:right="420"/>
        <w:spacing w:after="0" w:line="250" w:lineRule="auto"/>
        <w:rPr>
          <w:sz w:val="20"/>
          <w:szCs w:val="20"/>
          <w:color w:val="auto"/>
        </w:rPr>
      </w:pPr>
      <w:r>
        <w:rPr>
          <w:rFonts w:ascii="Times New Roman" w:cs="Times New Roman" w:eastAsia="Times New Roman" w:hAnsi="Times New Roman"/>
          <w:sz w:val="15"/>
          <w:szCs w:val="15"/>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merchandise sales channels in sophisticated, family friendly and unique lifestyle settings. We position our retail locations as Showrooms for our brand, while our website acts as a virtual extension of our Showrooms. The Company operated 103 Showrooms as of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28"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3"/>
          <w:szCs w:val="13"/>
          <w:color w:val="auto"/>
        </w:rPr>
        <w:t>The accompanying condensed consolidated balance sheets at March 31, 2025 and December 31, 2024, the condensed consolidated statements of comprehensive income and changes in stockholders’ equity for the three months ended March 31, 2025 and March 31, 2024, the condensed consolidated statements of cash flows for the three months ended March 31, 2025 and March 31, 2024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89"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13"/>
          <w:szCs w:val="13"/>
          <w:color w:val="auto"/>
        </w:rPr>
        <w:t>In management’s opinion, the accompanying condensed consolidated financial statements contain all adjustments, consisting of normal recurring adjustments, necessary for a fair statement of the Company’s financial position at March 31, 2025, the results of operations and changes in stockholders’ equity and cash flows for the three months ended March 31, 2025. The condensed consolidated balance sheet as of December 31, 2024 included herein was derived from audited financial statements, but does not include all disclosures required by U.S. GAAP.</w:t>
      </w:r>
    </w:p>
    <w:p>
      <w:pPr>
        <w:spacing w:after="0" w:line="8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The results for the three months ended March 31, 2025 and March 31, 2024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4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5"/>
          <w:szCs w:val="15"/>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17"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15"/>
          <w:szCs w:val="15"/>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Client Deposits</w:t>
      </w:r>
    </w:p>
    <w:p>
      <w:pPr>
        <w:spacing w:after="0" w:line="14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980"/>
        <w:spacing w:after="0" w:line="447" w:lineRule="auto"/>
        <w:rPr>
          <w:sz w:val="20"/>
          <w:szCs w:val="20"/>
          <w:color w:val="auto"/>
        </w:rPr>
      </w:pPr>
      <w:r>
        <w:rPr>
          <w:rFonts w:ascii="Times New Roman" w:cs="Times New Roman" w:eastAsia="Times New Roman" w:hAnsi="Times New Roman"/>
          <w:sz w:val="15"/>
          <w:szCs w:val="15"/>
          <w:color w:val="auto"/>
        </w:rPr>
        <w:t xml:space="preserve">Company expects substantially all client deposits as of March 31, 2025 will be recognized as net revenue within the next 12 months as the performance obligations are satisfied. </w:t>
      </w:r>
      <w:r>
        <w:rPr>
          <w:rFonts w:ascii="Times New Roman" w:cs="Times New Roman" w:eastAsia="Times New Roman" w:hAnsi="Times New Roman"/>
          <w:sz w:val="15"/>
          <w:szCs w:val="15"/>
          <w:b w:val="1"/>
          <w:bCs w:val="1"/>
          <w:color w:val="auto"/>
        </w:rPr>
        <w:t>Gift Cards</w:t>
      </w:r>
    </w:p>
    <w:p>
      <w:pPr>
        <w:spacing w:after="0" w:line="250" w:lineRule="auto"/>
        <w:rPr>
          <w:sz w:val="20"/>
          <w:szCs w:val="20"/>
          <w:color w:val="auto"/>
        </w:rPr>
      </w:pPr>
      <w:r>
        <w:rPr>
          <w:rFonts w:ascii="Times New Roman" w:cs="Times New Roman" w:eastAsia="Times New Roman" w:hAnsi="Times New Roman"/>
          <w:sz w:val="15"/>
          <w:szCs w:val="15"/>
          <w:color w:val="auto"/>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March 31, 2025 and December 31, 2024 of $0.5 million and $0.5 million, respectively, is recorded in the accrued other expenses line item of the condensed consolidated balance sheets. The Company recognizes income associated with breakage proportional to actual gift card redemptions. For the three months ended March 31, 2025 and March 31, 2024, breakage income was minimal.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Values of Financial Instruments</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March 31, 2025 and December 31, 2024. See Note 5 —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for discussion of our lease obligations and Note 6 — </w:t>
      </w:r>
      <w:r>
        <w:rPr>
          <w:rFonts w:ascii="Times New Roman" w:cs="Times New Roman" w:eastAsia="Times New Roman" w:hAnsi="Times New Roman"/>
          <w:sz w:val="15"/>
          <w:szCs w:val="15"/>
          <w:i w:val="1"/>
          <w:iCs w:val="1"/>
          <w:color w:val="auto"/>
        </w:rPr>
        <w:t>Equity Based Compensation</w:t>
      </w:r>
      <w:r>
        <w:rPr>
          <w:rFonts w:ascii="Times New Roman" w:cs="Times New Roman" w:eastAsia="Times New Roman" w:hAnsi="Times New Roman"/>
          <w:sz w:val="15"/>
          <w:szCs w:val="15"/>
          <w:color w:val="auto"/>
        </w:rPr>
        <w:t xml:space="preserve"> for discussion of our equity based compensation instruments.</w:t>
      </w:r>
    </w:p>
    <w:p>
      <w:pPr>
        <w:spacing w:after="0" w:line="131" w:lineRule="exact"/>
        <w:rPr>
          <w:sz w:val="20"/>
          <w:szCs w:val="20"/>
          <w:color w:val="auto"/>
        </w:rPr>
      </w:pPr>
    </w:p>
    <w:p>
      <w:pPr>
        <w:jc w:val="both"/>
        <w:ind w:right="180"/>
        <w:spacing w:after="0" w:line="311" w:lineRule="auto"/>
        <w:rPr>
          <w:sz w:val="20"/>
          <w:szCs w:val="20"/>
          <w:color w:val="auto"/>
        </w:rPr>
      </w:pPr>
      <w:r>
        <w:rPr>
          <w:rFonts w:ascii="Times New Roman" w:cs="Times New Roman" w:eastAsia="Times New Roman" w:hAnsi="Times New Roman"/>
          <w:sz w:val="13"/>
          <w:szCs w:val="13"/>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83" w:lineRule="exact"/>
        <w:rPr>
          <w:sz w:val="20"/>
          <w:szCs w:val="20"/>
          <w:color w:val="auto"/>
        </w:rPr>
      </w:pPr>
    </w:p>
    <w:p>
      <w:pPr>
        <w:ind w:left="540"/>
        <w:spacing w:after="0"/>
        <w:tabs>
          <w:tab w:leader="none" w:pos="1280" w:val="left"/>
        </w:tabs>
        <w:rPr>
          <w:sz w:val="20"/>
          <w:szCs w:val="20"/>
          <w:color w:val="auto"/>
        </w:rPr>
      </w:pPr>
      <w:r>
        <w:rPr>
          <w:rFonts w:ascii="Times New Roman" w:cs="Times New Roman" w:eastAsia="Times New Roman" w:hAnsi="Times New Roman"/>
          <w:sz w:val="15"/>
          <w:szCs w:val="15"/>
          <w:color w:val="auto"/>
        </w:rPr>
        <w:t>Level 1</w:t>
      </w:r>
      <w:r>
        <w:rPr>
          <w:sz w:val="20"/>
          <w:szCs w:val="20"/>
          <w:color w:val="auto"/>
        </w:rPr>
        <w:tab/>
      </w:r>
      <w:r>
        <w:rPr>
          <w:rFonts w:ascii="Times New Roman" w:cs="Times New Roman" w:eastAsia="Times New Roman" w:hAnsi="Times New Roman"/>
          <w:sz w:val="13"/>
          <w:szCs w:val="13"/>
          <w:color w:val="auto"/>
        </w:rPr>
        <w:t>Unadjusted quoted prices in active markets for identical, unrestricted assets and liabilities that the reporting entity has the ability to access at the measurement date.</w:t>
      </w:r>
    </w:p>
    <w:p>
      <w:pPr>
        <w:spacing w:after="0" w:line="143" w:lineRule="exact"/>
        <w:rPr>
          <w:sz w:val="20"/>
          <w:szCs w:val="20"/>
          <w:color w:val="auto"/>
        </w:rPr>
      </w:pPr>
    </w:p>
    <w:p>
      <w:pPr>
        <w:ind w:left="1300" w:right="120" w:hanging="783"/>
        <w:spacing w:after="0" w:line="265" w:lineRule="auto"/>
        <w:tabs>
          <w:tab w:leader="none" w:pos="1280" w:val="left"/>
        </w:tabs>
        <w:rPr>
          <w:sz w:val="20"/>
          <w:szCs w:val="20"/>
          <w:color w:val="auto"/>
        </w:rPr>
      </w:pPr>
      <w:r>
        <w:rPr>
          <w:rFonts w:ascii="Times New Roman" w:cs="Times New Roman" w:eastAsia="Times New Roman" w:hAnsi="Times New Roman"/>
          <w:sz w:val="15"/>
          <w:szCs w:val="15"/>
          <w:color w:val="auto"/>
        </w:rPr>
        <w:t>Level 2</w:t>
      </w:r>
      <w:r>
        <w:rPr>
          <w:sz w:val="20"/>
          <w:szCs w:val="20"/>
          <w:color w:val="auto"/>
        </w:rPr>
        <w:tab/>
      </w:r>
      <w:r>
        <w:rPr>
          <w:rFonts w:ascii="Times New Roman" w:cs="Times New Roman" w:eastAsia="Times New Roman" w:hAnsi="Times New Roman"/>
          <w:sz w:val="15"/>
          <w:szCs w:val="15"/>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20" w:lineRule="exact"/>
        <w:rPr>
          <w:sz w:val="20"/>
          <w:szCs w:val="20"/>
          <w:color w:val="auto"/>
        </w:rPr>
      </w:pPr>
    </w:p>
    <w:p>
      <w:pPr>
        <w:ind w:left="1300" w:right="640" w:hanging="783"/>
        <w:spacing w:after="0" w:line="265" w:lineRule="auto"/>
        <w:tabs>
          <w:tab w:leader="none" w:pos="1280" w:val="left"/>
        </w:tabs>
        <w:rPr>
          <w:sz w:val="20"/>
          <w:szCs w:val="20"/>
          <w:color w:val="auto"/>
        </w:rPr>
      </w:pPr>
      <w:r>
        <w:rPr>
          <w:rFonts w:ascii="Times New Roman" w:cs="Times New Roman" w:eastAsia="Times New Roman" w:hAnsi="Times New Roman"/>
          <w:sz w:val="15"/>
          <w:szCs w:val="15"/>
          <w:color w:val="auto"/>
        </w:rPr>
        <w:t>Level 3</w:t>
      </w:r>
      <w:r>
        <w:rPr>
          <w:sz w:val="20"/>
          <w:szCs w:val="20"/>
          <w:color w:val="auto"/>
        </w:rPr>
        <w:tab/>
      </w:r>
      <w:r>
        <w:rPr>
          <w:rFonts w:ascii="Times New Roman" w:cs="Times New Roman" w:eastAsia="Times New Roman" w:hAnsi="Times New Roman"/>
          <w:sz w:val="15"/>
          <w:szCs w:val="15"/>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5"/>
          <w:szCs w:val="15"/>
          <w:color w:val="auto"/>
        </w:rPr>
        <w:t>The Company invests in Level 1 cash and cash equivalent investments such as money market funds and interest-bearing checking accounts. For the three months ended March 31, 2025, the Company earned $1.9 million in interest income. For the three months ended March 31, 2024, interest income was $2.8 million, which is included within interest income, net on our condensed consolidated statements of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Accounts Receivable</w:t>
      </w:r>
    </w:p>
    <w:p>
      <w:pPr>
        <w:spacing w:after="0" w:line="15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5"/>
          <w:szCs w:val="15"/>
          <w:color w:val="auto"/>
        </w:rPr>
        <w:t>The Company’s accounts receivables are $1.1 million and $1.3 million, respectively, at March 31, 2025 and December 31, 2024, net of allowance for expected credit losses of $0.4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440" w:firstLine="7"/>
        <w:spacing w:after="0" w:line="517" w:lineRule="auto"/>
        <w:tabs>
          <w:tab w:leader="none" w:pos="145"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Recently Issued Accounting Standards New Accounting Standards Recently Adopted</w:t>
      </w:r>
    </w:p>
    <w:p>
      <w:pPr>
        <w:spacing w:after="0" w:line="1" w:lineRule="exact"/>
        <w:rPr>
          <w:sz w:val="20"/>
          <w:szCs w:val="20"/>
          <w:color w:val="auto"/>
        </w:rPr>
      </w:pPr>
    </w:p>
    <w:p>
      <w:pPr>
        <w:jc w:val="both"/>
        <w:ind w:right="640"/>
        <w:spacing w:after="0" w:line="254" w:lineRule="auto"/>
        <w:rPr>
          <w:sz w:val="20"/>
          <w:szCs w:val="20"/>
          <w:color w:val="auto"/>
        </w:rPr>
      </w:pPr>
      <w:r>
        <w:rPr>
          <w:rFonts w:ascii="Times New Roman" w:cs="Times New Roman" w:eastAsia="Times New Roman" w:hAnsi="Times New Roman"/>
          <w:sz w:val="15"/>
          <w:szCs w:val="15"/>
          <w:color w:val="auto"/>
        </w:rPr>
        <w:t xml:space="preserve">The Company adopted Accounting Standards Updates (“ASU”) 2023-07 — Segment Reporting (Topic 280): Improvements to Reportable Segment Disclosures in our annual financial statements for the year ended December 31, 2024. Our comparative segment disclosure in the interim financial statements in this report has been updated to reflect the new disclosure requirements. Refer to Note 7 — </w:t>
      </w:r>
      <w:r>
        <w:rPr>
          <w:rFonts w:ascii="Times New Roman" w:cs="Times New Roman" w:eastAsia="Times New Roman" w:hAnsi="Times New Roman"/>
          <w:sz w:val="15"/>
          <w:szCs w:val="15"/>
          <w:i w:val="1"/>
          <w:iCs w:val="1"/>
          <w:color w:val="auto"/>
        </w:rPr>
        <w:t>Segment Reporting</w:t>
      </w:r>
      <w:r>
        <w:rPr>
          <w:rFonts w:ascii="Times New Roman" w:cs="Times New Roman" w:eastAsia="Times New Roman" w:hAnsi="Times New Roman"/>
          <w:sz w:val="15"/>
          <w:szCs w:val="15"/>
          <w:color w:val="auto"/>
        </w:rPr>
        <w:t xml:space="preserve"> for disclosures required by this ASU.</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Accounting Standards Not Yet Adopted</w:t>
      </w:r>
    </w:p>
    <w:p>
      <w:pPr>
        <w:spacing w:after="0" w:line="14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5"/>
          <w:szCs w:val="15"/>
          <w:color w:val="auto"/>
        </w:rPr>
        <w:t>The following table summarizes accounting pronouncements which we have not yet adopted but will be adopted in upcoming fiscal years. ASU 2023-09 is effective for annual periods beginning after December 15, 2024. We believe the adoption will not have a material impact on our accounting policies, financial position or results of operations but could require additional disclosures. ASU 2024-03 is effective for annual periods beginning after December 15, 2026. We are evaluating the impact ASU 2024-03 will have on our consolidated financial statements and related disclosures. ASU 2025-01 is effective for annual periods beginning after December 15, 2026. We are evaluating the impact ASU 2025-01 will have on our consolidated financial statements and related disclosures.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ASU</w:t>
            </w:r>
          </w:p>
        </w:tc>
        <w:tc>
          <w:tcPr>
            <w:tcW w:w="804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0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Adoption Date</w:t>
            </w:r>
          </w:p>
        </w:tc>
      </w:tr>
      <w:tr>
        <w:trPr>
          <w:trHeight w:val="18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ASU 2023-09</w:t>
            </w: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Income Taxes (Topic 740): Improvements to Income Tax Disclosures</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Fiscal Year 2025</w:t>
            </w:r>
          </w:p>
        </w:tc>
      </w:tr>
      <w:tr>
        <w:trPr>
          <w:trHeight w:val="171"/>
        </w:trPr>
        <w:tc>
          <w:tcPr>
            <w:tcW w:w="1180" w:type="dxa"/>
            <w:vAlign w:val="bottom"/>
          </w:tcPr>
          <w:p>
            <w:pPr>
              <w:spacing w:after="0"/>
              <w:rPr>
                <w:sz w:val="14"/>
                <w:szCs w:val="14"/>
                <w:color w:val="auto"/>
              </w:rPr>
            </w:pPr>
          </w:p>
        </w:tc>
        <w:tc>
          <w:tcPr>
            <w:tcW w:w="8040" w:type="dxa"/>
            <w:vAlign w:val="bottom"/>
          </w:tcPr>
          <w:p>
            <w:pPr>
              <w:ind w:left="340"/>
              <w:spacing w:after="0" w:line="171" w:lineRule="exact"/>
              <w:rPr>
                <w:sz w:val="20"/>
                <w:szCs w:val="20"/>
                <w:color w:val="auto"/>
              </w:rPr>
            </w:pPr>
            <w:r>
              <w:rPr>
                <w:rFonts w:ascii="Times New Roman" w:cs="Times New Roman" w:eastAsia="Times New Roman" w:hAnsi="Times New Roman"/>
                <w:sz w:val="15"/>
                <w:szCs w:val="15"/>
                <w:color w:val="auto"/>
                <w:w w:val="98"/>
              </w:rPr>
              <w:t>Income Statement</w:t>
            </w:r>
            <w:r>
              <w:rPr>
                <w:rFonts w:ascii="Arial" w:cs="Arial" w:eastAsia="Arial" w:hAnsi="Arial"/>
                <w:sz w:val="17"/>
                <w:szCs w:val="17"/>
                <w:color w:val="auto"/>
                <w:w w:val="98"/>
              </w:rPr>
              <w:t>—</w:t>
            </w:r>
            <w:r>
              <w:rPr>
                <w:rFonts w:ascii="Times New Roman" w:cs="Times New Roman" w:eastAsia="Times New Roman" w:hAnsi="Times New Roman"/>
                <w:sz w:val="15"/>
                <w:szCs w:val="15"/>
                <w:color w:val="auto"/>
                <w:w w:val="98"/>
              </w:rPr>
              <w:t>Reporting Comprehensive Income</w:t>
            </w:r>
            <w:r>
              <w:rPr>
                <w:rFonts w:ascii="Arial" w:cs="Arial" w:eastAsia="Arial" w:hAnsi="Arial"/>
                <w:sz w:val="17"/>
                <w:szCs w:val="17"/>
                <w:color w:val="auto"/>
                <w:w w:val="98"/>
              </w:rPr>
              <w:t>—</w:t>
            </w:r>
            <w:r>
              <w:rPr>
                <w:rFonts w:ascii="Times New Roman" w:cs="Times New Roman" w:eastAsia="Times New Roman" w:hAnsi="Times New Roman"/>
                <w:sz w:val="15"/>
                <w:szCs w:val="15"/>
                <w:color w:val="auto"/>
                <w:w w:val="98"/>
              </w:rPr>
              <w:t>Expense Disaggregation Disclosures (Subtopic 220-40): Disaggregation</w:t>
            </w:r>
          </w:p>
        </w:tc>
        <w:tc>
          <w:tcPr>
            <w:tcW w:w="2060" w:type="dxa"/>
            <w:vAlign w:val="bottom"/>
          </w:tcPr>
          <w:p>
            <w:pPr>
              <w:spacing w:after="0"/>
              <w:rPr>
                <w:sz w:val="14"/>
                <w:szCs w:val="14"/>
                <w:color w:val="auto"/>
              </w:rPr>
            </w:pPr>
          </w:p>
        </w:tc>
      </w:tr>
      <w:tr>
        <w:trPr>
          <w:trHeight w:val="189"/>
        </w:trPr>
        <w:tc>
          <w:tcPr>
            <w:tcW w:w="1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ASU 2024-03</w:t>
            </w:r>
          </w:p>
        </w:tc>
        <w:tc>
          <w:tcPr>
            <w:tcW w:w="80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of Income Statement Expenses</w:t>
            </w:r>
          </w:p>
        </w:tc>
        <w:tc>
          <w:tcPr>
            <w:tcW w:w="2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Fiscal Year 2027</w:t>
            </w:r>
          </w:p>
        </w:tc>
      </w:tr>
      <w:tr>
        <w:trPr>
          <w:trHeight w:val="171"/>
        </w:trPr>
        <w:tc>
          <w:tcPr>
            <w:tcW w:w="1180" w:type="dxa"/>
            <w:vAlign w:val="bottom"/>
            <w:shd w:val="clear" w:color="auto" w:fill="CCEEFF"/>
          </w:tcPr>
          <w:p>
            <w:pPr>
              <w:spacing w:after="0"/>
              <w:rPr>
                <w:sz w:val="14"/>
                <w:szCs w:val="14"/>
                <w:color w:val="auto"/>
              </w:rPr>
            </w:pPr>
          </w:p>
        </w:tc>
        <w:tc>
          <w:tcPr>
            <w:tcW w:w="80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5"/>
                <w:szCs w:val="15"/>
                <w:color w:val="auto"/>
                <w:w w:val="99"/>
              </w:rPr>
              <w:t>Income Statement</w:t>
            </w:r>
            <w:r>
              <w:rPr>
                <w:rFonts w:ascii="Arial" w:cs="Arial" w:eastAsia="Arial" w:hAnsi="Arial"/>
                <w:sz w:val="17"/>
                <w:szCs w:val="17"/>
                <w:color w:val="auto"/>
                <w:w w:val="99"/>
              </w:rPr>
              <w:t>—</w:t>
            </w:r>
            <w:r>
              <w:rPr>
                <w:rFonts w:ascii="Times New Roman" w:cs="Times New Roman" w:eastAsia="Times New Roman" w:hAnsi="Times New Roman"/>
                <w:sz w:val="15"/>
                <w:szCs w:val="15"/>
                <w:color w:val="auto"/>
                <w:w w:val="99"/>
              </w:rPr>
              <w:t>Reporting Comprehensive Income</w:t>
            </w:r>
            <w:r>
              <w:rPr>
                <w:rFonts w:ascii="Arial" w:cs="Arial" w:eastAsia="Arial" w:hAnsi="Arial"/>
                <w:sz w:val="17"/>
                <w:szCs w:val="17"/>
                <w:color w:val="auto"/>
                <w:w w:val="99"/>
              </w:rPr>
              <w:t>—</w:t>
            </w:r>
            <w:r>
              <w:rPr>
                <w:rFonts w:ascii="Times New Roman" w:cs="Times New Roman" w:eastAsia="Times New Roman" w:hAnsi="Times New Roman"/>
                <w:sz w:val="15"/>
                <w:szCs w:val="15"/>
                <w:color w:val="auto"/>
                <w:w w:val="99"/>
              </w:rPr>
              <w:t>Expense Disaggregation Disclosures (Subtopic 220-40): Clarifying the</w:t>
            </w:r>
          </w:p>
        </w:tc>
        <w:tc>
          <w:tcPr>
            <w:tcW w:w="2060" w:type="dxa"/>
            <w:vAlign w:val="bottom"/>
            <w:shd w:val="clear" w:color="auto" w:fill="CCEEFF"/>
          </w:tcPr>
          <w:p>
            <w:pPr>
              <w:spacing w:after="0"/>
              <w:rPr>
                <w:sz w:val="14"/>
                <w:szCs w:val="14"/>
                <w:color w:val="auto"/>
              </w:rPr>
            </w:pPr>
          </w:p>
        </w:tc>
      </w:tr>
      <w:tr>
        <w:trPr>
          <w:trHeight w:val="18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ASU 2025-01</w:t>
            </w: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Effective Date</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Fiscal Year 2027</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Merchandise Warranties</w:t>
      </w:r>
    </w:p>
    <w:p>
      <w:pPr>
        <w:spacing w:after="0" w:line="14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5"/>
          <w:szCs w:val="15"/>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A reconciliation of the changes in our limited merchandise warranty liability is as follows (amounts in thousands):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42"/>
        </w:trPr>
        <w:tc>
          <w:tcPr>
            <w:tcW w:w="7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60" w:type="dxa"/>
            <w:vAlign w:val="bottom"/>
          </w:tcPr>
          <w:p>
            <w:pPr>
              <w:spacing w:after="0"/>
              <w:rPr>
                <w:sz w:val="24"/>
                <w:szCs w:val="24"/>
                <w:color w:val="auto"/>
              </w:rPr>
            </w:pPr>
          </w:p>
        </w:tc>
      </w:tr>
      <w:tr>
        <w:trPr>
          <w:trHeight w:val="191"/>
        </w:trPr>
        <w:tc>
          <w:tcPr>
            <w:tcW w:w="7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5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beginning of period</w:t>
            </w:r>
          </w:p>
        </w:tc>
        <w:tc>
          <w:tcPr>
            <w:tcW w:w="106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4"/>
              </w:rPr>
              <w:t>7,627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center"/>
              <w:ind w:left="527"/>
              <w:spacing w:after="0"/>
              <w:rPr>
                <w:sz w:val="20"/>
                <w:szCs w:val="20"/>
                <w:color w:val="auto"/>
              </w:rPr>
            </w:pPr>
            <w:r>
              <w:rPr>
                <w:rFonts w:ascii="Times New Roman" w:cs="Times New Roman" w:eastAsia="Times New Roman" w:hAnsi="Times New Roman"/>
                <w:sz w:val="15"/>
                <w:szCs w:val="15"/>
                <w:color w:val="auto"/>
              </w:rPr>
              <w:t>7,084</w:t>
            </w:r>
          </w:p>
        </w:tc>
      </w:tr>
      <w:tr>
        <w:trPr>
          <w:trHeight w:val="185"/>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Accruals during the period</w:t>
            </w:r>
          </w:p>
        </w:tc>
        <w:tc>
          <w:tcPr>
            <w:tcW w:w="1060" w:type="dxa"/>
            <w:vAlign w:val="bottom"/>
          </w:tcPr>
          <w:p>
            <w:pPr>
              <w:spacing w:after="0"/>
              <w:rPr>
                <w:sz w:val="16"/>
                <w:szCs w:val="16"/>
                <w:color w:val="auto"/>
              </w:rPr>
            </w:pPr>
          </w:p>
        </w:tc>
        <w:tc>
          <w:tcPr>
            <w:tcW w:w="660" w:type="dxa"/>
            <w:vAlign w:val="bottom"/>
          </w:tcPr>
          <w:p>
            <w:pPr>
              <w:jc w:val="center"/>
              <w:ind w:left="147"/>
              <w:spacing w:after="0"/>
              <w:rPr>
                <w:sz w:val="20"/>
                <w:szCs w:val="20"/>
                <w:color w:val="auto"/>
              </w:rPr>
            </w:pPr>
            <w:r>
              <w:rPr>
                <w:rFonts w:ascii="Times New Roman" w:cs="Times New Roman" w:eastAsia="Times New Roman" w:hAnsi="Times New Roman"/>
                <w:sz w:val="15"/>
                <w:szCs w:val="15"/>
                <w:color w:val="auto"/>
                <w:w w:val="94"/>
              </w:rPr>
              <w:t>2,949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center"/>
              <w:ind w:left="527"/>
              <w:spacing w:after="0"/>
              <w:rPr>
                <w:sz w:val="20"/>
                <w:szCs w:val="20"/>
                <w:color w:val="auto"/>
              </w:rPr>
            </w:pPr>
            <w:r>
              <w:rPr>
                <w:rFonts w:ascii="Times New Roman" w:cs="Times New Roman" w:eastAsia="Times New Roman" w:hAnsi="Times New Roman"/>
                <w:sz w:val="15"/>
                <w:szCs w:val="15"/>
                <w:color w:val="auto"/>
              </w:rPr>
              <w:t>3,080</w:t>
            </w:r>
          </w:p>
        </w:tc>
      </w:tr>
      <w:tr>
        <w:trPr>
          <w:trHeight w:val="18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Settlements during the period</w:t>
            </w:r>
          </w:p>
        </w:tc>
        <w:tc>
          <w:tcPr>
            <w:tcW w:w="10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ind w:left="127"/>
              <w:spacing w:after="0"/>
              <w:rPr>
                <w:sz w:val="20"/>
                <w:szCs w:val="20"/>
                <w:color w:val="auto"/>
              </w:rPr>
            </w:pPr>
            <w:r>
              <w:rPr>
                <w:rFonts w:ascii="Times New Roman" w:cs="Times New Roman" w:eastAsia="Times New Roman" w:hAnsi="Times New Roman"/>
                <w:sz w:val="15"/>
                <w:szCs w:val="15"/>
                <w:color w:val="auto"/>
                <w:w w:val="95"/>
              </w:rPr>
              <w:t>(2,905)</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left="507"/>
              <w:spacing w:after="0"/>
              <w:rPr>
                <w:sz w:val="20"/>
                <w:szCs w:val="20"/>
                <w:color w:val="auto"/>
              </w:rPr>
            </w:pPr>
            <w:r>
              <w:rPr>
                <w:rFonts w:ascii="Times New Roman" w:cs="Times New Roman" w:eastAsia="Times New Roman" w:hAnsi="Times New Roman"/>
                <w:sz w:val="15"/>
                <w:szCs w:val="15"/>
                <w:color w:val="auto"/>
              </w:rPr>
              <w:t>(3,136)</w:t>
            </w:r>
          </w:p>
        </w:tc>
      </w:tr>
      <w:tr>
        <w:trPr>
          <w:trHeight w:val="176"/>
        </w:trPr>
        <w:tc>
          <w:tcPr>
            <w:tcW w:w="7560" w:type="dxa"/>
            <w:vAlign w:val="bottom"/>
          </w:tcPr>
          <w:p>
            <w:pPr>
              <w:ind w:left="20"/>
              <w:spacing w:after="0" w:line="176" w:lineRule="exact"/>
              <w:rPr>
                <w:sz w:val="20"/>
                <w:szCs w:val="20"/>
                <w:color w:val="auto"/>
              </w:rPr>
            </w:pPr>
            <w:r>
              <w:rPr>
                <w:rFonts w:ascii="Times New Roman" w:cs="Times New Roman" w:eastAsia="Times New Roman" w:hAnsi="Times New Roman"/>
                <w:sz w:val="15"/>
                <w:szCs w:val="15"/>
                <w:color w:val="auto"/>
              </w:rPr>
              <w:t>Balance as of end of the period</w:t>
            </w:r>
            <w:r>
              <w:rPr>
                <w:rFonts w:ascii="Times New Roman" w:cs="Times New Roman" w:eastAsia="Times New Roman" w:hAnsi="Times New Roman"/>
                <w:sz w:val="18"/>
                <w:szCs w:val="18"/>
                <w:color w:val="auto"/>
                <w:vertAlign w:val="superscript"/>
              </w:rPr>
              <w:t>(1)</w:t>
            </w:r>
          </w:p>
        </w:tc>
        <w:tc>
          <w:tcPr>
            <w:tcW w:w="1060" w:type="dxa"/>
            <w:vAlign w:val="bottom"/>
            <w:tcBorders>
              <w:bottom w:val="single" w:sz="8" w:color="auto"/>
            </w:tcBorders>
          </w:tcPr>
          <w:p>
            <w:pPr>
              <w:jc w:val="right"/>
              <w:ind w:right="88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center"/>
              <w:ind w:left="147"/>
              <w:spacing w:after="0"/>
              <w:rPr>
                <w:sz w:val="20"/>
                <w:szCs w:val="20"/>
                <w:color w:val="auto"/>
              </w:rPr>
            </w:pPr>
            <w:r>
              <w:rPr>
                <w:rFonts w:ascii="Times New Roman" w:cs="Times New Roman" w:eastAsia="Times New Roman" w:hAnsi="Times New Roman"/>
                <w:sz w:val="15"/>
                <w:szCs w:val="15"/>
                <w:color w:val="auto"/>
                <w:w w:val="94"/>
              </w:rPr>
              <w:t>7,671</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center"/>
              <w:ind w:left="527"/>
              <w:spacing w:after="0"/>
              <w:rPr>
                <w:sz w:val="20"/>
                <w:szCs w:val="20"/>
                <w:color w:val="auto"/>
              </w:rPr>
            </w:pPr>
            <w:r>
              <w:rPr>
                <w:rFonts w:ascii="Times New Roman" w:cs="Times New Roman" w:eastAsia="Times New Roman" w:hAnsi="Times New Roman"/>
                <w:sz w:val="15"/>
                <w:szCs w:val="15"/>
                <w:color w:val="auto"/>
              </w:rPr>
              <w:t>7,028</w:t>
            </w:r>
          </w:p>
        </w:tc>
      </w:tr>
      <w:tr>
        <w:trPr>
          <w:trHeight w:val="20"/>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
        </w:trPr>
        <w:tc>
          <w:tcPr>
            <w:tcW w:w="756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r>
    </w:tbl>
    <w:p>
      <w:pPr>
        <w:spacing w:after="0" w:line="47" w:lineRule="exact"/>
        <w:rPr>
          <w:sz w:val="20"/>
          <w:szCs w:val="20"/>
          <w:color w:val="auto"/>
        </w:rPr>
      </w:pPr>
    </w:p>
    <w:p>
      <w:pPr>
        <w:ind w:left="120" w:hanging="113"/>
        <w:spacing w:after="0"/>
        <w:tabs>
          <w:tab w:leader="none" w:pos="120"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$4.4 million and $4.0 million were recorded in accrued other expenses at March 31, 2025 and March 31, 2024, respectively. The remainder is recorded in other long-term liabilities on our condensed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recorded accruals during the periods presented in the table above, primarily to reflect charges that relate to limited merchandise warranties issued during the respective periods.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Debt</w:t>
      </w:r>
    </w:p>
    <w:p>
      <w:pPr>
        <w:spacing w:after="0" w:line="14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On November 8, 2021, the Company entered into a revolving credit facility (the “2021 Credit Facility”). The 2021 Credit Facility provides for, among other things, (1) a revolving credit facility in an aggregate amount not to exceed at any time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March 31, 2024), whereas the applicable margin is adjusted quarterly based on the Company’s consolidated rent-adjusted total leverage ratio.</w:t>
      </w:r>
    </w:p>
    <w:p>
      <w:pPr>
        <w:spacing w:after="0" w:line="94"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5"/>
          <w:szCs w:val="15"/>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On August 30,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March 31, 2025). The 2021 Credit Facility expires on November 8, 2026.</w:t>
      </w:r>
    </w:p>
    <w:p>
      <w:pPr>
        <w:spacing w:after="0" w:line="1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At March 31, 2025 and December 31, 2024, we had no borrowings on the 2021 Credit Facility. Deferred financing costs related to the 2021 Credit Facility of $0.4 million and $0.4 million as of March 31, 2025 and December 31, 2024, respectively, are recorded in other noncurrent assets on the condensed consolidated balance sheets and will be amortized over the term of the 2021 Credit Facility on a straight-line basis. Accumulated amortization related to deferred financing costs for the 2021 Credit Facility was $0.2 million as of March 31, 2025 and $0.2 million as of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was in compliance with all applicable debt covenants at March 31, 2025 and December 31, 2024, and expects to remain in compliance over the next 12 months.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Leases</w:t>
      </w:r>
    </w:p>
    <w:p>
      <w:pPr>
        <w:spacing w:after="0" w:line="14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5"/>
          <w:szCs w:val="15"/>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The most significant obligations under these lease agreements require the payments of periodic rentals, real estate taxes, insurance and maintenance costs. Depending on particular Showroom leases, the Company can also owe a percentage rent payment if particular Showrooms meet certain sales figures. Certain prior year amounts have been reclassified to conform to the current year presentation.</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amounts recognized in our condensed consolidated balance sheets related to leases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Classification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120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65"/>
        </w:trPr>
        <w:tc>
          <w:tcPr>
            <w:tcW w:w="306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Assets</w:t>
            </w:r>
          </w:p>
        </w:tc>
        <w:tc>
          <w:tcPr>
            <w:tcW w:w="4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right-of-use assets</w:t>
            </w:r>
          </w:p>
        </w:tc>
        <w:tc>
          <w:tcPr>
            <w:tcW w:w="1200" w:type="dxa"/>
            <w:vAlign w:val="bottom"/>
          </w:tcPr>
          <w:p>
            <w:pPr>
              <w:jc w:val="right"/>
              <w:ind w:right="102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0"/>
              </w:rPr>
              <w:t>345,661</w:t>
            </w:r>
          </w:p>
        </w:tc>
        <w:tc>
          <w:tcPr>
            <w:tcW w:w="1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322,302</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assets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right-of-use assets</w:t>
            </w:r>
          </w:p>
        </w:tc>
        <w:tc>
          <w:tcPr>
            <w:tcW w:w="12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34,608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36,105</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leased assets</w:t>
            </w:r>
          </w:p>
        </w:tc>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ind w:right="102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0"/>
              </w:rPr>
              <w:t>380,269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358,407</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3060" w:type="dxa"/>
            <w:vAlign w:val="bottom"/>
            <w:shd w:val="clear" w:color="auto" w:fill="CCEEFF"/>
          </w:tcPr>
          <w:p>
            <w:pPr>
              <w:spacing w:after="0"/>
              <w:rPr>
                <w:sz w:val="8"/>
                <w:szCs w:val="8"/>
                <w:color w:val="auto"/>
              </w:rPr>
            </w:pPr>
          </w:p>
        </w:tc>
        <w:tc>
          <w:tcPr>
            <w:tcW w:w="4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operating leases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200" w:type="dxa"/>
            <w:vAlign w:val="bottom"/>
            <w:shd w:val="clear" w:color="auto" w:fill="CCEEFF"/>
          </w:tcPr>
          <w:p>
            <w:pPr>
              <w:jc w:val="right"/>
              <w:ind w:right="102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42,247</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Non-current operating leases</w:t>
            </w: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long-term</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0"/>
              </w:rPr>
              <w:t>422,848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402,916</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4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0"/>
              </w:rPr>
              <w:t>471,764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445,163</w:t>
            </w:r>
          </w:p>
        </w:tc>
        <w:tc>
          <w:tcPr>
            <w:tcW w:w="0" w:type="dxa"/>
            <w:vAlign w:val="bottom"/>
          </w:tcPr>
          <w:p>
            <w:pPr>
              <w:spacing w:after="0"/>
              <w:rPr>
                <w:sz w:val="1"/>
                <w:szCs w:val="1"/>
                <w:color w:val="auto"/>
              </w:rPr>
            </w:pPr>
          </w:p>
        </w:tc>
      </w:tr>
      <w:tr>
        <w:trPr>
          <w:trHeight w:val="218"/>
        </w:trPr>
        <w:tc>
          <w:tcPr>
            <w:tcW w:w="30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finance leases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financing lease liabilities</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Non-current finance leases</w:t>
            </w: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Financing lease liabilities, long-term</w:t>
            </w: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53,312</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finance lease liabilities</w:t>
            </w:r>
          </w:p>
        </w:tc>
        <w:tc>
          <w:tcPr>
            <w:tcW w:w="4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54,336</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 liabilities</w:t>
            </w:r>
          </w:p>
        </w:tc>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ind w:right="1027"/>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0"/>
              </w:rPr>
              <w:t>524,914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499,499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components of lease cost recognized within our condensed consolidated statements of comprehensive income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1060" w:type="dxa"/>
            <w:vAlign w:val="bottom"/>
          </w:tcPr>
          <w:p>
            <w:pPr>
              <w:spacing w:after="0"/>
              <w:rPr>
                <w:sz w:val="16"/>
                <w:szCs w:val="16"/>
                <w:color w:val="auto"/>
              </w:rPr>
            </w:pPr>
          </w:p>
        </w:tc>
      </w:tr>
      <w:tr>
        <w:trPr>
          <w:trHeight w:val="191"/>
        </w:trPr>
        <w:tc>
          <w:tcPr>
            <w:tcW w:w="7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6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65"/>
        </w:trPr>
        <w:tc>
          <w:tcPr>
            <w:tcW w:w="76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Lease costs: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5"/>
        </w:trPr>
        <w:tc>
          <w:tcPr>
            <w:tcW w:w="7640" w:type="dxa"/>
            <w:vAlign w:val="bottom"/>
          </w:tcPr>
          <w:p>
            <w:pPr>
              <w:ind w:left="20"/>
              <w:spacing w:after="0" w:line="185" w:lineRule="exact"/>
              <w:rPr>
                <w:sz w:val="20"/>
                <w:szCs w:val="20"/>
                <w:color w:val="auto"/>
              </w:rPr>
            </w:pPr>
            <w:r>
              <w:rPr>
                <w:rFonts w:ascii="Times New Roman" w:cs="Times New Roman" w:eastAsia="Times New Roman" w:hAnsi="Times New Roman"/>
                <w:sz w:val="15"/>
                <w:szCs w:val="15"/>
                <w:color w:val="auto"/>
              </w:rPr>
              <w:t>Operating lease costs</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0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16,444</w:t>
            </w:r>
          </w:p>
        </w:tc>
        <w:tc>
          <w:tcPr>
            <w:tcW w:w="80" w:type="dxa"/>
            <w:vAlign w:val="bottom"/>
          </w:tcPr>
          <w:p>
            <w:pPr>
              <w:spacing w:after="0"/>
              <w:rPr>
                <w:sz w:val="16"/>
                <w:szCs w:val="16"/>
                <w:color w:val="auto"/>
              </w:rPr>
            </w:pPr>
          </w:p>
        </w:tc>
        <w:tc>
          <w:tcPr>
            <w:tcW w:w="66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14,686</w:t>
            </w:r>
          </w:p>
        </w:tc>
      </w:tr>
      <w:tr>
        <w:trPr>
          <w:trHeight w:val="18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costs</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7640" w:type="dxa"/>
            <w:vAlign w:val="bottom"/>
          </w:tcPr>
          <w:p>
            <w:pPr>
              <w:ind w:left="100"/>
              <w:spacing w:after="0" w:line="185" w:lineRule="exact"/>
              <w:rPr>
                <w:sz w:val="20"/>
                <w:szCs w:val="20"/>
                <w:color w:val="auto"/>
              </w:rPr>
            </w:pPr>
            <w:r>
              <w:rPr>
                <w:rFonts w:ascii="Times New Roman" w:cs="Times New Roman" w:eastAsia="Times New Roman" w:hAnsi="Times New Roman"/>
                <w:sz w:val="15"/>
                <w:szCs w:val="15"/>
                <w:color w:val="auto"/>
              </w:rPr>
              <w:t>Amortization of right-of-use assets</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r>
      <w:tr>
        <w:trPr>
          <w:trHeight w:val="185"/>
        </w:trPr>
        <w:tc>
          <w:tcPr>
            <w:tcW w:w="7640" w:type="dxa"/>
            <w:vAlign w:val="bottom"/>
            <w:shd w:val="clear" w:color="auto" w:fill="CCEEFF"/>
          </w:tcPr>
          <w:p>
            <w:pPr>
              <w:ind w:left="100"/>
              <w:spacing w:after="0" w:line="185" w:lineRule="exact"/>
              <w:rPr>
                <w:sz w:val="20"/>
                <w:szCs w:val="20"/>
                <w:color w:val="auto"/>
              </w:rPr>
            </w:pPr>
            <w:r>
              <w:rPr>
                <w:rFonts w:ascii="Times New Roman" w:cs="Times New Roman" w:eastAsia="Times New Roman" w:hAnsi="Times New Roman"/>
                <w:sz w:val="15"/>
                <w:szCs w:val="15"/>
                <w:color w:val="auto"/>
              </w:rPr>
              <w:t>Interest expense on lease liabilities</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w:t>
            </w:r>
          </w:p>
        </w:tc>
      </w:tr>
      <w:tr>
        <w:trPr>
          <w:trHeight w:val="185"/>
        </w:trPr>
        <w:tc>
          <w:tcPr>
            <w:tcW w:w="7640" w:type="dxa"/>
            <w:vAlign w:val="bottom"/>
          </w:tcPr>
          <w:p>
            <w:pPr>
              <w:ind w:left="20"/>
              <w:spacing w:after="0" w:line="185" w:lineRule="exact"/>
              <w:rPr>
                <w:sz w:val="20"/>
                <w:szCs w:val="20"/>
                <w:color w:val="auto"/>
              </w:rPr>
            </w:pPr>
            <w:r>
              <w:rPr>
                <w:rFonts w:ascii="Times New Roman" w:cs="Times New Roman" w:eastAsia="Times New Roman" w:hAnsi="Times New Roman"/>
                <w:sz w:val="15"/>
                <w:szCs w:val="15"/>
                <w:color w:val="auto"/>
              </w:rPr>
              <w:t>Variable lease costs</w:t>
            </w:r>
            <w:r>
              <w:rPr>
                <w:rFonts w:ascii="Times New Roman" w:cs="Times New Roman" w:eastAsia="Times New Roman" w:hAnsi="Times New Roman"/>
                <w:sz w:val="18"/>
                <w:szCs w:val="18"/>
                <w:color w:val="auto"/>
                <w:vertAlign w:val="superscript"/>
              </w:rPr>
              <w:t>(3)</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9,488</w:t>
            </w:r>
          </w:p>
        </w:tc>
      </w:tr>
      <w:tr>
        <w:trPr>
          <w:trHeight w:val="185"/>
        </w:trPr>
        <w:tc>
          <w:tcPr>
            <w:tcW w:w="7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5"/>
                <w:szCs w:val="15"/>
                <w:color w:val="auto"/>
              </w:rPr>
              <w:t>Short term lease costs</w:t>
            </w:r>
            <w:r>
              <w:rPr>
                <w:rFonts w:ascii="Times New Roman" w:cs="Times New Roman" w:eastAsia="Times New Roman" w:hAnsi="Times New Roman"/>
                <w:sz w:val="18"/>
                <w:szCs w:val="18"/>
                <w:color w:val="auto"/>
                <w:vertAlign w:val="superscript"/>
              </w:rPr>
              <w:t>(4)</w:t>
            </w: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6"/>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lease costs</w:t>
            </w:r>
          </w:p>
        </w:tc>
        <w:tc>
          <w:tcPr>
            <w:tcW w:w="1060" w:type="dxa"/>
            <w:vAlign w:val="bottom"/>
            <w:tcBorders>
              <w:bottom w:val="single" w:sz="8" w:color="auto"/>
            </w:tcBorders>
          </w:tcPr>
          <w:p>
            <w:pPr>
              <w:jc w:val="right"/>
              <w:ind w:right="90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30,621</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26,119</w:t>
            </w:r>
          </w:p>
        </w:tc>
      </w:tr>
      <w:tr>
        <w:trPr>
          <w:trHeight w:val="20"/>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
        </w:trPr>
        <w:tc>
          <w:tcPr>
            <w:tcW w:w="764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60" w:type="dxa"/>
            <w:vAlign w:val="bottom"/>
          </w:tcPr>
          <w:p>
            <w:pPr>
              <w:spacing w:after="0"/>
              <w:rPr>
                <w:sz w:val="3"/>
                <w:szCs w:val="3"/>
                <w:color w:val="auto"/>
              </w:rPr>
            </w:pPr>
          </w:p>
        </w:tc>
      </w:tr>
    </w:tbl>
    <w:p>
      <w:pPr>
        <w:spacing w:after="0" w:line="48" w:lineRule="exact"/>
        <w:rPr>
          <w:sz w:val="20"/>
          <w:szCs w:val="20"/>
          <w:color w:val="auto"/>
        </w:rPr>
      </w:pPr>
    </w:p>
    <w:p>
      <w:pPr>
        <w:ind w:right="100" w:firstLine="7"/>
        <w:spacing w:after="0" w:line="253" w:lineRule="auto"/>
        <w:tabs>
          <w:tab w:leader="none" w:pos="117" w:val="left"/>
        </w:tabs>
        <w:numPr>
          <w:ilvl w:val="0"/>
          <w:numId w:val="5"/>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Operating lease costs and amortization of finance lease right-of-use assets are included in cost of goods sold or selling, general and administrative expenses on the condensed consolidated statements of comprehensive income based on our accounting policy.</w:t>
      </w:r>
    </w:p>
    <w:p>
      <w:pPr>
        <w:ind w:left="120" w:hanging="113"/>
        <w:spacing w:after="0" w:line="211" w:lineRule="auto"/>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Included in interest income, net on the condensed consolidated statements of comprehensive income.</w:t>
      </w:r>
    </w:p>
    <w:p>
      <w:pPr>
        <w:spacing w:after="0" w:line="4" w:lineRule="exact"/>
        <w:rPr>
          <w:rFonts w:ascii="Times New Roman" w:cs="Times New Roman" w:eastAsia="Times New Roman" w:hAnsi="Times New Roman"/>
          <w:sz w:val="14"/>
          <w:szCs w:val="14"/>
          <w:color w:val="auto"/>
          <w:vertAlign w:val="superscript"/>
        </w:rPr>
      </w:pPr>
    </w:p>
    <w:p>
      <w:pPr>
        <w:ind w:right="40" w:firstLine="7"/>
        <w:spacing w:after="0" w:line="223" w:lineRule="auto"/>
        <w:tabs>
          <w:tab w:leader="none" w:pos="117"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spacing w:after="0" w:line="1" w:lineRule="exact"/>
        <w:rPr>
          <w:rFonts w:ascii="Times New Roman" w:cs="Times New Roman" w:eastAsia="Times New Roman" w:hAnsi="Times New Roman"/>
          <w:sz w:val="14"/>
          <w:szCs w:val="14"/>
          <w:color w:val="auto"/>
          <w:vertAlign w:val="superscript"/>
        </w:rPr>
      </w:pPr>
    </w:p>
    <w:p>
      <w:pPr>
        <w:ind w:firstLine="7"/>
        <w:spacing w:after="0" w:line="252" w:lineRule="auto"/>
        <w:tabs>
          <w:tab w:leader="none" w:pos="117" w:val="left"/>
        </w:tabs>
        <w:numPr>
          <w:ilvl w:val="0"/>
          <w:numId w:val="5"/>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Represents leases with an initial term of 12 months or less which are not recorded on the balance sheet and instead expensed on a straight-line basis over the lease term, excluding expenses relating to leases with a lease term of one month or less.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5"/>
          <w:szCs w:val="15"/>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80" w:type="dxa"/>
            <w:vAlign w:val="bottom"/>
            <w:gridSpan w:val="3"/>
          </w:tcPr>
          <w:p>
            <w:pPr>
              <w:jc w:val="center"/>
              <w:ind w:left="987"/>
              <w:spacing w:after="0"/>
              <w:rPr>
                <w:sz w:val="20"/>
                <w:szCs w:val="20"/>
                <w:color w:val="auto"/>
              </w:rPr>
            </w:pPr>
            <w:r>
              <w:rPr>
                <w:rFonts w:ascii="Times New Roman" w:cs="Times New Roman" w:eastAsia="Times New Roman" w:hAnsi="Times New Roman"/>
                <w:sz w:val="15"/>
                <w:szCs w:val="15"/>
                <w:b w:val="1"/>
                <w:bCs w:val="1"/>
                <w:color w:val="auto"/>
                <w:w w:val="95"/>
              </w:rPr>
              <w:t>Three months ended</w:t>
            </w:r>
          </w:p>
        </w:tc>
        <w:tc>
          <w:tcPr>
            <w:tcW w:w="1060" w:type="dxa"/>
            <w:vAlign w:val="bottom"/>
          </w:tcPr>
          <w:p>
            <w:pPr>
              <w:spacing w:after="0"/>
              <w:rPr>
                <w:sz w:val="16"/>
                <w:szCs w:val="16"/>
                <w:color w:val="auto"/>
              </w:rPr>
            </w:pPr>
          </w:p>
        </w:tc>
      </w:tr>
      <w:tr>
        <w:trPr>
          <w:trHeight w:val="191"/>
        </w:trPr>
        <w:tc>
          <w:tcPr>
            <w:tcW w:w="7680" w:type="dxa"/>
            <w:vAlign w:val="bottom"/>
          </w:tcPr>
          <w:p>
            <w:pPr>
              <w:spacing w:after="0"/>
              <w:rPr>
                <w:sz w:val="16"/>
                <w:szCs w:val="16"/>
                <w:color w:val="auto"/>
              </w:rPr>
            </w:pPr>
          </w:p>
        </w:tc>
        <w:tc>
          <w:tcPr>
            <w:tcW w:w="2480" w:type="dxa"/>
            <w:vAlign w:val="bottom"/>
            <w:tcBorders>
              <w:bottom w:val="single" w:sz="8" w:color="auto"/>
            </w:tcBorders>
            <w:gridSpan w:val="3"/>
          </w:tcPr>
          <w:p>
            <w:pPr>
              <w:jc w:val="center"/>
              <w:ind w:left="987"/>
              <w:spacing w:after="0"/>
              <w:rPr>
                <w:sz w:val="20"/>
                <w:szCs w:val="20"/>
                <w:color w:val="auto"/>
              </w:rPr>
            </w:pPr>
            <w:r>
              <w:rPr>
                <w:rFonts w:ascii="Times New Roman" w:cs="Times New Roman" w:eastAsia="Times New Roman" w:hAnsi="Times New Roman"/>
                <w:sz w:val="15"/>
                <w:szCs w:val="15"/>
                <w:b w:val="1"/>
                <w:bCs w:val="1"/>
                <w:color w:val="auto"/>
                <w:w w:val="94"/>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Remaining Lease Term (In Years)</w:t>
            </w:r>
          </w:p>
        </w:tc>
        <w:tc>
          <w:tcPr>
            <w:tcW w:w="172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w:t>
            </w: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w:t>
            </w:r>
          </w:p>
        </w:tc>
      </w:tr>
    </w:tbl>
    <w:p>
      <w:pPr>
        <w:spacing w:after="0" w:line="19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5"/>
          </w:tcPr>
          <w:p>
            <w:pPr>
              <w:jc w:val="right"/>
              <w:ind w:right="114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146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0" w:type="dxa"/>
            <w:vAlign w:val="bottom"/>
          </w:tcPr>
          <w:p>
            <w:pPr>
              <w:spacing w:after="0"/>
              <w:rPr>
                <w:sz w:val="1"/>
                <w:szCs w:val="1"/>
                <w:color w:val="auto"/>
              </w:rPr>
            </w:pPr>
          </w:p>
        </w:tc>
      </w:tr>
      <w:tr>
        <w:trPr>
          <w:trHeight w:val="176"/>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Discount Rate</w:t>
            </w:r>
          </w:p>
        </w:tc>
        <w:tc>
          <w:tcPr>
            <w:tcW w:w="4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76"/>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w w:val="98"/>
              </w:rPr>
              <w:t>6.04 %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6.04 %</w:t>
            </w:r>
          </w:p>
        </w:tc>
        <w:tc>
          <w:tcPr>
            <w:tcW w:w="0" w:type="dxa"/>
            <w:vAlign w:val="bottom"/>
          </w:tcPr>
          <w:p>
            <w:pPr>
              <w:spacing w:after="0"/>
              <w:rPr>
                <w:sz w:val="1"/>
                <w:szCs w:val="1"/>
                <w:color w:val="auto"/>
              </w:rPr>
            </w:pPr>
          </w:p>
        </w:tc>
      </w:tr>
      <w:tr>
        <w:trPr>
          <w:trHeight w:val="18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Finance leases</w:t>
            </w: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1100"/>
              <w:spacing w:after="0"/>
              <w:rPr>
                <w:sz w:val="20"/>
                <w:szCs w:val="20"/>
                <w:color w:val="auto"/>
              </w:rPr>
            </w:pPr>
            <w:r>
              <w:rPr>
                <w:rFonts w:ascii="Times New Roman" w:cs="Times New Roman" w:eastAsia="Times New Roman" w:hAnsi="Times New Roman"/>
                <w:sz w:val="15"/>
                <w:szCs w:val="15"/>
                <w:color w:val="auto"/>
                <w:w w:val="98"/>
              </w:rPr>
              <w:t>9.67 %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9.64 %</w:t>
            </w:r>
          </w:p>
        </w:tc>
        <w:tc>
          <w:tcPr>
            <w:tcW w:w="0" w:type="dxa"/>
            <w:vAlign w:val="bottom"/>
          </w:tcPr>
          <w:p>
            <w:pPr>
              <w:spacing w:after="0"/>
              <w:rPr>
                <w:sz w:val="1"/>
                <w:szCs w:val="1"/>
                <w:color w:val="auto"/>
              </w:rPr>
            </w:pPr>
          </w:p>
        </w:tc>
      </w:tr>
      <w:tr>
        <w:trPr>
          <w:trHeight w:val="388"/>
        </w:trPr>
        <w:tc>
          <w:tcPr>
            <w:tcW w:w="5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Future lease liabilities at March 31, 2025 are as follows (amounts in thousands):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184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Operating Lease Liabilities</w:t>
            </w:r>
          </w:p>
        </w:tc>
        <w:tc>
          <w:tcPr>
            <w:tcW w:w="100" w:type="dxa"/>
            <w:vAlign w:val="bottom"/>
          </w:tcPr>
          <w:p>
            <w:pPr>
              <w:spacing w:after="0"/>
              <w:rPr>
                <w:sz w:val="24"/>
                <w:szCs w:val="24"/>
                <w:color w:val="auto"/>
              </w:rPr>
            </w:pPr>
          </w:p>
        </w:tc>
        <w:tc>
          <w:tcPr>
            <w:tcW w:w="1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5"/>
              </w:rPr>
              <w:t>Finance Lease Liabilities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Total Lease Liabilities</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Remainder of 2025</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60,053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4,027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64,080</w:t>
            </w:r>
          </w:p>
        </w:tc>
        <w:tc>
          <w:tcPr>
            <w:tcW w:w="0" w:type="dxa"/>
            <w:vAlign w:val="bottom"/>
          </w:tcPr>
          <w:p>
            <w:pPr>
              <w:spacing w:after="0"/>
              <w:rPr>
                <w:sz w:val="1"/>
                <w:szCs w:val="1"/>
                <w:color w:val="auto"/>
              </w:rPr>
            </w:pPr>
          </w:p>
        </w:tc>
      </w:tr>
      <w:tr>
        <w:trPr>
          <w:trHeight w:val="185"/>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79,490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85,318</w:t>
            </w: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73,665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79,576</w:t>
            </w:r>
          </w:p>
        </w:tc>
        <w:tc>
          <w:tcPr>
            <w:tcW w:w="0" w:type="dxa"/>
            <w:vAlign w:val="bottom"/>
          </w:tcPr>
          <w:p>
            <w:pPr>
              <w:spacing w:after="0"/>
              <w:rPr>
                <w:sz w:val="1"/>
                <w:szCs w:val="1"/>
                <w:color w:val="auto"/>
              </w:rPr>
            </w:pPr>
          </w:p>
        </w:tc>
      </w:tr>
      <w:tr>
        <w:trPr>
          <w:trHeight w:val="185"/>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67,568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5,635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73,203</w:t>
            </w: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64,541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5,224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69,765</w:t>
            </w:r>
          </w:p>
        </w:tc>
        <w:tc>
          <w:tcPr>
            <w:tcW w:w="0" w:type="dxa"/>
            <w:vAlign w:val="bottom"/>
          </w:tcPr>
          <w:p>
            <w:pPr>
              <w:spacing w:after="0"/>
              <w:rPr>
                <w:sz w:val="1"/>
                <w:szCs w:val="1"/>
                <w:color w:val="auto"/>
              </w:rPr>
            </w:pPr>
          </w:p>
        </w:tc>
      </w:tr>
      <w:tr>
        <w:trPr>
          <w:trHeight w:val="185"/>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59,477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64,701</w:t>
            </w:r>
          </w:p>
        </w:tc>
        <w:tc>
          <w:tcPr>
            <w:tcW w:w="0" w:type="dxa"/>
            <w:vAlign w:val="bottom"/>
          </w:tcPr>
          <w:p>
            <w:pPr>
              <w:spacing w:after="0"/>
              <w:rPr>
                <w:sz w:val="1"/>
                <w:szCs w:val="1"/>
                <w:color w:val="auto"/>
              </w:rPr>
            </w:pPr>
          </w:p>
        </w:tc>
      </w:tr>
      <w:tr>
        <w:trPr>
          <w:trHeight w:val="185"/>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4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220,971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99,488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320,459</w:t>
            </w:r>
          </w:p>
        </w:tc>
        <w:tc>
          <w:tcPr>
            <w:tcW w:w="0" w:type="dxa"/>
            <w:vAlign w:val="bottom"/>
          </w:tcPr>
          <w:p>
            <w:pPr>
              <w:spacing w:after="0"/>
              <w:rPr>
                <w:sz w:val="1"/>
                <w:szCs w:val="1"/>
                <w:color w:val="auto"/>
              </w:rPr>
            </w:pPr>
          </w:p>
        </w:tc>
      </w:tr>
      <w:tr>
        <w:trPr>
          <w:trHeight w:val="176"/>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lease payments</w:t>
            </w:r>
          </w:p>
        </w:tc>
        <w:tc>
          <w:tcPr>
            <w:tcW w:w="4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625,765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131,337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757,102</w:t>
            </w:r>
          </w:p>
        </w:tc>
        <w:tc>
          <w:tcPr>
            <w:tcW w:w="0" w:type="dxa"/>
            <w:vAlign w:val="bottom"/>
          </w:tcPr>
          <w:p>
            <w:pPr>
              <w:spacing w:after="0"/>
              <w:rPr>
                <w:sz w:val="1"/>
                <w:szCs w:val="1"/>
                <w:color w:val="auto"/>
              </w:rPr>
            </w:pPr>
          </w:p>
        </w:tc>
      </w:tr>
      <w:tr>
        <w:trPr>
          <w:trHeight w:val="185"/>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Amounts representing interest</w:t>
            </w:r>
          </w:p>
        </w:tc>
        <w:tc>
          <w:tcPr>
            <w:tcW w:w="4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(154,001)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w w:val="97"/>
              </w:rPr>
              <w:t>(78,187)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(232,188)</w:t>
            </w:r>
          </w:p>
        </w:tc>
        <w:tc>
          <w:tcPr>
            <w:tcW w:w="0" w:type="dxa"/>
            <w:vAlign w:val="bottom"/>
          </w:tcPr>
          <w:p>
            <w:pPr>
              <w:spacing w:after="0"/>
              <w:rPr>
                <w:sz w:val="1"/>
                <w:szCs w:val="1"/>
                <w:color w:val="auto"/>
              </w:rPr>
            </w:pPr>
          </w:p>
        </w:tc>
      </w:tr>
      <w:tr>
        <w:trPr>
          <w:trHeight w:val="176"/>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46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471,764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53,150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524,914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20" w:hanging="113"/>
        <w:spacing w:after="0"/>
        <w:tabs>
          <w:tab w:leader="none" w:pos="12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Includes leases with related parties. See Note 10 —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11"/>
          <w:szCs w:val="11"/>
          <w:color w:val="auto"/>
        </w:rPr>
        <w:t xml:space="preserve"> for amounts leased from related parties.</w:t>
      </w:r>
    </w:p>
    <w:p>
      <w:pPr>
        <w:spacing w:after="0" w:line="13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5"/>
          <w:szCs w:val="15"/>
          <w:color w:val="auto"/>
        </w:rPr>
        <w:t>At March 31, 2025, the Company has entered into leases for Showrooms and equipment which have not yet commenced with expected lease terms ranging from 8 to 16 years. The aggregate minimum rental payments over the term of the leases of approximately $173.3 million are not included in the above table.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5"/>
                <w:szCs w:val="15"/>
                <w:color w:val="auto"/>
              </w:rPr>
              <w:t>Supplemental cash flow information related to leases is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42"/>
        </w:trPr>
        <w:tc>
          <w:tcPr>
            <w:tcW w:w="7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1060" w:type="dxa"/>
            <w:vAlign w:val="bottom"/>
          </w:tcPr>
          <w:p>
            <w:pPr>
              <w:spacing w:after="0"/>
              <w:rPr>
                <w:sz w:val="24"/>
                <w:szCs w:val="24"/>
                <w:color w:val="auto"/>
              </w:rPr>
            </w:pPr>
          </w:p>
        </w:tc>
      </w:tr>
      <w:tr>
        <w:trPr>
          <w:trHeight w:val="191"/>
        </w:trPr>
        <w:tc>
          <w:tcPr>
            <w:tcW w:w="7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6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65"/>
        </w:trPr>
        <w:tc>
          <w:tcPr>
            <w:tcW w:w="7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Cash paid for amounts included in the measurement of lease liabilities:</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cash flows for operating leases</w:t>
            </w:r>
          </w:p>
        </w:tc>
        <w:tc>
          <w:tcPr>
            <w:tcW w:w="1080" w:type="dxa"/>
            <w:vAlign w:val="bottom"/>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19,437</w:t>
            </w:r>
          </w:p>
        </w:tc>
        <w:tc>
          <w:tcPr>
            <w:tcW w:w="100" w:type="dxa"/>
            <w:vAlign w:val="bottom"/>
          </w:tcPr>
          <w:p>
            <w:pPr>
              <w:spacing w:after="0"/>
              <w:rPr>
                <w:sz w:val="16"/>
                <w:szCs w:val="16"/>
                <w:color w:val="auto"/>
              </w:rPr>
            </w:pPr>
          </w:p>
        </w:tc>
        <w:tc>
          <w:tcPr>
            <w:tcW w:w="660" w:type="dxa"/>
            <w:vAlign w:val="bottom"/>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15,996</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cash flows for finance leases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Financing cash flows for finance leases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Right-of-use assets obtained in exchange for lease obligations: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1080" w:type="dxa"/>
            <w:vAlign w:val="bottom"/>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33,481</w:t>
            </w:r>
          </w:p>
        </w:tc>
        <w:tc>
          <w:tcPr>
            <w:tcW w:w="100" w:type="dxa"/>
            <w:vAlign w:val="bottom"/>
          </w:tcPr>
          <w:p>
            <w:pPr>
              <w:spacing w:after="0"/>
              <w:rPr>
                <w:sz w:val="16"/>
                <w:szCs w:val="16"/>
                <w:color w:val="auto"/>
              </w:rPr>
            </w:pPr>
          </w:p>
        </w:tc>
        <w:tc>
          <w:tcPr>
            <w:tcW w:w="660" w:type="dxa"/>
            <w:vAlign w:val="bottom"/>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28,751</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Equity Based Compensation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Activity of the Company’s Restricted Stock and their related equity based compensation expense are summarized in the following tables (amounts in thousands, except share and per share data):</w:t>
      </w:r>
    </w:p>
    <w:p>
      <w:pPr>
        <w:spacing w:after="0" w:line="19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5"/>
          <w:szCs w:val="15"/>
          <w:b w:val="1"/>
          <w:bCs w:val="1"/>
          <w:color w:val="auto"/>
        </w:rPr>
        <w:t>Restricted Stock - Class 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680" w:type="dxa"/>
            <w:vAlign w:val="bottom"/>
          </w:tcPr>
          <w:p>
            <w:pPr>
              <w:spacing w:after="0"/>
              <w:rPr>
                <w:sz w:val="11"/>
                <w:szCs w:val="11"/>
                <w:color w:val="auto"/>
              </w:rPr>
            </w:pPr>
          </w:p>
        </w:tc>
        <w:tc>
          <w:tcPr>
            <w:tcW w:w="116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ind w:right="7"/>
              <w:spacing w:after="0" w:line="133" w:lineRule="exact"/>
              <w:rPr>
                <w:sz w:val="20"/>
                <w:szCs w:val="20"/>
                <w:color w:val="auto"/>
              </w:rPr>
            </w:pPr>
            <w:r>
              <w:rPr>
                <w:rFonts w:ascii="Times New Roman" w:cs="Times New Roman" w:eastAsia="Times New Roman" w:hAnsi="Times New Roman"/>
                <w:sz w:val="15"/>
                <w:szCs w:val="15"/>
                <w:b w:val="1"/>
                <w:bCs w:val="1"/>
                <w:color w:val="auto"/>
                <w:w w:val="95"/>
              </w:rPr>
              <w:t>Weighted Average Grant</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December 31, 2024</w:t>
            </w:r>
          </w:p>
        </w:tc>
        <w:tc>
          <w:tcPr>
            <w:tcW w:w="1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224,452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0" w:type="dxa"/>
            <w:vAlign w:val="bottom"/>
          </w:tcPr>
          <w:p>
            <w:pPr>
              <w:spacing w:after="0"/>
              <w:rPr>
                <w:sz w:val="1"/>
                <w:szCs w:val="1"/>
                <w:color w:val="auto"/>
              </w:rPr>
            </w:pPr>
          </w:p>
        </w:tc>
      </w:tr>
      <w:tr>
        <w:trPr>
          <w:trHeight w:val="18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(48,628)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0" w:type="dxa"/>
            <w:vAlign w:val="bottom"/>
          </w:tcPr>
          <w:p>
            <w:pPr>
              <w:spacing w:after="0"/>
              <w:rPr>
                <w:sz w:val="1"/>
                <w:szCs w:val="1"/>
                <w:color w:val="auto"/>
              </w:rPr>
            </w:pPr>
          </w:p>
        </w:tc>
      </w:tr>
      <w:tr>
        <w:trPr>
          <w:trHeight w:val="18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March 31, 2025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175,824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Pr>
          <w:p>
            <w:pPr>
              <w:spacing w:after="0"/>
              <w:rPr>
                <w:sz w:val="16"/>
                <w:szCs w:val="16"/>
                <w:color w:val="auto"/>
              </w:rPr>
            </w:pPr>
          </w:p>
        </w:tc>
      </w:tr>
      <w:tr>
        <w:trPr>
          <w:trHeight w:val="191"/>
        </w:trPr>
        <w:tc>
          <w:tcPr>
            <w:tcW w:w="7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6"/>
        </w:trPr>
        <w:tc>
          <w:tcPr>
            <w:tcW w:w="7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5"/>
                <w:szCs w:val="15"/>
                <w:color w:val="auto"/>
              </w:rPr>
              <w:t>Equity based compensation expense - Restricted Stock</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jc w:val="right"/>
              <w:ind w:right="90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w:t>
            </w:r>
          </w:p>
        </w:tc>
      </w:tr>
      <w:tr>
        <w:trPr>
          <w:trHeight w:val="44"/>
        </w:trPr>
        <w:tc>
          <w:tcPr>
            <w:tcW w:w="772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r>
    </w:tbl>
    <w:p>
      <w:pPr>
        <w:spacing w:after="0" w:line="59" w:lineRule="exact"/>
        <w:rPr>
          <w:sz w:val="20"/>
          <w:szCs w:val="20"/>
          <w:color w:val="auto"/>
        </w:rPr>
      </w:pPr>
    </w:p>
    <w:p>
      <w:pPr>
        <w:ind w:firstLine="7"/>
        <w:spacing w:after="0" w:line="329" w:lineRule="auto"/>
        <w:tabs>
          <w:tab w:leader="none" w:pos="107" w:val="left"/>
        </w:tabs>
        <w:numPr>
          <w:ilvl w:val="0"/>
          <w:numId w:val="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to be recognized in future periods is $1.9 million at March 31, 2025, and will be recognized over a weighted average period of 1.18 years. Equity based compensation expense is recorded within selling, general and administrative expenses on our condensed consolidated statements of comprehensive income.</w:t>
      </w:r>
    </w:p>
    <w:p>
      <w:pPr>
        <w:spacing w:after="0" w:line="9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5"/>
          <w:szCs w:val="15"/>
          <w:color w:val="auto"/>
        </w:rPr>
        <w:t>Per the 2021 Plan, each RSU and PSU represents a contingent right to receive one share of the Company’s Class A common stock upon vesting. The RSUs granted to award recipients will vest pro rata over two to four years (depending on the terms of the award) on each anniversary of the grant date,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accrued for awards that ultimately do not vest are forfeited. The RSUs issued to certain members of the Board of Directors will generally vest on the one-year anniversary of the grant date.</w:t>
      </w:r>
    </w:p>
    <w:p>
      <w:pPr>
        <w:spacing w:after="0" w:line="1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5"/>
          <w:szCs w:val="15"/>
          <w:color w:val="auto"/>
        </w:rPr>
        <w:t>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3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Activity of the Company’s PSU and RSU awards and their related equity based compensation expense are summarized in the following tables (amounts 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PSU Awards</w:t>
            </w:r>
          </w:p>
        </w:tc>
        <w:tc>
          <w:tcPr>
            <w:tcW w:w="3540" w:type="dxa"/>
            <w:vAlign w:val="bottom"/>
            <w:gridSpan w:val="4"/>
          </w:tcPr>
          <w:p>
            <w:pPr>
              <w:jc w:val="right"/>
              <w:ind w:right="1287"/>
              <w:spacing w:after="0"/>
              <w:rPr>
                <w:sz w:val="20"/>
                <w:szCs w:val="20"/>
                <w:color w:val="auto"/>
              </w:rPr>
            </w:pPr>
            <w:r>
              <w:rPr>
                <w:rFonts w:ascii="Times New Roman" w:cs="Times New Roman" w:eastAsia="Times New Roman" w:hAnsi="Times New Roman"/>
                <w:sz w:val="15"/>
                <w:szCs w:val="15"/>
                <w:b w:val="1"/>
                <w:bCs w:val="1"/>
                <w:color w:val="auto"/>
              </w:rPr>
              <w:t>RSU Awards</w:t>
            </w: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14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7"/>
              <w:spacing w:after="0" w:line="133" w:lineRule="exact"/>
              <w:rPr>
                <w:sz w:val="20"/>
                <w:szCs w:val="20"/>
                <w:color w:val="auto"/>
              </w:rPr>
            </w:pPr>
            <w:r>
              <w:rPr>
                <w:rFonts w:ascii="Times New Roman" w:cs="Times New Roman" w:eastAsia="Times New Roman" w:hAnsi="Times New Roman"/>
                <w:sz w:val="15"/>
                <w:szCs w:val="15"/>
                <w:b w:val="1"/>
                <w:bCs w:val="1"/>
                <w:color w:val="auto"/>
                <w:w w:val="95"/>
              </w:rPr>
              <w:t>Weighted Average Grant</w:t>
            </w:r>
          </w:p>
        </w:tc>
        <w:tc>
          <w:tcPr>
            <w:tcW w:w="80" w:type="dxa"/>
            <w:vAlign w:val="bottom"/>
          </w:tcPr>
          <w:p>
            <w:pPr>
              <w:spacing w:after="0"/>
              <w:rPr>
                <w:sz w:val="11"/>
                <w:szCs w:val="11"/>
                <w:color w:val="auto"/>
              </w:rPr>
            </w:pPr>
          </w:p>
        </w:tc>
        <w:tc>
          <w:tcPr>
            <w:tcW w:w="1820" w:type="dxa"/>
            <w:vAlign w:val="bottom"/>
            <w:tcBorders>
              <w:top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ind w:right="7"/>
              <w:spacing w:after="0" w:line="133" w:lineRule="exact"/>
              <w:rPr>
                <w:sz w:val="20"/>
                <w:szCs w:val="20"/>
                <w:color w:val="auto"/>
              </w:rPr>
            </w:pPr>
            <w:r>
              <w:rPr>
                <w:rFonts w:ascii="Times New Roman" w:cs="Times New Roman" w:eastAsia="Times New Roman" w:hAnsi="Times New Roman"/>
                <w:sz w:val="15"/>
                <w:szCs w:val="15"/>
                <w:b w:val="1"/>
                <w:bCs w:val="1"/>
                <w:color w:val="auto"/>
                <w:w w:val="95"/>
              </w:rPr>
              <w:t>Weighted Average Grant</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Date Fair Value</w:t>
            </w:r>
          </w:p>
        </w:tc>
        <w:tc>
          <w:tcPr>
            <w:tcW w:w="1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Date Fair Value</w:t>
            </w:r>
          </w:p>
        </w:tc>
        <w:tc>
          <w:tcPr>
            <w:tcW w:w="0" w:type="dxa"/>
            <w:vAlign w:val="bottom"/>
          </w:tcPr>
          <w:p>
            <w:pPr>
              <w:spacing w:after="0"/>
              <w:rPr>
                <w:sz w:val="1"/>
                <w:szCs w:val="1"/>
                <w:color w:val="auto"/>
              </w:rPr>
            </w:pPr>
          </w:p>
        </w:tc>
      </w:tr>
      <w:tr>
        <w:trPr>
          <w:trHeight w:val="17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December 31, 2024</w:t>
            </w:r>
          </w:p>
        </w:tc>
        <w:tc>
          <w:tcPr>
            <w:tcW w:w="1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426,756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960,548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8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0" w:type="dxa"/>
            <w:vAlign w:val="bottom"/>
          </w:tcPr>
          <w:p>
            <w:pPr>
              <w:spacing w:after="0"/>
              <w:rPr>
                <w:sz w:val="1"/>
                <w:szCs w:val="1"/>
                <w:color w:val="auto"/>
              </w:rPr>
            </w:pPr>
          </w:p>
        </w:tc>
      </w:tr>
      <w:tr>
        <w:trPr>
          <w:trHeight w:val="18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Forfeited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(90,017)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0" w:type="dxa"/>
            <w:vAlign w:val="bottom"/>
          </w:tcPr>
          <w:p>
            <w:pPr>
              <w:spacing w:after="0"/>
              <w:rPr>
                <w:sz w:val="1"/>
                <w:szCs w:val="1"/>
                <w:color w:val="auto"/>
              </w:rPr>
            </w:pPr>
          </w:p>
        </w:tc>
      </w:tr>
      <w:tr>
        <w:trPr>
          <w:trHeight w:val="19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Unvested at March 31, 2025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386,617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2,153,506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Pr>
          <w:p>
            <w:pPr>
              <w:spacing w:after="0"/>
              <w:rPr>
                <w:sz w:val="16"/>
                <w:szCs w:val="16"/>
                <w:color w:val="auto"/>
              </w:rPr>
            </w:pPr>
          </w:p>
        </w:tc>
      </w:tr>
      <w:tr>
        <w:trPr>
          <w:trHeight w:val="191"/>
        </w:trPr>
        <w:tc>
          <w:tcPr>
            <w:tcW w:w="7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6"/>
        </w:trPr>
        <w:tc>
          <w:tcPr>
            <w:tcW w:w="7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5"/>
                <w:szCs w:val="15"/>
                <w:color w:val="auto"/>
              </w:rPr>
              <w:t>Equity based compensation expense - PSUs</w:t>
            </w:r>
            <w:r>
              <w:rPr>
                <w:rFonts w:ascii="Times New Roman" w:cs="Times New Roman" w:eastAsia="Times New Roman" w:hAnsi="Times New Roman"/>
                <w:sz w:val="18"/>
                <w:szCs w:val="18"/>
                <w:color w:val="auto"/>
                <w:vertAlign w:val="superscript"/>
              </w:rPr>
              <w:t>(1)</w:t>
            </w:r>
          </w:p>
        </w:tc>
        <w:tc>
          <w:tcPr>
            <w:tcW w:w="1080" w:type="dxa"/>
            <w:vAlign w:val="bottom"/>
            <w:shd w:val="clear" w:color="auto" w:fill="CCEEFF"/>
          </w:tcPr>
          <w:p>
            <w:pPr>
              <w:jc w:val="right"/>
              <w:ind w:right="90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48"/>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based compensation expense - RSUs</w:t>
            </w:r>
            <w:r>
              <w:rPr>
                <w:rFonts w:ascii="Times New Roman" w:cs="Times New Roman" w:eastAsia="Times New Roman" w:hAnsi="Times New Roman"/>
                <w:sz w:val="18"/>
                <w:szCs w:val="18"/>
                <w:color w:val="auto"/>
                <w:vertAlign w:val="superscript"/>
              </w:rPr>
              <w:t>(2)</w:t>
            </w:r>
          </w:p>
        </w:tc>
        <w:tc>
          <w:tcPr>
            <w:tcW w:w="1080" w:type="dxa"/>
            <w:vAlign w:val="bottom"/>
          </w:tcPr>
          <w:p>
            <w:pPr>
              <w:jc w:val="right"/>
              <w:ind w:right="90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80" w:type="dxa"/>
            <w:vAlign w:val="bottom"/>
          </w:tcPr>
          <w:p>
            <w:pPr>
              <w:spacing w:after="0"/>
              <w:rPr>
                <w:sz w:val="21"/>
                <w:szCs w:val="21"/>
                <w:color w:val="auto"/>
              </w:rPr>
            </w:pPr>
          </w:p>
        </w:tc>
        <w:tc>
          <w:tcPr>
            <w:tcW w:w="66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90410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04105" cy="6985"/>
                    </a:xfrm>
                    <a:prstGeom prst="rect">
                      <a:avLst/>
                    </a:prstGeom>
                    <a:noFill/>
                  </pic:spPr>
                </pic:pic>
              </a:graphicData>
            </a:graphic>
          </wp:anchor>
        </w:drawing>
      </w:r>
    </w:p>
    <w:p>
      <w:pPr>
        <w:spacing w:after="0" w:line="30" w:lineRule="exact"/>
        <w:rPr>
          <w:sz w:val="20"/>
          <w:szCs w:val="20"/>
          <w:color w:val="auto"/>
        </w:rPr>
      </w:pPr>
    </w:p>
    <w:p>
      <w:pPr>
        <w:ind w:right="120" w:firstLine="7"/>
        <w:spacing w:after="0" w:line="278" w:lineRule="auto"/>
        <w:tabs>
          <w:tab w:leader="none" w:pos="107" w:val="left"/>
        </w:tabs>
        <w:numPr>
          <w:ilvl w:val="0"/>
          <w:numId w:val="8"/>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9"/>
          <w:szCs w:val="9"/>
          <w:color w:val="auto"/>
        </w:rPr>
        <w:t>Total unrecognized equity based compensation for the PSUs to be recognized in future periods is $1.4 million at March 31, 2025, and will be recognized over a weighted average period of 1.59 years. Equity based compensation expense is recorded within selling, general and administrative expenses on our condensed consolidated statements of comprehensive income.</w:t>
      </w:r>
    </w:p>
    <w:p>
      <w:pPr>
        <w:ind w:right="40" w:firstLine="7"/>
        <w:spacing w:after="0" w:line="336" w:lineRule="auto"/>
        <w:tabs>
          <w:tab w:leader="none" w:pos="107"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for the RSUs to be recognized in future periods is $17.5 million at March 31, 2025, and will be recognized over a weighted average period of 3.07 years. Equity based compensation expense is recorded within selling, general and administrative expenses on our condensed consolidated statements of comprehensive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Segment Reporting</w:t>
      </w:r>
    </w:p>
    <w:p>
      <w:pPr>
        <w:spacing w:after="0" w:line="14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5"/>
          <w:szCs w:val="15"/>
          <w:color w:val="auto"/>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5"/>
          <w:szCs w:val="15"/>
          <w:color w:val="auto"/>
        </w:rPr>
        <w:t>The majority of our revenue is generated through sales to clients in the United States. Sales to clients outside of the United States are not significant. Further, no single client represents ten percent or more of our net revenue. There are no inter-segment transactions.</w:t>
      </w:r>
    </w:p>
    <w:p>
      <w:pPr>
        <w:spacing w:after="0" w:line="10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5"/>
          <w:szCs w:val="15"/>
          <w:color w:val="auto"/>
        </w:rPr>
        <w:t>The accounting policies of our single operating segment are the same as those described within our summary of significant accounting policies. The CODM assesses performance at the consolidated level and makes business decisions based on various key performance indicators, primarily net income, which is also reported on the consolidated statements of comprehensive income as net and comprehensive income.</w:t>
      </w:r>
    </w:p>
    <w:p>
      <w:pPr>
        <w:spacing w:after="0" w:line="117" w:lineRule="exact"/>
        <w:rPr>
          <w:sz w:val="20"/>
          <w:szCs w:val="20"/>
          <w:color w:val="auto"/>
        </w:rPr>
      </w:pPr>
    </w:p>
    <w:p>
      <w:pPr>
        <w:ind w:right="720"/>
        <w:spacing w:after="0" w:line="265" w:lineRule="auto"/>
        <w:rPr>
          <w:sz w:val="20"/>
          <w:szCs w:val="20"/>
          <w:color w:val="auto"/>
        </w:rPr>
      </w:pPr>
      <w:r>
        <w:rPr>
          <w:rFonts w:ascii="Times New Roman" w:cs="Times New Roman" w:eastAsia="Times New Roman" w:hAnsi="Times New Roman"/>
          <w:sz w:val="15"/>
          <w:szCs w:val="15"/>
          <w:color w:val="auto"/>
        </w:rPr>
        <w:t>Our CODM uses net income to determine the allocation of resources for investments in retail Showrooms, information technology and systems infrastructure, as well as supply chain investments. Net income is also used as a method for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planning and forecasting overall expected performance and for evaluating, on a quarterly and annual basis, actual results against such expectations.</w:t>
      </w:r>
    </w:p>
    <w:p>
      <w:pPr>
        <w:spacing w:after="0" w:line="14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Asset information is reported on the consolidated balance sheets as total assets. However, asset information is not used for purposes of making decisions, assessing financial performance or allocating resources.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 to the consolidated statements of cash flow for property, furniture and equipment expenditures, related depreciation and amortization and other significant noncash items.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revenue by merchandise sales channel and significant segment expenses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1060" w:type="dxa"/>
            <w:vAlign w:val="bottom"/>
          </w:tcPr>
          <w:p>
            <w:pPr>
              <w:spacing w:after="0"/>
              <w:rPr>
                <w:sz w:val="16"/>
                <w:szCs w:val="16"/>
                <w:color w:val="auto"/>
              </w:rPr>
            </w:pPr>
          </w:p>
        </w:tc>
      </w:tr>
      <w:tr>
        <w:trPr>
          <w:trHeight w:val="191"/>
        </w:trPr>
        <w:tc>
          <w:tcPr>
            <w:tcW w:w="70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76"/>
        </w:trPr>
        <w:tc>
          <w:tcPr>
            <w:tcW w:w="70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Retail</w:t>
            </w:r>
          </w:p>
        </w:tc>
        <w:tc>
          <w:tcPr>
            <w:tcW w:w="1060" w:type="dxa"/>
            <w:vAlign w:val="bottom"/>
            <w:shd w:val="clear" w:color="auto" w:fill="CCEEFF"/>
          </w:tcPr>
          <w:p>
            <w:pPr>
              <w:jc w:val="right"/>
              <w:ind w:right="90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255,453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243,255</w:t>
            </w:r>
          </w:p>
        </w:tc>
      </w:tr>
      <w:tr>
        <w:trPr>
          <w:trHeight w:val="18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eCommerce</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55,919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51,907</w:t>
            </w:r>
          </w:p>
        </w:tc>
      </w:tr>
      <w:tr>
        <w:trPr>
          <w:trHeight w:val="176"/>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net revenue</w:t>
            </w:r>
          </w:p>
        </w:tc>
        <w:tc>
          <w:tcPr>
            <w:tcW w:w="1060" w:type="dxa"/>
            <w:vAlign w:val="bottom"/>
            <w:shd w:val="clear" w:color="auto" w:fill="CCEEFF"/>
          </w:tcPr>
          <w:p>
            <w:pPr>
              <w:jc w:val="right"/>
              <w:ind w:right="90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311,372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295,162</w:t>
            </w:r>
          </w:p>
        </w:tc>
      </w:tr>
      <w:tr>
        <w:trPr>
          <w:trHeight w:val="198"/>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significant costs and expenses: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195,785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180,108</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Corporate and administrative expenses</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54,609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48,902</w:t>
            </w:r>
          </w:p>
        </w:tc>
      </w:tr>
      <w:tr>
        <w:trPr>
          <w:trHeight w:val="20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expenses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44,392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38,219</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Marketing expenses</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11,057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9,572</w:t>
            </w:r>
          </w:p>
        </w:tc>
      </w:tr>
      <w:tr>
        <w:trPr>
          <w:trHeight w:val="20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w:t>
            </w:r>
          </w:p>
        </w:tc>
      </w:tr>
      <w:tr>
        <w:trPr>
          <w:trHeight w:val="20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87"/>
        </w:trPr>
        <w:tc>
          <w:tcPr>
            <w:tcW w:w="7040" w:type="dxa"/>
            <w:vAlign w:val="bottom"/>
          </w:tcPr>
          <w:p>
            <w:pPr>
              <w:ind w:left="200"/>
              <w:spacing w:after="0" w:line="169" w:lineRule="exact"/>
              <w:rPr>
                <w:sz w:val="20"/>
                <w:szCs w:val="20"/>
                <w:color w:val="auto"/>
              </w:rPr>
            </w:pPr>
            <w:r>
              <w:rPr>
                <w:rFonts w:ascii="Times New Roman" w:cs="Times New Roman" w:eastAsia="Times New Roman" w:hAnsi="Times New Roman"/>
                <w:sz w:val="15"/>
                <w:szCs w:val="15"/>
                <w:color w:val="auto"/>
              </w:rPr>
              <w:t>Income before taxes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19,915</w:t>
            </w:r>
          </w:p>
        </w:tc>
      </w:tr>
      <w:tr>
        <w:trPr>
          <w:trHeight w:val="20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w:t>
            </w:r>
          </w:p>
        </w:tc>
      </w:tr>
      <w:tr>
        <w:trPr>
          <w:trHeight w:val="209"/>
        </w:trPr>
        <w:tc>
          <w:tcPr>
            <w:tcW w:w="70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and comprehensive income</w:t>
            </w:r>
          </w:p>
        </w:tc>
        <w:tc>
          <w:tcPr>
            <w:tcW w:w="1060" w:type="dxa"/>
            <w:vAlign w:val="bottom"/>
            <w:tcBorders>
              <w:bottom w:val="single" w:sz="8" w:color="auto"/>
            </w:tcBorders>
          </w:tcPr>
          <w:p>
            <w:pPr>
              <w:jc w:val="right"/>
              <w:ind w:right="907"/>
              <w:spacing w:after="0"/>
              <w:rPr>
                <w:sz w:val="20"/>
                <w:szCs w:val="20"/>
                <w:color w:val="auto"/>
              </w:rPr>
            </w:pPr>
            <w:r>
              <w:rPr>
                <w:rFonts w:ascii="Times New Roman" w:cs="Times New Roman" w:eastAsia="Times New Roman" w:hAnsi="Times New Roman"/>
                <w:sz w:val="15"/>
                <w:szCs w:val="15"/>
                <w:color w:val="231F20"/>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4,882</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231F20"/>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15,099</w:t>
            </w:r>
          </w:p>
        </w:tc>
      </w:tr>
      <w:tr>
        <w:trPr>
          <w:trHeight w:val="20"/>
        </w:trPr>
        <w:tc>
          <w:tcPr>
            <w:tcW w:w="7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9"/>
        </w:trPr>
        <w:tc>
          <w:tcPr>
            <w:tcW w:w="704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r>
    </w:tbl>
    <w:p>
      <w:pPr>
        <w:spacing w:after="0" w:line="59" w:lineRule="exact"/>
        <w:rPr>
          <w:sz w:val="20"/>
          <w:szCs w:val="20"/>
          <w:color w:val="auto"/>
        </w:rPr>
      </w:pPr>
    </w:p>
    <w:p>
      <w:pPr>
        <w:ind w:firstLine="7"/>
        <w:spacing w:after="0"/>
        <w:tabs>
          <w:tab w:leader="none" w:pos="107" w:val="left"/>
        </w:tabs>
        <w:numPr>
          <w:ilvl w:val="0"/>
          <w:numId w:val="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Corporate and administrative expenses primarily include warehouse expenses, equity based compensation costs, information technology, human resources and legal costs, insurance expenses, accounting fees and corporate sustainability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Net and Comprehensive Income per Share</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Basic and diluted net and comprehensive income per share were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040"/>
          </w:cols>
          <w:pgMar w:left="300" w:top="123"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Basic and diluted net and comprehensive income per share are as follows (amounts in thousands, except per share data):</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42"/>
        </w:trPr>
        <w:tc>
          <w:tcPr>
            <w:tcW w:w="7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Pr>
          <w:p>
            <w:pPr>
              <w:spacing w:after="0"/>
              <w:rPr>
                <w:sz w:val="24"/>
                <w:szCs w:val="24"/>
                <w:color w:val="auto"/>
              </w:rPr>
            </w:pPr>
          </w:p>
        </w:tc>
      </w:tr>
      <w:tr>
        <w:trPr>
          <w:trHeight w:val="191"/>
        </w:trPr>
        <w:tc>
          <w:tcPr>
            <w:tcW w:w="7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6"/>
        </w:trPr>
        <w:tc>
          <w:tcPr>
            <w:tcW w:w="74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65"/>
        </w:trPr>
        <w:tc>
          <w:tcPr>
            <w:tcW w:w="7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and comprehensive income</w:t>
            </w: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100" w:type="dxa"/>
            <w:vAlign w:val="bottom"/>
          </w:tcPr>
          <w:p>
            <w:pPr>
              <w:spacing w:after="0"/>
              <w:rPr>
                <w:sz w:val="16"/>
                <w:szCs w:val="16"/>
                <w:color w:val="auto"/>
              </w:rPr>
            </w:pPr>
          </w:p>
        </w:tc>
        <w:tc>
          <w:tcPr>
            <w:tcW w:w="64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15,099</w:t>
            </w:r>
          </w:p>
        </w:tc>
      </w:tr>
      <w:tr>
        <w:trPr>
          <w:trHeight w:val="218"/>
        </w:trPr>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Denominator—Weighted Average Shares Outstanding</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number of common shares outstanding, basic</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140,361,588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139,816,792</w:t>
            </w:r>
          </w:p>
        </w:tc>
      </w:tr>
      <w:tr>
        <w:trPr>
          <w:trHeight w:val="185"/>
        </w:trPr>
        <w:tc>
          <w:tcPr>
            <w:tcW w:w="7420" w:type="dxa"/>
            <w:vAlign w:val="bottom"/>
          </w:tcPr>
          <w:p>
            <w:pPr>
              <w:ind w:left="20"/>
              <w:spacing w:after="0" w:line="185" w:lineRule="exact"/>
              <w:rPr>
                <w:sz w:val="20"/>
                <w:szCs w:val="20"/>
                <w:color w:val="auto"/>
              </w:rPr>
            </w:pPr>
            <w:r>
              <w:rPr>
                <w:rFonts w:ascii="Times New Roman" w:cs="Times New Roman" w:eastAsia="Times New Roman" w:hAnsi="Times New Roman"/>
                <w:sz w:val="15"/>
                <w:szCs w:val="15"/>
                <w:color w:val="auto"/>
              </w:rPr>
              <w:t xml:space="preserve">Effect of dilutive restricted stock </w:t>
            </w:r>
            <w:r>
              <w:rPr>
                <w:rFonts w:ascii="Times New Roman" w:cs="Times New Roman" w:eastAsia="Times New Roman" w:hAnsi="Times New Roman"/>
                <w:sz w:val="18"/>
                <w:szCs w:val="18"/>
                <w:color w:val="auto"/>
                <w:vertAlign w:val="superscript"/>
              </w:rPr>
              <w:t>(1) (2)</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729,045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739,239</w:t>
            </w:r>
          </w:p>
        </w:tc>
      </w:tr>
      <w:tr>
        <w:trPr>
          <w:trHeight w:val="18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number of common shares outstanding, diluted</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141,090,633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140,556,031</w:t>
            </w:r>
          </w:p>
        </w:tc>
      </w:tr>
      <w:tr>
        <w:trPr>
          <w:trHeight w:val="218"/>
        </w:trPr>
        <w:tc>
          <w:tcPr>
            <w:tcW w:w="7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and Comprehensive Income Per Share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7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and comprehensive income per share, basic</w:t>
            </w: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6"/>
                <w:szCs w:val="16"/>
                <w:color w:val="auto"/>
              </w:rPr>
            </w:pPr>
          </w:p>
        </w:tc>
        <w:tc>
          <w:tcPr>
            <w:tcW w:w="640" w:type="dxa"/>
            <w:vAlign w:val="bottom"/>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0.11</w:t>
            </w:r>
          </w:p>
        </w:tc>
      </w:tr>
      <w:tr>
        <w:trPr>
          <w:trHeight w:val="18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and comprehensive income per share, diluted</w:t>
            </w:r>
          </w:p>
        </w:tc>
        <w:tc>
          <w:tcPr>
            <w:tcW w:w="40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r>
      <w:tr>
        <w:trPr>
          <w:trHeight w:val="87"/>
        </w:trPr>
        <w:tc>
          <w:tcPr>
            <w:tcW w:w="7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59" w:lineRule="exact"/>
        <w:rPr>
          <w:sz w:val="20"/>
          <w:szCs w:val="20"/>
          <w:color w:val="auto"/>
        </w:rPr>
      </w:pPr>
    </w:p>
    <w:p>
      <w:pPr>
        <w:ind w:right="120" w:firstLine="7"/>
        <w:spacing w:after="0" w:line="242" w:lineRule="auto"/>
        <w:tabs>
          <w:tab w:leader="none" w:pos="117"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During the three months ended March 31, 2025, 410,380 shares of unvested restricted stock and RSUs were excluded from the computation of diluted earnings per share because their effect would have been anti-dilutive. During the three months ended March 31, 2024, 412,487 shares of unvested restricted stock and RSUs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4"/>
          <w:szCs w:val="14"/>
          <w:color w:val="auto"/>
          <w:vertAlign w:val="superscript"/>
        </w:rPr>
      </w:pPr>
    </w:p>
    <w:p>
      <w:pPr>
        <w:ind w:right="60" w:firstLine="7"/>
        <w:spacing w:after="0" w:line="227" w:lineRule="auto"/>
        <w:tabs>
          <w:tab w:leader="none" w:pos="117"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During the three months ended March 31, 2025, 386,617 PSUs were excluded from the calculation of the effect of dilutive restricted stock because they did not meet the required performance criteria. During the three months ended March 31, 2024, 540,335 PSUs were excluded from the calculation of the effect of dilutive restricted stock because they did not meet the required performance criteria.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Commitments and Contingencies</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March 31, 2025 and December 31, 2024, the Company has accrued legal costs of $6.5 million and $6.1 million, respectively, that are included within accrued other expenses in our condensed consolidated balance sheet.</w:t>
      </w:r>
    </w:p>
    <w:p>
      <w:pPr>
        <w:spacing w:after="0" w:line="12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5"/>
          <w:szCs w:val="15"/>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March 31, 2025 and December 31, 2024, we recorded liabilities of $0.5 million and $0.7 million, respectively, in accrued other expenses on the condensed consolidated balance sheets for non-income tax matters that were probable and reasonably estimable.</w:t>
      </w:r>
    </w:p>
    <w:p>
      <w:pPr>
        <w:spacing w:after="0" w:line="12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3"/>
          <w:szCs w:val="13"/>
          <w:color w:val="auto"/>
        </w:rPr>
        <w:t>On February 29, 2024, the Board of Directors of the Company declared a special cash dividend on the Company’s Class A and Class B common stock of $0.50 per share, payable April 4, 2024, to shareholders of record at the close of business on March 21, 2024 (the “Record Date”). The Company paid out $0.2 million of the aforementioned special cash dividend on its Class A common stock related to equity awards that vested during the three months ended March 31, 2025. As of March 31, 2025 and December 31, 2024, dividends payable of $0.3 million and $0.5</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5"/>
          <w:szCs w:val="15"/>
          <w:color w:val="auto"/>
        </w:rPr>
        <w:t>million, respectively, are included within accrued other expenses and $0.1 million and $0.2 million, respectively, are included within other long-term liabilities on our condensed consolidated balance sheet. The remaining dividends payable balance recorded on our condensed consolidated balance sheet relates to dividend equivalents on outstanding equity awards under the Company’s equity incentive plans that were unvested as of the Record 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Arhaus,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899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Related Party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Leasing transactions</w:t>
      </w:r>
    </w:p>
    <w:p>
      <w:pPr>
        <w:spacing w:after="0" w:line="20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$0.4 million and $0.4 million for the three months ended March 31, 2025 and March 31, 2024, respectively.</w:t>
      </w:r>
    </w:p>
    <w:p>
      <w:pPr>
        <w:spacing w:after="0" w:line="1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$0.1 million and $0.1 million for the three months ended March 31, 2025 and March 31, 2024, respectively.</w:t>
      </w:r>
    </w:p>
    <w:p>
      <w:pPr>
        <w:spacing w:after="0" w:line="11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$1.0 million and $1.0 million for the three months ended March 31, 2025 and March 31, 2024,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transactions</w:t>
      </w:r>
    </w:p>
    <w:p>
      <w:pPr>
        <w:spacing w:after="0" w:line="1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The accounts payable due to related parties for state and federal income tax refunds were $0.2 million and $0.2 million at March 31, 2025 and December 31, 2024, respectively, and are included within accounts payable on the condensed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Income Taxes</w:t>
      </w:r>
    </w:p>
    <w:p>
      <w:pPr>
        <w:spacing w:after="0" w:line="14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5"/>
          <w:szCs w:val="15"/>
          <w:color w:val="auto"/>
        </w:rPr>
        <w:t>Income tax expenses were $1.2 million and $4.8 million in the three months ended March 31, 2025 and March 31, 2024, respectively. The effective tax rate was 19.7% and 24.2% for the three months ended March 31, 2025 and March 31, 2024, respectively.</w:t>
      </w:r>
    </w:p>
    <w:p>
      <w:pPr>
        <w:spacing w:after="0" w:line="109"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5"/>
          <w:szCs w:val="15"/>
          <w:color w:val="auto"/>
        </w:rPr>
        <w:t>As of March 31, 2025, no unrecognized tax benefits have been recognized. The Company files income tax returns in the U.S. and various state and local jurisdictions. The tax years after 2020 remain open to examination by the state taxing jurisdictions in which the Company is subject to tax. As of March 31, 2025, the Company was not under examination by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5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for the three months ended March 31, 2025 (“Form 10-Q”) and our Annual Report on Form 10-K for the year ended December 31, 2024.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25" w:lineRule="exact"/>
        <w:rPr>
          <w:sz w:val="20"/>
          <w:szCs w:val="20"/>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ability to manage and maintain the growth rate of our business;</w:t>
      </w:r>
    </w:p>
    <w:p>
      <w:pPr>
        <w:spacing w:after="0" w:line="18"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ability to obtain quality merchandise in sufficient quantities;</w:t>
      </w:r>
    </w:p>
    <w:p>
      <w:pPr>
        <w:spacing w:after="0" w:line="1" w:lineRule="exact"/>
        <w:rPr>
          <w:rFonts w:ascii="Times New Roman" w:cs="Times New Roman" w:eastAsia="Times New Roman" w:hAnsi="Times New Roman"/>
          <w:sz w:val="15"/>
          <w:szCs w:val="15"/>
          <w:i w:val="1"/>
          <w:iCs w:val="1"/>
          <w:color w:val="auto"/>
        </w:rPr>
      </w:pPr>
    </w:p>
    <w:p>
      <w:pPr>
        <w:ind w:left="540" w:right="120" w:hanging="271"/>
        <w:spacing w:after="0" w:line="242" w:lineRule="auto"/>
        <w:tabs>
          <w:tab w:leader="none" w:pos="536"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Disruption in our receiving and distribution system, including delays in the integration of our distribution centers and the possibility that we may not realize the anticipated benefits of multiple distribution centers;</w:t>
      </w: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Effects of new or proposed tariffs and changes to international trade policies and agreements;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possibility of cyberattacks and our ability to maintain adequate cybersecurity systems and procedures;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Loss, corruption and misappropriation of data and information relating to clients and employees;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Changes in and compliance with applicable data privacy rules and regulations;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Risks as a result of constraints in our supply chain;</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 failure of our vendors to meet our quality standards;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Declines in general economic conditions that affect consumer confidence and consumer spending that could adversely affect our revenue;</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ability to anticipate changes in consumer preferences;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Risks related to maintaining and increasing Showroom traffic and sales;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ability to compete in our market;</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ability to adequately protect our intellectual property;</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Compliance with applicable governmental regulations;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Effectively managing our eCommerce sales channel and digital marketing efforts;</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Our reliance on third-party transportation carriers and risks associated with freight and transportation costs; and</w:t>
      </w:r>
    </w:p>
    <w:p>
      <w:pPr>
        <w:spacing w:after="0" w:line="1" w:lineRule="exact"/>
        <w:rPr>
          <w:rFonts w:ascii="Times New Roman" w:cs="Times New Roman" w:eastAsia="Times New Roman" w:hAnsi="Times New Roman"/>
          <w:sz w:val="15"/>
          <w:szCs w:val="15"/>
          <w:i w:val="1"/>
          <w:iCs w:val="1"/>
          <w:color w:val="auto"/>
        </w:rPr>
      </w:pPr>
    </w:p>
    <w:p>
      <w:pPr>
        <w:ind w:left="520" w:hanging="251"/>
        <w:spacing w:after="0"/>
        <w:tabs>
          <w:tab w:leader="none" w:pos="52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Compliance with SEC rules and regulations as a public reporting company.</w:t>
      </w:r>
    </w:p>
    <w:p>
      <w:pPr>
        <w:spacing w:after="0" w:line="12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2024.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5"/>
          <w:szCs w:val="15"/>
          <w:i w:val="1"/>
          <w:iCs w:val="1"/>
          <w:color w:val="auto"/>
        </w:rPr>
        <w:t>The following discussion contains references to the three months ended March 31, 2025 and March 31, 2024, which represents the condensed consolidated financial results of Arhaus, Inc. and subsidiaries for the three months ended March 31, 2025 and March 31, 2024,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45"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5"/>
          <w:szCs w:val="15"/>
          <w:color w:val="auto"/>
        </w:rPr>
        <w:t>Arhaus is a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outdoor, lighting, textiles and décor. Our products, designed to be used and enjoyed throughout the home, are sourced directly from factories and vendors with no wholesale or dealer markup, allowing us to offer an exclusive assortment at an attractive value. Our product development teams work alongside our direct sourcing partners to bring to market proprietary merchandise that is a great value to clients, while delivering attractive margins.</w:t>
      </w:r>
    </w:p>
    <w:p>
      <w:pPr>
        <w:spacing w:after="0" w:line="17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5"/>
          <w:szCs w:val="15"/>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2025, we operated 103 Showrooms, 91 with in-home interior designers. At December 31, 2024, we operated 103 Showrooms, 89 with in-home interior designers.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5"/>
                <w:szCs w:val="15"/>
                <w:color w:val="auto"/>
              </w:rPr>
            </w:pPr>
          </w:p>
        </w:tc>
        <w:tc>
          <w:tcPr>
            <w:tcW w:w="126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231F20"/>
              </w:rPr>
              <w:t>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231F20"/>
              </w:rPr>
              <w:t>December 31,</w:t>
            </w:r>
          </w:p>
        </w:tc>
      </w:tr>
      <w:tr>
        <w:trPr>
          <w:trHeight w:val="194"/>
        </w:trPr>
        <w:tc>
          <w:tcPr>
            <w:tcW w:w="8940" w:type="dxa"/>
            <w:vAlign w:val="bottom"/>
            <w:gridSpan w:val="2"/>
          </w:tcPr>
          <w:p>
            <w:pPr>
              <w:ind w:left="8400"/>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7"/>
              <w:spacing w:after="0"/>
              <w:rPr>
                <w:sz w:val="20"/>
                <w:szCs w:val="20"/>
                <w:color w:val="auto"/>
              </w:rPr>
            </w:pPr>
            <w:r>
              <w:rPr>
                <w:rFonts w:ascii="Times New Roman" w:cs="Times New Roman" w:eastAsia="Times New Roman" w:hAnsi="Times New Roman"/>
                <w:sz w:val="15"/>
                <w:szCs w:val="15"/>
                <w:b w:val="1"/>
                <w:bCs w:val="1"/>
                <w:color w:val="231F20"/>
              </w:rPr>
              <w:t>2024</w:t>
            </w:r>
          </w:p>
        </w:tc>
      </w:tr>
      <w:tr>
        <w:trPr>
          <w:trHeight w:val="200"/>
        </w:trPr>
        <w:tc>
          <w:tcPr>
            <w:tcW w:w="76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231F20"/>
              </w:rPr>
              <w:t>Traditional Showrooms</w:t>
            </w:r>
          </w:p>
        </w:tc>
        <w:tc>
          <w:tcPr>
            <w:tcW w:w="1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196"/>
        </w:trPr>
        <w:tc>
          <w:tcPr>
            <w:tcW w:w="89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231F20"/>
              </w:rPr>
              <w:t>Design Studios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6"/>
        </w:trPr>
        <w:tc>
          <w:tcPr>
            <w:tcW w:w="8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231F20"/>
              </w:rPr>
              <w:t>Outlets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76"/>
        </w:trPr>
        <w:tc>
          <w:tcPr>
            <w:tcW w:w="768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Total Showroom locations</w:t>
            </w:r>
          </w:p>
        </w:tc>
        <w:tc>
          <w:tcPr>
            <w:tcW w:w="12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103</w:t>
            </w:r>
          </w:p>
        </w:tc>
        <w:tc>
          <w:tcPr>
            <w:tcW w:w="100" w:type="dxa"/>
            <w:vAlign w:val="bottom"/>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103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0"/>
        </w:trPr>
        <w:tc>
          <w:tcPr>
            <w:tcW w:w="768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5"/>
                <w:szCs w:val="15"/>
                <w:color w:val="231F20"/>
              </w:rPr>
              <w:t>Total square footage (in thousands)</w:t>
            </w: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1,711</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1,676</w:t>
            </w:r>
          </w:p>
        </w:tc>
      </w:tr>
    </w:tbl>
    <w:p>
      <w:pPr>
        <w:spacing w:after="0" w:line="203" w:lineRule="exact"/>
        <w:rPr>
          <w:sz w:val="20"/>
          <w:szCs w:val="20"/>
          <w:color w:val="auto"/>
        </w:rPr>
      </w:pPr>
    </w:p>
    <w:p>
      <w:pPr>
        <w:ind w:right="1240"/>
        <w:spacing w:after="0" w:line="447" w:lineRule="auto"/>
        <w:rPr>
          <w:sz w:val="20"/>
          <w:szCs w:val="20"/>
          <w:color w:val="auto"/>
        </w:rPr>
      </w:pPr>
      <w:r>
        <w:rPr>
          <w:rFonts w:ascii="Times New Roman" w:cs="Times New Roman" w:eastAsia="Times New Roman" w:hAnsi="Times New Roman"/>
          <w:sz w:val="15"/>
          <w:szCs w:val="15"/>
          <w:color w:val="auto"/>
        </w:rPr>
        <w:t xml:space="preserve">For the three months ended March 31, 2025, we generated $311.4 million of net revenue, $115.6 million of gross margin and $4.9 million of net and comprehensive income. </w:t>
      </w:r>
      <w:r>
        <w:rPr>
          <w:rFonts w:ascii="Times New Roman" w:cs="Times New Roman" w:eastAsia="Times New Roman" w:hAnsi="Times New Roman"/>
          <w:sz w:val="15"/>
          <w:szCs w:val="15"/>
          <w:b w:val="1"/>
          <w:bCs w:val="1"/>
          <w:color w:val="auto"/>
        </w:rPr>
        <w:t>How We Assess the Performance of Our Business</w:t>
      </w:r>
    </w:p>
    <w:p>
      <w:pPr>
        <w:ind w:right="280"/>
        <w:spacing w:after="0" w:line="250" w:lineRule="auto"/>
        <w:rPr>
          <w:sz w:val="20"/>
          <w:szCs w:val="20"/>
          <w:color w:val="auto"/>
        </w:rPr>
      </w:pPr>
      <w:r>
        <w:rPr>
          <w:rFonts w:ascii="Times New Roman" w:cs="Times New Roman" w:eastAsia="Times New Roman" w:hAnsi="Times New Roman"/>
          <w:sz w:val="15"/>
          <w:szCs w:val="15"/>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w:t>
      </w:r>
    </w:p>
    <w:p>
      <w:pPr>
        <w:spacing w:after="0" w:line="1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20"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5"/>
          <w:szCs w:val="15"/>
          <w:i w:val="1"/>
          <w:iCs w:val="1"/>
          <w:color w:val="auto"/>
        </w:rPr>
        <w:t>Net Revenue and Demand</w:t>
      </w:r>
      <w:r>
        <w:rPr>
          <w:rFonts w:ascii="Times New Roman" w:cs="Times New Roman" w:eastAsia="Times New Roman" w:hAnsi="Times New Roman"/>
          <w:sz w:val="15"/>
          <w:szCs w:val="15"/>
          <w:color w:val="auto"/>
        </w:rPr>
        <w:t>. Net revenue is recognized when a client obtains control of the merchandise. We also track demand in our business which is a key performance indicator linked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2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i w:val="1"/>
          <w:iCs w:val="1"/>
          <w:color w:val="auto"/>
        </w:rPr>
        <w:t>Comparable Growth</w:t>
      </w:r>
      <w:r>
        <w:rPr>
          <w:rFonts w:ascii="Times New Roman" w:cs="Times New Roman" w:eastAsia="Times New Roman" w:hAnsi="Times New Roman"/>
          <w:sz w:val="15"/>
          <w:szCs w:val="15"/>
          <w:color w:val="auto"/>
        </w:rPr>
        <w:t>. Comparable growth is the year-over-year percentage change of the dollar value of orders delivered (based on purchase price), net of the dollar value of returns (based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opening, while orders delivered take additional time because product must be delivered to the client. The dollar value of orders delivered for Outlet comparable locations is included.</w:t>
      </w:r>
    </w:p>
    <w:p>
      <w:pPr>
        <w:spacing w:after="0" w:line="152"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3"/>
          <w:szCs w:val="13"/>
          <w:i w:val="1"/>
          <w:iCs w:val="1"/>
          <w:color w:val="auto"/>
        </w:rPr>
        <w:t>Demand Comparable Growth</w:t>
      </w:r>
      <w:r>
        <w:rPr>
          <w:rFonts w:ascii="Times New Roman" w:cs="Times New Roman" w:eastAsia="Times New Roman" w:hAnsi="Times New Roman"/>
          <w:sz w:val="13"/>
          <w:szCs w:val="13"/>
          <w:color w:val="auto"/>
        </w:rPr>
        <w:t>. Demand comparable growth is the year-over-year percentage change of demand from our comparable Showrooms and eCommerce, including through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88" w:lineRule="exact"/>
        <w:rPr>
          <w:sz w:val="20"/>
          <w:szCs w:val="20"/>
          <w:color w:val="auto"/>
        </w:rPr>
      </w:pPr>
    </w:p>
    <w:p>
      <w:pPr>
        <w:ind w:right="440"/>
        <w:spacing w:after="0" w:line="343" w:lineRule="auto"/>
        <w:rPr>
          <w:sz w:val="20"/>
          <w:szCs w:val="20"/>
          <w:color w:val="auto"/>
        </w:rPr>
      </w:pPr>
      <w:r>
        <w:rPr>
          <w:rFonts w:ascii="Times New Roman" w:cs="Times New Roman" w:eastAsia="Times New Roman" w:hAnsi="Times New Roman"/>
          <w:sz w:val="13"/>
          <w:szCs w:val="13"/>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6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i w:val="1"/>
          <w:iCs w:val="1"/>
          <w:color w:val="auto"/>
        </w:rPr>
        <w:t xml:space="preserve">Gross Margin. </w:t>
      </w:r>
      <w:r>
        <w:rPr>
          <w:rFonts w:ascii="Times New Roman" w:cs="Times New Roman" w:eastAsia="Times New Roman" w:hAnsi="Times New Roman"/>
          <w:sz w:val="15"/>
          <w:szCs w:val="15"/>
          <w:color w:val="auto"/>
        </w:rPr>
        <w:t>Gross margin is equal to our net revenue less cost of goods sold. Cost of goods sold includes the direct cost of purchased merchandise, inventory reserves, inbound freight,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i w:val="1"/>
          <w:iCs w:val="1"/>
          <w:color w:val="auto"/>
        </w:rPr>
        <w:t xml:space="preserve">Selling, General and Administrative Expenses. </w:t>
      </w:r>
      <w:r>
        <w:rPr>
          <w:rFonts w:ascii="Times New Roman" w:cs="Times New Roman" w:eastAsia="Times New Roman" w:hAnsi="Times New Roman"/>
          <w:sz w:val="13"/>
          <w:szCs w:val="13"/>
          <w:color w:val="auto"/>
        </w:rPr>
        <w:t>Selling, general and administrative (“SG&amp;A”) expenses include all operating costs not included in cost of goods sold. These expenses include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EBITDA. </w:t>
      </w:r>
      <w:r>
        <w:rPr>
          <w:rFonts w:ascii="Times New Roman" w:cs="Times New Roman" w:eastAsia="Times New Roman" w:hAnsi="Times New Roman"/>
          <w:sz w:val="15"/>
          <w:szCs w:val="15"/>
          <w:color w:val="auto"/>
        </w:rPr>
        <w:t>We define EBITDA as consolidated net income before depreciation and amortization, interest income, net and income tax expense.</w:t>
      </w:r>
    </w:p>
    <w:p>
      <w:pPr>
        <w:spacing w:after="0" w:line="14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Adjusted EBITDA. </w:t>
      </w:r>
      <w:r>
        <w:rPr>
          <w:rFonts w:ascii="Times New Roman" w:cs="Times New Roman" w:eastAsia="Times New Roman" w:hAnsi="Times New Roman"/>
          <w:sz w:val="15"/>
          <w:szCs w:val="15"/>
          <w:color w:val="auto"/>
        </w:rPr>
        <w:t>We believe that adjusted EBITDA is a useful measure of operating performance as the adjustments eliminate items that we believe are not reflective of underlying operating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performance in a particular period. Adjusted EBITDA facilitates a comparison of our operating performance on a consistent basis from period-to-period and provides for a more complete understanding of factors and trends affecting our business.</w:t>
      </w:r>
    </w:p>
    <w:p>
      <w:pPr>
        <w:spacing w:after="0" w:line="11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particular period. We also use adjusted EBITDA as a method for planning and forecasting overall expected performance and for evaluating, on a quarterly and annual basis, actual results against such expectations.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reconciliation of our net and comprehensive income to EBITDA and adjusted EBITDA for the periods presented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80" w:type="dxa"/>
            <w:vAlign w:val="bottom"/>
          </w:tcPr>
          <w:p>
            <w:pPr>
              <w:spacing w:after="0"/>
              <w:rPr>
                <w:sz w:val="16"/>
                <w:szCs w:val="16"/>
                <w:color w:val="auto"/>
              </w:rPr>
            </w:pPr>
          </w:p>
        </w:tc>
      </w:tr>
      <w:tr>
        <w:trPr>
          <w:trHeight w:val="191"/>
        </w:trPr>
        <w:tc>
          <w:tcPr>
            <w:tcW w:w="75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76"/>
        </w:trPr>
        <w:tc>
          <w:tcPr>
            <w:tcW w:w="75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and comprehensive income</w:t>
            </w:r>
          </w:p>
        </w:tc>
        <w:tc>
          <w:tcPr>
            <w:tcW w:w="108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15,099</w:t>
            </w:r>
          </w:p>
        </w:tc>
      </w:tr>
      <w:tr>
        <w:trPr>
          <w:trHeight w:val="185"/>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1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w:t>
            </w:r>
          </w:p>
        </w:tc>
      </w:tr>
      <w:tr>
        <w:trPr>
          <w:trHeight w:val="18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w:t>
            </w:r>
          </w:p>
        </w:tc>
      </w:tr>
      <w:tr>
        <w:trPr>
          <w:trHeight w:val="20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11,362</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8,603</w:t>
            </w:r>
          </w:p>
        </w:tc>
      </w:tr>
      <w:tr>
        <w:trPr>
          <w:trHeight w:val="19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EBITDA</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16,869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27,086</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based compensation</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w:t>
            </w:r>
          </w:p>
        </w:tc>
      </w:tr>
      <w:tr>
        <w:trPr>
          <w:trHeight w:val="24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Other expenses </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10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18,572</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29,110</w:t>
            </w:r>
          </w:p>
        </w:tc>
      </w:tr>
      <w:tr>
        <w:trPr>
          <w:trHeight w:val="20"/>
        </w:trPr>
        <w:tc>
          <w:tcPr>
            <w:tcW w:w="7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Other expenses represent costs and investments not indicative of ongoing business performance, such as loss on disposal of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Factors Affecting the Comparability of our Results of Operations</w:t>
      </w:r>
    </w:p>
    <w:p>
      <w:pPr>
        <w:spacing w:after="0" w:line="14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Our results over the past two years have been affected by the following events, which must be understood in order to assess the comparability of our period-to-period financial performance and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Showroom Openings and Closings</w:t>
      </w:r>
    </w:p>
    <w:p>
      <w:pPr>
        <w:spacing w:after="0" w:line="15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auto"/>
        </w:rPr>
        <w:t>New Showrooms contribute incremental expense, new Showroom opening expense and net revenue to the Company. Our recent Showroom growth from January 1, 2024 to March 31, 2025 is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4"/>
        </w:trPr>
        <w:tc>
          <w:tcPr>
            <w:tcW w:w="9000" w:type="dxa"/>
            <w:vAlign w:val="bottom"/>
            <w:gridSpan w:val="3"/>
          </w:tcPr>
          <w:p>
            <w:pPr>
              <w:ind w:left="84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8"/>
        </w:trPr>
        <w:tc>
          <w:tcPr>
            <w:tcW w:w="7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Showrooms open at beginning of period</w:t>
            </w:r>
          </w:p>
        </w:tc>
        <w:tc>
          <w:tcPr>
            <w:tcW w:w="1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185"/>
        </w:trPr>
        <w:tc>
          <w:tcPr>
            <w:tcW w:w="9000" w:type="dxa"/>
            <w:vAlign w:val="bottom"/>
            <w:gridSpan w:val="3"/>
          </w:tcPr>
          <w:p>
            <w:pPr>
              <w:ind w:left="100"/>
              <w:spacing w:after="0" w:line="185" w:lineRule="exact"/>
              <w:rPr>
                <w:sz w:val="20"/>
                <w:szCs w:val="20"/>
                <w:color w:val="auto"/>
              </w:rPr>
            </w:pPr>
            <w:r>
              <w:rPr>
                <w:rFonts w:ascii="Times New Roman" w:cs="Times New Roman" w:eastAsia="Times New Roman" w:hAnsi="Times New Roman"/>
                <w:sz w:val="15"/>
                <w:szCs w:val="15"/>
                <w:color w:val="auto"/>
              </w:rPr>
              <w:t xml:space="preserve">Showrooms opened </w:t>
            </w:r>
            <w:r>
              <w:rPr>
                <w:rFonts w:ascii="Times New Roman" w:cs="Times New Roman" w:eastAsia="Times New Roman" w:hAnsi="Times New Roman"/>
                <w:sz w:val="18"/>
                <w:szCs w:val="18"/>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5"/>
        </w:trPr>
        <w:tc>
          <w:tcPr>
            <w:tcW w:w="9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Showrooms closed for relocations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5"/>
        </w:trPr>
        <w:tc>
          <w:tcPr>
            <w:tcW w:w="7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Showrooms closed permanently</w:t>
            </w: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9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Showrooms open at end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48" w:lineRule="exact"/>
        <w:rPr>
          <w:sz w:val="20"/>
          <w:szCs w:val="20"/>
          <w:color w:val="auto"/>
        </w:rPr>
      </w:pPr>
    </w:p>
    <w:p>
      <w:pPr>
        <w:ind w:left="120" w:hanging="113"/>
        <w:spacing w:after="0"/>
        <w:tabs>
          <w:tab w:leader="none" w:pos="120"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4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2"/>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b w:val="1"/>
                <w:bCs w:val="1"/>
                <w:color w:val="0000FF"/>
                <w:w w:val="94"/>
              </w:rPr>
              <w:t>Table of Contents</w:t>
            </w:r>
          </w:p>
        </w:tc>
        <w:tc>
          <w:tcPr>
            <w:tcW w:w="6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808"/>
        </w:trPr>
        <w:tc>
          <w:tcPr>
            <w:tcW w:w="74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Income Data (in thousands):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3"/>
        </w:trPr>
        <w:tc>
          <w:tcPr>
            <w:tcW w:w="11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4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76"/>
        </w:trPr>
        <w:tc>
          <w:tcPr>
            <w:tcW w:w="1100" w:type="dxa"/>
            <w:vAlign w:val="bottom"/>
            <w:tcBorders>
              <w:bottom w:val="single" w:sz="8" w:color="CCEEFF"/>
            </w:tcBorders>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revenue</w:t>
            </w:r>
          </w:p>
        </w:tc>
        <w:tc>
          <w:tcPr>
            <w:tcW w:w="1040" w:type="dxa"/>
            <w:vAlign w:val="bottom"/>
            <w:shd w:val="clear" w:color="auto" w:fill="CCEEFF"/>
          </w:tcPr>
          <w:p>
            <w:pPr>
              <w:jc w:val="right"/>
              <w:ind w:right="88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311,372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295,162</w:t>
            </w:r>
          </w:p>
        </w:tc>
      </w:tr>
      <w:tr>
        <w:trPr>
          <w:trHeight w:val="185"/>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195,785</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180,108</w:t>
            </w:r>
          </w:p>
        </w:tc>
      </w:tr>
      <w:tr>
        <w:trPr>
          <w:trHeight w:val="176"/>
        </w:trPr>
        <w:tc>
          <w:tcPr>
            <w:tcW w:w="7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Gross margin</w:t>
            </w: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115,587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115,054</w:t>
            </w:r>
          </w:p>
        </w:tc>
      </w:tr>
      <w:tr>
        <w:trPr>
          <w:trHeight w:val="18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110,058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96,693</w:t>
            </w:r>
          </w:p>
        </w:tc>
      </w:tr>
      <w:tr>
        <w:trPr>
          <w:trHeight w:val="185"/>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10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Income from operations</w:t>
            </w:r>
          </w:p>
        </w:tc>
        <w:tc>
          <w:tcPr>
            <w:tcW w:w="1040" w:type="dxa"/>
            <w:vAlign w:val="bottom"/>
          </w:tcPr>
          <w:p>
            <w:pPr>
              <w:jc w:val="right"/>
              <w:ind w:right="88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5,421</w:t>
            </w:r>
          </w:p>
        </w:tc>
        <w:tc>
          <w:tcPr>
            <w:tcW w:w="80" w:type="dxa"/>
            <w:vAlign w:val="bottom"/>
          </w:tcPr>
          <w:p>
            <w:pPr>
              <w:spacing w:after="0"/>
              <w:rPr>
                <w:sz w:val="15"/>
                <w:szCs w:val="15"/>
                <w:color w:val="auto"/>
              </w:rPr>
            </w:pPr>
          </w:p>
        </w:tc>
        <w:tc>
          <w:tcPr>
            <w:tcW w:w="660" w:type="dxa"/>
            <w:vAlign w:val="bottom"/>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18,361</w:t>
            </w:r>
          </w:p>
        </w:tc>
      </w:tr>
      <w:tr>
        <w:trPr>
          <w:trHeight w:val="185"/>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 net</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w:t>
            </w:r>
          </w:p>
        </w:tc>
      </w:tr>
      <w:tr>
        <w:trPr>
          <w:trHeight w:val="185"/>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6"/>
        </w:trPr>
        <w:tc>
          <w:tcPr>
            <w:tcW w:w="7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Income before taxes</w:t>
            </w: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19,915</w:t>
            </w:r>
          </w:p>
        </w:tc>
      </w:tr>
      <w:tr>
        <w:trPr>
          <w:trHeight w:val="185"/>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4,816</w:t>
            </w:r>
          </w:p>
        </w:tc>
      </w:tr>
      <w:tr>
        <w:trPr>
          <w:trHeight w:val="201"/>
        </w:trPr>
        <w:tc>
          <w:tcPr>
            <w:tcW w:w="7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and comprehensive income</w:t>
            </w:r>
          </w:p>
        </w:tc>
        <w:tc>
          <w:tcPr>
            <w:tcW w:w="1040" w:type="dxa"/>
            <w:vAlign w:val="bottom"/>
            <w:tcBorders>
              <w:bottom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15,099</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180"/>
          </w:cols>
          <w:pgMar w:left="300" w:top="109" w:right="41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Other Operational Data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474980</wp:posOffset>
            </wp:positionV>
            <wp:extent cx="7034530" cy="124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4530"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revenue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Comparable growth</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Demand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034530" cy="131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4530" cy="13144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Gross margin as a % of net revenue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034530" cy="131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4530" cy="13144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Income from operations as a % of net revenue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034530" cy="1174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4530" cy="1174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and comprehensive income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03453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4530" cy="1454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18"/>
          <w:szCs w:val="18"/>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Adjusted EBITDA as a % of net revenue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034530" cy="131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4530" cy="1314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466852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685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0"/>
        </w:trPr>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311,372</w:t>
            </w:r>
          </w:p>
        </w:tc>
        <w:tc>
          <w:tcPr>
            <w:tcW w:w="80" w:type="dxa"/>
            <w:vAlign w:val="bottom"/>
          </w:tcPr>
          <w:p>
            <w:pPr>
              <w:spacing w:after="0"/>
              <w:rPr>
                <w:sz w:val="15"/>
                <w:szCs w:val="15"/>
                <w:color w:val="auto"/>
              </w:rPr>
            </w:pPr>
          </w:p>
        </w:tc>
        <w:tc>
          <w:tcPr>
            <w:tcW w:w="44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295,162</w:t>
            </w:r>
          </w:p>
        </w:tc>
      </w:tr>
      <w:tr>
        <w:trPr>
          <w:trHeight w:val="214"/>
        </w:trPr>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7"/>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207"/>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39.0 %</w:t>
            </w:r>
          </w:p>
        </w:tc>
      </w:tr>
      <w:tr>
        <w:trPr>
          <w:trHeight w:val="207"/>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32.8 %</w:t>
            </w:r>
          </w:p>
        </w:tc>
      </w:tr>
      <w:tr>
        <w:trPr>
          <w:trHeight w:val="203"/>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189"/>
        </w:trPr>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4,882</w:t>
            </w:r>
          </w:p>
        </w:tc>
        <w:tc>
          <w:tcPr>
            <w:tcW w:w="80" w:type="dxa"/>
            <w:vAlign w:val="bottom"/>
          </w:tcPr>
          <w:p>
            <w:pPr>
              <w:spacing w:after="0"/>
              <w:rPr>
                <w:sz w:val="16"/>
                <w:szCs w:val="16"/>
                <w:color w:val="auto"/>
              </w:rPr>
            </w:pPr>
          </w:p>
        </w:tc>
        <w:tc>
          <w:tcPr>
            <w:tcW w:w="44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15,099</w:t>
            </w:r>
          </w:p>
        </w:tc>
      </w:tr>
      <w:tr>
        <w:trPr>
          <w:trHeight w:val="218"/>
        </w:trPr>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29"/>
        </w:trPr>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18,572</w:t>
            </w:r>
          </w:p>
        </w:tc>
        <w:tc>
          <w:tcPr>
            <w:tcW w:w="80" w:type="dxa"/>
            <w:vAlign w:val="bottom"/>
          </w:tcPr>
          <w:p>
            <w:pPr>
              <w:spacing w:after="0"/>
              <w:rPr>
                <w:sz w:val="19"/>
                <w:szCs w:val="19"/>
                <w:color w:val="auto"/>
              </w:rPr>
            </w:pPr>
          </w:p>
        </w:tc>
        <w:tc>
          <w:tcPr>
            <w:tcW w:w="44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29,110</w:t>
            </w:r>
          </w:p>
        </w:tc>
      </w:tr>
      <w:tr>
        <w:trPr>
          <w:trHeight w:val="203"/>
        </w:trPr>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9.9 %</w:t>
            </w:r>
          </w:p>
        </w:tc>
      </w:tr>
      <w:tr>
        <w:trPr>
          <w:trHeight w:val="189"/>
        </w:trPr>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bl>
    <w:p>
      <w:pPr>
        <w:spacing w:after="0" w:line="200" w:lineRule="exact"/>
        <w:rPr>
          <w:sz w:val="20"/>
          <w:szCs w:val="20"/>
          <w:color w:val="auto"/>
        </w:rPr>
      </w:pPr>
    </w:p>
    <w:p>
      <w:pPr>
        <w:sectPr>
          <w:pgSz w:w="11900" w:h="16838" w:orient="portrait"/>
          <w:cols w:equalWidth="0" w:num="2">
            <w:col w:w="6640" w:space="720"/>
            <w:col w:w="3820"/>
          </w:cols>
          <w:pgMar w:left="300" w:top="109" w:right="419" w:bottom="1440" w:gutter="0" w:footer="0" w:header="0"/>
          <w:type w:val="continuous"/>
        </w:sectPr>
      </w:pPr>
    </w:p>
    <w:p>
      <w:pPr>
        <w:spacing w:after="0" w:line="97" w:lineRule="exact"/>
        <w:rPr>
          <w:sz w:val="20"/>
          <w:szCs w:val="20"/>
          <w:color w:val="auto"/>
        </w:rPr>
      </w:pPr>
    </w:p>
    <w:p>
      <w:pPr>
        <w:ind w:left="120" w:hanging="113"/>
        <w:spacing w:after="0"/>
        <w:tabs>
          <w:tab w:leader="none" w:pos="12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See “How We Assess the Performance of Our Business,” for a definition of adjusted EBITDA and a reconciliation of adjusted EBITDA to net and comprehensive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Comparison of the three months ended March 31, 2025 and March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Revenue</w:t>
      </w:r>
    </w:p>
    <w:p>
      <w:pPr>
        <w:spacing w:after="0" w:line="15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Net revenue increased $16.2 million, or 5.5%, to $311.4 million in the three months ended March 31, 2025 compared to $295.2 million in the three months ended March 31, 2024. The increase was driven primarily by increased demand for our products in both Showrooms and eCommerce sales channels.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Gross Margin</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Gross margin increased $0.5 million, or 0.4%, to $115.6 million in the three months ended March 31, 2025 compared to $115.1 million in the three months ended March 31, 2024. The increase was primarily due to higher net revenue, partially offset by increased product costs of $7.1 million, higher Showroom occupancy costs of $5.2 million and higher delivery and transportation costs of $1.7 million.</w:t>
      </w:r>
    </w:p>
    <w:p>
      <w:pPr>
        <w:spacing w:after="0" w:line="12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5"/>
          <w:szCs w:val="15"/>
          <w:color w:val="auto"/>
        </w:rPr>
        <w:t>As a percentage of net revenue, gross margin decreased 190 basis points to 37.1% of net revenue in the three months ended March 31, 2025 compared to 39.0% of net revenue in the three months ended March 31, 2024. The gross margin decrease</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180"/>
          </w:cols>
          <w:pgMar w:left="300" w:top="109" w:right="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percentage of net revenue was primarily driven by higher Showroom occupancy costs, which increased 120 basis points, and a product margin decrease of 40 basis points.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Expenses</w:t>
      </w:r>
    </w:p>
    <w:p>
      <w:pPr>
        <w:spacing w:after="0" w:line="14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SG&amp;A expenses increased $13.4 million, or 13.9%, to $110.1 million in the three months ended March 31, 2025 compared to $96.7 million in the three months ended March 31, 2024. The increase in SG&amp;A expenses was primarily due to a $7.2 million increase in general and administrative costs primarily related to warehouse expenses, marketing investments, and strategic investments to support and drive the growth of the business, including supply chain and technology improvements, in addition to a $6.2 million increase in selling expenses primarily related to new Showrooms.</w:t>
      </w:r>
    </w:p>
    <w:p>
      <w:pPr>
        <w:spacing w:after="0" w:line="12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5"/>
          <w:szCs w:val="15"/>
          <w:color w:val="auto"/>
        </w:rPr>
        <w:t>As a percentage of net revenue, SG&amp;A expenses increased 250 basis points to 35.3% of net revenue in the three months ended March 31, 2025 compared to 32.8% of net revenue in the three months ended March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 net</w:t>
      </w:r>
    </w:p>
    <w:p>
      <w:pPr>
        <w:spacing w:after="0" w:line="180" w:lineRule="exact"/>
        <w:rPr>
          <w:sz w:val="20"/>
          <w:szCs w:val="20"/>
          <w:color w:val="auto"/>
        </w:rPr>
      </w:pPr>
    </w:p>
    <w:p>
      <w:pPr>
        <w:ind w:right="1980"/>
        <w:spacing w:after="0" w:line="447" w:lineRule="auto"/>
        <w:rPr>
          <w:sz w:val="20"/>
          <w:szCs w:val="20"/>
          <w:color w:val="auto"/>
        </w:rPr>
      </w:pPr>
      <w:r>
        <w:rPr>
          <w:rFonts w:ascii="Times New Roman" w:cs="Times New Roman" w:eastAsia="Times New Roman" w:hAnsi="Times New Roman"/>
          <w:sz w:val="15"/>
          <w:szCs w:val="15"/>
          <w:color w:val="auto"/>
        </w:rPr>
        <w:t xml:space="preserve">Interest income, net decreased to $0.6 million in the three months ended March 31, 2025 compared to $1.4 million in the three months ended March 31, 2024. </w:t>
      </w:r>
      <w:r>
        <w:rPr>
          <w:rFonts w:ascii="Times New Roman" w:cs="Times New Roman" w:eastAsia="Times New Roman" w:hAnsi="Times New Roman"/>
          <w:sz w:val="15"/>
          <w:szCs w:val="15"/>
          <w:b w:val="1"/>
          <w:bCs w:val="1"/>
          <w:i w:val="1"/>
          <w:iCs w:val="1"/>
          <w:color w:val="auto"/>
        </w:rPr>
        <w:t>Income Taxes</w:t>
      </w:r>
    </w:p>
    <w:p>
      <w:pPr>
        <w:ind w:right="20"/>
        <w:spacing w:after="0" w:line="265" w:lineRule="auto"/>
        <w:rPr>
          <w:sz w:val="20"/>
          <w:szCs w:val="20"/>
          <w:color w:val="auto"/>
        </w:rPr>
      </w:pPr>
      <w:r>
        <w:rPr>
          <w:rFonts w:ascii="Times New Roman" w:cs="Times New Roman" w:eastAsia="Times New Roman" w:hAnsi="Times New Roman"/>
          <w:sz w:val="15"/>
          <w:szCs w:val="15"/>
          <w:color w:val="auto"/>
        </w:rPr>
        <w:t>Income taxes were $1.2 million in the three months ended March 31, 2025 compared to $4.8 million in the three months ended March 31, 2024. Our effective tax rate was 19.7% and 24.2% for the three months ended March 31, 2025 and March 31, 2024,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and Comprehensive Income</w:t>
      </w:r>
    </w:p>
    <w:p>
      <w:pPr>
        <w:spacing w:after="0" w:line="14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5"/>
          <w:szCs w:val="15"/>
          <w:color w:val="auto"/>
        </w:rPr>
        <w:t>Net and comprehensive income decreased $10.2 million to $4.9 million in the three months ended March 31, 2025 compared to $15.1 million in the three months ended March 31, 2024. The decrease was driven by the factors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Outlook</w:t>
      </w:r>
    </w:p>
    <w:p>
      <w:pPr>
        <w:spacing w:after="0" w:line="147"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3"/>
          <w:szCs w:val="13"/>
          <w:color w:val="auto"/>
        </w:rPr>
        <w:t>Our primary cash needs have historically been for merchandise inventories, payroll, Showroom rent, marketing catalogs and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March 31, 2025, we had cash and cash equivalents of $214.4 million.</w:t>
      </w:r>
    </w:p>
    <w:p>
      <w:pPr>
        <w:spacing w:after="0" w:line="9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5"/>
          <w:szCs w:val="15"/>
          <w:color w:val="auto"/>
        </w:rPr>
        <w:t>For the three months ended March 31, 2025,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0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5"/>
          <w:szCs w:val="15"/>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growth initiatives, including supply chain and technology improvements. In addition, our needs and uses of capital may change in the future due to changes in our business or new opportunities that we choose to pursue. As of March 31, 2025, we have no material off-balance sheet arrangements.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On February 29, 2024, the Board of Directors of the Company declared a special cash dividend on the Company’s Class A and Class B common stock of $0.50 per share, payable April 4, 2024, to shareholders of record at the close of business on March 21, 2024. The Company paid out $0.2 million of the aforementioned special cash dividend on its Class A common stock related to equity awards that vested during the three months ended March 31, 2025.</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Credit Facility</w:t>
      </w:r>
    </w:p>
    <w:p>
      <w:pPr>
        <w:spacing w:after="0" w:line="158"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3"/>
          <w:szCs w:val="13"/>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w:t>
      </w:r>
    </w:p>
    <w:p>
      <w:pPr>
        <w:spacing w:after="0" w:line="1" w:lineRule="exact"/>
        <w:rPr>
          <w:sz w:val="20"/>
          <w:szCs w:val="20"/>
          <w:color w:val="auto"/>
        </w:rPr>
      </w:pPr>
    </w:p>
    <w:p>
      <w:pPr>
        <w:ind w:firstLine="7"/>
        <w:spacing w:after="0" w:line="243" w:lineRule="auto"/>
        <w:tabs>
          <w:tab w:leader="none" w:pos="20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March 31, 2024), whereas the applicable margin is adjusted quarterly based on the Company’s consolidated rent-adjusted total leverage ratio.</w:t>
      </w:r>
    </w:p>
    <w:p>
      <w:pPr>
        <w:spacing w:after="0" w:line="125"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5"/>
          <w:szCs w:val="15"/>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10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 xml:space="preserve">On August 30,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March 31, 2025). The 2021 Credit Facility expires on November 8, 2026. At March 31, 2025, we had no borrowings on the 2021 Credit Facility. Refer to Note 4 —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to our condensed consolidated financial statements for further information on our 2021 Credit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 Analysis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summary of our cash provided by operating, investing and financing activities (amounts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1060" w:type="dxa"/>
            <w:vAlign w:val="bottom"/>
          </w:tcPr>
          <w:p>
            <w:pPr>
              <w:spacing w:after="0"/>
              <w:rPr>
                <w:sz w:val="16"/>
                <w:szCs w:val="16"/>
                <w:color w:val="auto"/>
              </w:rPr>
            </w:pPr>
          </w:p>
        </w:tc>
      </w:tr>
      <w:tr>
        <w:trPr>
          <w:trHeight w:val="20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gridSpan w:val="3"/>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Pr>
          <w:p>
            <w:pPr>
              <w:spacing w:after="0"/>
              <w:rPr>
                <w:sz w:val="17"/>
                <w:szCs w:val="17"/>
                <w:color w:val="auto"/>
              </w:rPr>
            </w:pPr>
          </w:p>
        </w:tc>
      </w:tr>
      <w:tr>
        <w:trPr>
          <w:trHeight w:val="21"/>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6"/>
        </w:trPr>
        <w:tc>
          <w:tcPr>
            <w:tcW w:w="76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8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36,828</w:t>
            </w:r>
          </w:p>
        </w:tc>
      </w:t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(27,621)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(25,932)</w:t>
            </w:r>
          </w:p>
        </w:tc>
      </w:tr>
      <w:tr>
        <w:trPr>
          <w:trHeight w:val="18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108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16,985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10,135</w:t>
            </w: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cash provided by operating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Comparison of the three months ended March 31, 2025 and March 31, 2024</w:t>
      </w:r>
    </w:p>
    <w:p>
      <w:pPr>
        <w:spacing w:after="0" w:line="145"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5"/>
          <w:szCs w:val="15"/>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0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For the three months ended March 31, 2025, net cash provided by operating activities was $46.5 million and consisted of net income of $4.9 million, an increase of non-cash items of $30.1 million and an increase in working capital and other activities of $11.5 million. The change in working capital was primarily driven by an increase in client deposits of $42.3 million, which was partially offset by a decrease in operating lease liabilities of $13.9 million primarily due to payments made under the related lease agreements, a decrease in accounts payable of $8.7 million, an increase in merchandise inventory of $4.4 million and a decrease in accrued expenses of $3.2 million in the three months ended March 31, 2025.</w:t>
      </w:r>
    </w:p>
    <w:p>
      <w:pPr>
        <w:spacing w:after="0" w:line="13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5"/>
          <w:szCs w:val="15"/>
          <w:color w:val="auto"/>
        </w:rPr>
        <w:t>For the three months ended March 31, 2024, net cash provided by operating activities was $36.8 million and consisted of net income of $15.1 million and an increase of non-cash items of $26.0 million, which were partially offset by a change in working capital and other activities of $4.3 million. The use of cash from working capital was primarily driven by an increase in merchandise inventory of $14.1 million, an increase in prepaid and other assets of $5.8 million, a decrease in accrued expenses of $5.1 million, a decrease in accounts payable of $4.8 million, and a decrease in operating lease liabilities of $4.2 million primarily due to payments made under the related lease agreements which was partially offset by an increase in client deposits of $29.1 million in the three months ended March 31, 2024.</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cash used in investing activities</w:t>
      </w:r>
    </w:p>
    <w:p>
      <w:pPr>
        <w:spacing w:after="0" w:line="15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5"/>
          <w:szCs w:val="15"/>
          <w:color w:val="auto"/>
        </w:rPr>
        <w:t>Investing activities consist primarily of capital expenditures related to investments in retail Showrooms, vehicles, information technology and systems infrastructure, as well as supply chain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Comparison of the three months ended March 31, 2025 and March 31, 2024</w:t>
      </w:r>
    </w:p>
    <w:p>
      <w:pPr>
        <w:spacing w:after="0" w:line="14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For the three months ended March 31, 2025, net cash used in investing activities was $27.6 million primarily due to investments in Showrooms, vehicles and information technology and systems infrastructure.</w:t>
      </w:r>
    </w:p>
    <w:p>
      <w:pPr>
        <w:spacing w:after="0" w:line="120" w:lineRule="exact"/>
        <w:rPr>
          <w:sz w:val="20"/>
          <w:szCs w:val="20"/>
          <w:color w:val="auto"/>
        </w:rPr>
      </w:pPr>
    </w:p>
    <w:p>
      <w:pPr>
        <w:ind w:right="760"/>
        <w:spacing w:after="0" w:line="265" w:lineRule="auto"/>
        <w:rPr>
          <w:sz w:val="20"/>
          <w:szCs w:val="20"/>
          <w:color w:val="auto"/>
        </w:rPr>
      </w:pPr>
      <w:r>
        <w:rPr>
          <w:rFonts w:ascii="Times New Roman" w:cs="Times New Roman" w:eastAsia="Times New Roman" w:hAnsi="Times New Roman"/>
          <w:sz w:val="15"/>
          <w:szCs w:val="15"/>
          <w:color w:val="auto"/>
        </w:rPr>
        <w:t>For the three months ended March 31, 2024, net cash used in investing activities was $25.9 million primarily due to investments in Showrooms, information technology and systems infrastructure and strategic investments in our supply chain.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Expenditures</w:t>
      </w:r>
    </w:p>
    <w:p>
      <w:pPr>
        <w:spacing w:after="0" w:line="14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5"/>
          <w:szCs w:val="15"/>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5"/>
                <w:szCs w:val="15"/>
                <w:color w:val="auto"/>
              </w:rPr>
              <w:t>Historical capital expenditures are summarized as follows (amounts in thousands):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59"/>
        </w:trPr>
        <w:tc>
          <w:tcPr>
            <w:tcW w:w="7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1060" w:type="dxa"/>
            <w:vAlign w:val="bottom"/>
          </w:tcPr>
          <w:p>
            <w:pPr>
              <w:spacing w:after="0"/>
              <w:rPr>
                <w:sz w:val="24"/>
                <w:szCs w:val="24"/>
                <w:color w:val="auto"/>
              </w:rPr>
            </w:pPr>
          </w:p>
        </w:tc>
      </w:tr>
      <w:tr>
        <w:trPr>
          <w:trHeight w:val="20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gridSpan w:val="3"/>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Pr>
          <w:p>
            <w:pPr>
              <w:spacing w:after="0"/>
              <w:rPr>
                <w:sz w:val="17"/>
                <w:szCs w:val="17"/>
                <w:color w:val="auto"/>
              </w:rPr>
            </w:pPr>
          </w:p>
        </w:tc>
      </w:tr>
      <w:tr>
        <w:trPr>
          <w:trHeight w:val="21"/>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7"/>
        </w:trPr>
        <w:tc>
          <w:tcPr>
            <w:tcW w:w="7680" w:type="dxa"/>
            <w:vAlign w:val="bottom"/>
          </w:tcPr>
          <w:p>
            <w:pPr>
              <w:spacing w:after="0"/>
              <w:rPr>
                <w:sz w:val="16"/>
                <w:szCs w:val="16"/>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80" w:type="dxa"/>
            <w:vAlign w:val="bottom"/>
            <w:tcBorders>
              <w:bottom w:val="single" w:sz="8" w:color="CCEEFF"/>
            </w:tcBorders>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25,932</w:t>
            </w:r>
          </w:p>
        </w:tc>
      </w:tr>
      <w:tr>
        <w:trPr>
          <w:trHeight w:val="218"/>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Landlord contributions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5,473</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13,004</w:t>
            </w: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capital expenditures, net of landlord contributions</w:t>
            </w:r>
          </w:p>
        </w:tc>
        <w:tc>
          <w:tcPr>
            <w:tcW w:w="1080" w:type="dxa"/>
            <w:vAlign w:val="bottom"/>
            <w:tcBorders>
              <w:bottom w:val="single" w:sz="8" w:color="CCEEFF"/>
            </w:tcBorders>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capital expenditures, net of landlord contributions increased by $9.2 million in the three months ended March 31, 2025 compared to the three months ended March 31, 2024.</w:t>
      </w:r>
    </w:p>
    <w:p>
      <w:pPr>
        <w:spacing w:after="0" w:line="176" w:lineRule="exact"/>
        <w:rPr>
          <w:sz w:val="20"/>
          <w:szCs w:val="20"/>
          <w:color w:val="auto"/>
        </w:rPr>
      </w:pPr>
    </w:p>
    <w:p>
      <w:pPr>
        <w:ind w:right="220"/>
        <w:spacing w:after="0" w:line="445" w:lineRule="auto"/>
        <w:rPr>
          <w:sz w:val="20"/>
          <w:szCs w:val="20"/>
          <w:color w:val="auto"/>
        </w:rPr>
      </w:pPr>
      <w:r>
        <w:rPr>
          <w:rFonts w:ascii="Times New Roman" w:cs="Times New Roman" w:eastAsia="Times New Roman" w:hAnsi="Times New Roman"/>
          <w:sz w:val="15"/>
          <w:szCs w:val="15"/>
          <w:color w:val="auto"/>
        </w:rPr>
        <w:t xml:space="preserve">We anticipate our total capital expenditures, net of landlord contributions to be between $90 million and $110 million in fiscal year 2025, primarily related to the opening of new Showrooms. </w:t>
      </w:r>
      <w:r>
        <w:rPr>
          <w:rFonts w:ascii="Times New Roman" w:cs="Times New Roman" w:eastAsia="Times New Roman" w:hAnsi="Times New Roman"/>
          <w:sz w:val="15"/>
          <w:szCs w:val="15"/>
          <w:b w:val="1"/>
          <w:bCs w:val="1"/>
          <w:i w:val="1"/>
          <w:iCs w:val="1"/>
          <w:color w:val="auto"/>
        </w:rPr>
        <w:t>Net cash used in financing activities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Comparison of the three months ended March 31, 2025 and March 31, 2024</w:t>
      </w:r>
    </w:p>
    <w:p>
      <w:pPr>
        <w:spacing w:after="0" w:line="14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For the three months ended March 31, 2025, net cash used in financing activities was $1.9 million primarily due to the repurchase of shares for payment of withholding taxes for equity based compensation.</w:t>
      </w:r>
    </w:p>
    <w:p>
      <w:pPr>
        <w:spacing w:after="0" w:line="16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For the three months ended March 31, 2024, net cash used in financing activities was $0.8 million primarily due to the repurchase of shares for payment of withholding taxes for equity based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5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5"/>
          <w:szCs w:val="15"/>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See Note 2 — </w:t>
      </w:r>
      <w:r>
        <w:rPr>
          <w:rFonts w:ascii="Times New Roman" w:cs="Times New Roman" w:eastAsia="Times New Roman" w:hAnsi="Times New Roman"/>
          <w:sz w:val="15"/>
          <w:szCs w:val="15"/>
          <w:i w:val="1"/>
          <w:iCs w:val="1"/>
          <w:color w:val="auto"/>
        </w:rPr>
        <w:t>Recently Issued Accounting Standards</w:t>
      </w:r>
      <w:r>
        <w:rPr>
          <w:rFonts w:ascii="Times New Roman" w:cs="Times New Roman" w:eastAsia="Times New Roman" w:hAnsi="Times New Roman"/>
          <w:sz w:val="15"/>
          <w:szCs w:val="15"/>
          <w:color w:val="auto"/>
        </w:rPr>
        <w:t xml:space="preserve"> to our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5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5"/>
          <w:szCs w:val="15"/>
          <w:color w:val="auto"/>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Foreign Currency Exchange Risk</w:t>
      </w:r>
    </w:p>
    <w:p>
      <w:pPr>
        <w:spacing w:after="0" w:line="14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three months ended March 31, 2025 and March 31, 2024,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4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5"/>
          <w:szCs w:val="15"/>
          <w:color w:val="auto"/>
        </w:rPr>
        <w:t>We are primarily exposed to interest rate risk with respect to borrowing under our 2021 Credit Facility and as of March 31, 2025,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Impact of Inflation</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Management, with the participation of our CEO and Acting Principal Financial Officer (“Acting PFO”), evaluated the effectiveness of the design and operation of our disclosure controls and procedures (as defined in Rules 13a-15(e) and 15d-15(e) of the Securities Exchange Act of 1934 (“Exchange Act”)) as of March 31, 2025. Based upon that evaluation as of March 31, 2025, our CEO and Acting PFO have concluded that our disclosure controls and procedures were not effective at the reasonable assurance level because of the material weaknesses in our internal control over financial reporting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Despite these material weaknesses, our CEO and Acting PFO concluded the financial statements were prepared in accordance with U.S. GAAP.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Weaknesses in Internal Control Over Financial Reporting</w:t>
      </w:r>
    </w:p>
    <w:p>
      <w:pPr>
        <w:spacing w:after="0" w:line="1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four material weaknesses in our ICFR.</w:t>
      </w:r>
    </w:p>
    <w:p>
      <w:pPr>
        <w:spacing w:after="0" w:line="109" w:lineRule="exact"/>
        <w:rPr>
          <w:sz w:val="20"/>
          <w:szCs w:val="20"/>
          <w:color w:val="auto"/>
        </w:rPr>
      </w:pPr>
    </w:p>
    <w:p>
      <w:pPr>
        <w:ind w:left="540" w:right="280" w:hanging="271"/>
        <w:spacing w:after="0" w:line="246" w:lineRule="auto"/>
        <w:tabs>
          <w:tab w:leader="none" w:pos="53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2" w:lineRule="exact"/>
        <w:rPr>
          <w:rFonts w:ascii="Times New Roman" w:cs="Times New Roman" w:eastAsia="Times New Roman" w:hAnsi="Times New Roman"/>
          <w:sz w:val="15"/>
          <w:szCs w:val="15"/>
          <w:color w:val="auto"/>
        </w:rPr>
      </w:pPr>
    </w:p>
    <w:p>
      <w:pPr>
        <w:ind w:left="540" w:right="120" w:hanging="271"/>
        <w:spacing w:after="0" w:line="244" w:lineRule="auto"/>
        <w:tabs>
          <w:tab w:leader="none" w:pos="53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did not design and maintain accounting policies, procedures and controls, or maintain documentary evidence of existing control activities over significant accounts and disclosures to achieve complete, accurate and timely</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540" w:right="180"/>
        <w:spacing w:after="0" w:line="252" w:lineRule="auto"/>
        <w:rPr>
          <w:sz w:val="20"/>
          <w:szCs w:val="20"/>
          <w:color w:val="auto"/>
        </w:rPr>
      </w:pPr>
      <w:r>
        <w:rPr>
          <w:rFonts w:ascii="Times New Roman" w:cs="Times New Roman" w:eastAsia="Times New Roman" w:hAnsi="Times New Roman"/>
          <w:sz w:val="15"/>
          <w:szCs w:val="15"/>
          <w:color w:val="auto"/>
        </w:rPr>
        <w:t>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sz w:val="20"/>
          <w:szCs w:val="20"/>
          <w:color w:val="auto"/>
        </w:rPr>
      </w:pPr>
    </w:p>
    <w:p>
      <w:pPr>
        <w:ind w:left="540" w:right="260" w:hanging="271"/>
        <w:spacing w:after="0" w:line="244" w:lineRule="auto"/>
        <w:tabs>
          <w:tab w:leader="none" w:pos="53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did not design and maintain effective controls to address the identification of and accounting for certain non-routine or complex transactions, including the proper application of U.S. GAAP of such transactions.</w:t>
      </w:r>
    </w:p>
    <w:p>
      <w:pPr>
        <w:spacing w:after="0" w:line="1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5"/>
          <w:szCs w:val="15"/>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3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96" w:lineRule="exact"/>
        <w:rPr>
          <w:sz w:val="20"/>
          <w:szCs w:val="20"/>
          <w:color w:val="auto"/>
        </w:rPr>
      </w:pPr>
    </w:p>
    <w:p>
      <w:pPr>
        <w:ind w:left="540" w:hanging="271"/>
        <w:spacing w:after="0" w:line="247"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Remediation Activities</w:t>
      </w:r>
    </w:p>
    <w:p>
      <w:pPr>
        <w:spacing w:after="0" w:line="145" w:lineRule="exact"/>
        <w:rPr>
          <w:sz w:val="20"/>
          <w:szCs w:val="20"/>
          <w:color w:val="auto"/>
        </w:rPr>
      </w:pPr>
    </w:p>
    <w:p>
      <w:pPr>
        <w:ind w:right="200"/>
        <w:spacing w:after="0" w:line="343" w:lineRule="auto"/>
        <w:rPr>
          <w:sz w:val="20"/>
          <w:szCs w:val="20"/>
          <w:color w:val="auto"/>
        </w:rPr>
      </w:pPr>
      <w:r>
        <w:rPr>
          <w:rFonts w:ascii="Times New Roman" w:cs="Times New Roman" w:eastAsia="Times New Roman" w:hAnsi="Times New Roman"/>
          <w:sz w:val="13"/>
          <w:szCs w:val="13"/>
          <w:color w:val="auto"/>
        </w:rPr>
        <w:t>As of March 31, 2025, with the oversight of senior management and our Audit Committee, we continue to assess, implement and redesign our ICFR. While the material weaknesses are not considered remediated until the related internal controls are tested and deemed to be operating effectively, we have made progress and continue to implement our remediation plan as follows:</w:t>
      </w:r>
    </w:p>
    <w:p>
      <w:pPr>
        <w:spacing w:after="0" w:line="63" w:lineRule="exact"/>
        <w:rPr>
          <w:sz w:val="20"/>
          <w:szCs w:val="20"/>
          <w:color w:val="auto"/>
        </w:rPr>
      </w:pPr>
    </w:p>
    <w:p>
      <w:pPr>
        <w:ind w:left="540" w:right="20" w:hanging="271"/>
        <w:spacing w:after="0" w:line="291" w:lineRule="auto"/>
        <w:tabs>
          <w:tab w:leader="none" w:pos="536"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Established a taskforce of cross functional senior members of the Company’s leadership to manage deficiency remediation. The taskforce is composed of internal resources and external advisors with expertise in designing and implementing internal controls. Our remediation plan includes the development of actions plans for individual control deficiencies.</w:t>
      </w:r>
    </w:p>
    <w:p>
      <w:pPr>
        <w:spacing w:after="0" w:line="1" w:lineRule="exact"/>
        <w:rPr>
          <w:rFonts w:ascii="Times New Roman" w:cs="Times New Roman" w:eastAsia="Times New Roman" w:hAnsi="Times New Roman"/>
          <w:sz w:val="13"/>
          <w:szCs w:val="13"/>
          <w:color w:val="auto"/>
        </w:rPr>
      </w:pPr>
    </w:p>
    <w:p>
      <w:pPr>
        <w:ind w:left="540" w:right="40" w:hanging="271"/>
        <w:spacing w:after="0" w:line="244" w:lineRule="auto"/>
        <w:tabs>
          <w:tab w:leader="none" w:pos="53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Outsourced our internal audit department to a third-party service firm and transitioned our former internal audit department to our business process improvement function. The business process improvement function is assisting in the design and implementation of controls along with the development and execution of the remediation action plans.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ind w:left="540" w:right="240" w:hanging="271"/>
        <w:spacing w:after="0" w:line="252"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Established regular meetings between senior management and members of the Audit Committee to discuss and report on remediation progress and objectives. Additionally, progress updates are regularly provided to the Board of Directors.</w:t>
      </w:r>
    </w:p>
    <w:p>
      <w:pPr>
        <w:spacing w:after="0" w:line="1" w:lineRule="exact"/>
        <w:rPr>
          <w:rFonts w:ascii="Times New Roman" w:cs="Times New Roman" w:eastAsia="Times New Roman" w:hAnsi="Times New Roman"/>
          <w:sz w:val="15"/>
          <w:szCs w:val="15"/>
          <w:color w:val="auto"/>
        </w:rPr>
      </w:pPr>
    </w:p>
    <w:p>
      <w:pPr>
        <w:ind w:left="520" w:hanging="251"/>
        <w:spacing w:after="0" w:line="227" w:lineRule="auto"/>
        <w:tabs>
          <w:tab w:leader="none" w:pos="52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5"/>
          <w:szCs w:val="15"/>
          <w:color w:val="auto"/>
        </w:rPr>
        <w:t>Trainings have been and will continue to be conducted with control owners and performers on various topics including, but not limited to:</w:t>
      </w:r>
    </w:p>
    <w:p>
      <w:pPr>
        <w:spacing w:after="0" w:line="1" w:lineRule="exact"/>
        <w:rPr>
          <w:rFonts w:ascii="Arial" w:cs="Arial" w:eastAsia="Arial" w:hAnsi="Arial"/>
          <w:sz w:val="16"/>
          <w:szCs w:val="16"/>
          <w:color w:val="auto"/>
        </w:rPr>
      </w:pPr>
    </w:p>
    <w:p>
      <w:pPr>
        <w:ind w:left="80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user access review completion;</w:t>
      </w:r>
    </w:p>
    <w:p>
      <w:pPr>
        <w:ind w:left="800"/>
        <w:spacing w:after="0" w:line="213"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review and conclusions around Systems and Organization Control I (“SOC1”) reports;</w:t>
      </w:r>
    </w:p>
    <w:p>
      <w:pPr>
        <w:ind w:left="80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software used in accounting;</w:t>
      </w:r>
    </w:p>
    <w:p>
      <w:pPr>
        <w:ind w:left="80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validation of the system generated data used in the execution of a control;</w:t>
      </w:r>
    </w:p>
    <w:p>
      <w:pPr>
        <w:ind w:left="80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account reconciliation formats and required support;</w:t>
      </w:r>
    </w:p>
    <w:p>
      <w:pPr>
        <w:ind w:left="800"/>
        <w:spacing w:after="0" w:line="227"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journal entry review and support; and</w:t>
      </w:r>
    </w:p>
    <w:p>
      <w:pPr>
        <w:ind w:left="800"/>
        <w:spacing w:after="0" w:line="213"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maintaining evidence of control support.</w:t>
      </w:r>
    </w:p>
    <w:p>
      <w:pPr>
        <w:ind w:left="540" w:right="60" w:hanging="271"/>
        <w:spacing w:after="0" w:line="223"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Assessed the competency and quantity of accounting personnel to determine the appropriate composition and expertise. As a result, we hired additional competent and qualified technical accounting and financial reporting personnel with appropriate knowledge and experience of U.S. GAAP and SEC financial reporting requirements. We have also hired subject matter experts with knowledge and experience with lease accounting. We are taking steps to ensure that the leaders in the accounting department have the appropriate knowledge and experience to design, execute and/or provide appropriate oversight of activities related to ICFR. We will continue to assess our personnel needs.</w:t>
      </w:r>
    </w:p>
    <w:p>
      <w:pPr>
        <w:spacing w:after="0" w:line="1" w:lineRule="exact"/>
        <w:rPr>
          <w:rFonts w:ascii="Times New Roman" w:cs="Times New Roman" w:eastAsia="Times New Roman" w:hAnsi="Times New Roman"/>
          <w:sz w:val="15"/>
          <w:szCs w:val="15"/>
          <w:color w:val="auto"/>
        </w:rPr>
      </w:pPr>
    </w:p>
    <w:p>
      <w:pPr>
        <w:ind w:left="540" w:right="20" w:hanging="271"/>
        <w:spacing w:after="0" w:line="231"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Hired and will continue to hire additional personnel with the knowledge and experience to identify and account for non-routine or complex transactions, including the proper application of U.S. GAAP to such transactions, as well as execute and/or provide appropriate oversight of activities related to ICFR. Since the end of 2021, significant additional personnel have been added to the accounting, financial reporting and business process teams.</w:t>
      </w:r>
    </w:p>
    <w:p>
      <w:pPr>
        <w:spacing w:after="0" w:line="2" w:lineRule="exact"/>
        <w:rPr>
          <w:rFonts w:ascii="Times New Roman" w:cs="Times New Roman" w:eastAsia="Times New Roman" w:hAnsi="Times New Roman"/>
          <w:sz w:val="15"/>
          <w:szCs w:val="15"/>
          <w:color w:val="auto"/>
        </w:rPr>
      </w:pPr>
    </w:p>
    <w:p>
      <w:pPr>
        <w:ind w:left="540" w:right="120" w:hanging="271"/>
        <w:spacing w:after="0" w:line="227" w:lineRule="auto"/>
        <w:tabs>
          <w:tab w:leader="none" w:pos="5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Enhanced our communications to employees on our internal control environment and related expectations. We continue to take steps to ensure personnel both existing and newly hired are adequately trained with the appropriate level of knowledge and understanding of ICFR and its importance.</w:t>
      </w:r>
    </w:p>
    <w:p>
      <w:pPr>
        <w:spacing w:after="0" w:line="1" w:lineRule="exact"/>
        <w:rPr>
          <w:rFonts w:ascii="Times New Roman" w:cs="Times New Roman" w:eastAsia="Times New Roman" w:hAnsi="Times New Roman"/>
          <w:sz w:val="16"/>
          <w:szCs w:val="16"/>
          <w:color w:val="auto"/>
        </w:rPr>
      </w:pPr>
    </w:p>
    <w:p>
      <w:pPr>
        <w:ind w:left="540" w:right="80" w:hanging="271"/>
        <w:spacing w:after="0" w:line="227"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Commenced and continue to update our policies and procedures to establish and maintain effective segregation of duties for our accounting staff in relation to journal entries, reconciliations and other applicable processes. To supplement existing procedures, management plans to utilize account reconciliation software tools which are expected to increase the reliability around the monthly financial statement close procedures.</w:t>
      </w:r>
    </w:p>
    <w:p>
      <w:pPr>
        <w:ind w:left="520" w:hanging="251"/>
        <w:spacing w:after="0" w:line="227" w:lineRule="auto"/>
        <w:tabs>
          <w:tab w:leader="none" w:pos="5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and implemented formal processes, policies and procedures to support our financial close process, including but not limited to:</w:t>
      </w:r>
    </w:p>
    <w:p>
      <w:pPr>
        <w:ind w:left="800"/>
        <w:spacing w:after="0" w:line="22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formalized procedures over the review of our financial statements;</w:t>
      </w:r>
    </w:p>
    <w:p>
      <w:pPr>
        <w:ind w:left="800"/>
        <w:spacing w:after="0" w:line="21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implemented period-end closing task checklists; and</w:t>
      </w:r>
    </w:p>
    <w:p>
      <w:pPr>
        <w:ind w:left="800"/>
        <w:spacing w:after="0" w:line="22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standardized reconciliation process.</w:t>
      </w:r>
    </w:p>
    <w:p>
      <w:pPr>
        <w:ind w:left="540" w:right="60"/>
        <w:spacing w:after="0" w:line="233" w:lineRule="auto"/>
        <w:rPr>
          <w:sz w:val="20"/>
          <w:szCs w:val="20"/>
          <w:color w:val="auto"/>
        </w:rPr>
      </w:pPr>
      <w:r>
        <w:rPr>
          <w:rFonts w:ascii="Times New Roman" w:cs="Times New Roman" w:eastAsia="Times New Roman" w:hAnsi="Times New Roman"/>
          <w:sz w:val="15"/>
          <w:szCs w:val="15"/>
          <w:color w:val="auto"/>
        </w:rPr>
        <w:t>Management will continue to evaluate and refine its financial statement close process. The processes, policies and procedures to support our financial close process will need to operate for a period of time and be tested for operating effectiveness.</w:t>
      </w:r>
    </w:p>
    <w:p>
      <w:pPr>
        <w:ind w:left="520" w:hanging="251"/>
        <w:spacing w:after="0" w:line="230" w:lineRule="auto"/>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Designed and implemented policies and procedures for accounting for equity-based compensation awards, which include:</w:t>
      </w: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Engaged a third-party service provider to administer and disburse awards to award recipients.</w:t>
      </w:r>
    </w:p>
    <w:p>
      <w:pPr>
        <w:ind w:left="1060" w:hanging="261"/>
        <w:spacing w:after="0" w:line="213"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Established procedures to evaluate equity-based compensation awards to ensure that the awards have the appropriate accounting classification under U.S. GAAP including the</w:t>
      </w: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determination of the fair value of such awards.</w:t>
      </w:r>
    </w:p>
    <w:p>
      <w:pPr>
        <w:spacing w:after="0" w:line="1" w:lineRule="exact"/>
        <w:rPr>
          <w:rFonts w:ascii="Times New Roman" w:cs="Times New Roman" w:eastAsia="Times New Roman" w:hAnsi="Times New Roman"/>
          <w:sz w:val="16"/>
          <w:szCs w:val="16"/>
          <w:color w:val="auto"/>
        </w:rPr>
      </w:pPr>
    </w:p>
    <w:p>
      <w:pPr>
        <w:ind w:left="540" w:right="500" w:hanging="271"/>
        <w:spacing w:after="0" w:line="234" w:lineRule="auto"/>
        <w:tabs>
          <w:tab w:leader="none" w:pos="53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Enhanced the design of the control activities over the review of our consolidated balance sheet and statement of cash flows to help ensure that the classification of operating and investing activities is appropriately presented in the statement of cash flows.</w:t>
      </w:r>
    </w:p>
    <w:p>
      <w:pPr>
        <w:ind w:left="520" w:hanging="251"/>
        <w:spacing w:after="0"/>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Designed and implemented policies and procedures, including but not limited to:</w:t>
      </w:r>
    </w:p>
    <w:p>
      <w:pPr>
        <w:spacing w:after="0" w:line="5"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lease accounting;</w:t>
      </w:r>
    </w:p>
    <w:p>
      <w:pPr>
        <w:spacing w:after="0" w:line="3"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revenue recognition;</w:t>
      </w: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goodwill and other long-lived assets;</w:t>
      </w:r>
    </w:p>
    <w:p>
      <w:pPr>
        <w:spacing w:after="0" w:line="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fixed assets and software capitalization;</w:t>
      </w:r>
    </w:p>
    <w:p>
      <w:pPr>
        <w:spacing w:after="0" w:line="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merchandise warranties; and</w:t>
      </w:r>
    </w:p>
    <w:p>
      <w:pPr>
        <w:spacing w:after="0" w:line="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income taxes.</w:t>
      </w:r>
    </w:p>
    <w:p>
      <w:pPr>
        <w:spacing w:after="0" w:line="1" w:lineRule="exact"/>
        <w:rPr>
          <w:rFonts w:ascii="Times New Roman" w:cs="Times New Roman" w:eastAsia="Times New Roman" w:hAnsi="Times New Roman"/>
          <w:sz w:val="16"/>
          <w:szCs w:val="16"/>
          <w:color w:val="auto"/>
        </w:rPr>
      </w:pPr>
    </w:p>
    <w:p>
      <w:pPr>
        <w:ind w:left="520" w:hanging="251"/>
        <w:spacing w:after="0" w:line="236" w:lineRule="auto"/>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Enhanced company policies related to review of significant contracts prior to execution for critical accounting terms.</w:t>
      </w:r>
    </w:p>
    <w:p>
      <w:pPr>
        <w:spacing w:after="0" w:line="4" w:lineRule="exact"/>
        <w:rPr>
          <w:rFonts w:ascii="Times New Roman" w:cs="Times New Roman" w:eastAsia="Times New Roman" w:hAnsi="Times New Roman"/>
          <w:sz w:val="16"/>
          <w:szCs w:val="16"/>
          <w:color w:val="auto"/>
        </w:rPr>
      </w:pPr>
    </w:p>
    <w:p>
      <w:pPr>
        <w:ind w:left="540" w:right="460" w:hanging="271"/>
        <w:spacing w:after="0" w:line="231" w:lineRule="auto"/>
        <w:tabs>
          <w:tab w:leader="none" w:pos="5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Engaged third-party consultants to assist senior management with the evaluation of our technology platforms and the potential providers for replacement technology platforms to redesign and strengthen the IT general control environment.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40" w:hanging="271"/>
        <w:spacing w:after="0" w:line="223"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Assessed and continue to evaluate the IT function to ensure that it is adequately staffed with personnel with the appropriate knowledge and competency of ICFR needed for an effective IT general control environment.</w:t>
      </w:r>
    </w:p>
    <w:p>
      <w:pPr>
        <w:ind w:left="540" w:right="140" w:hanging="271"/>
        <w:spacing w:after="0" w:line="204"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ind w:left="540" w:right="440" w:hanging="271"/>
        <w:spacing w:after="0" w:line="212"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ind w:left="540" w:right="480" w:hanging="271"/>
        <w:spacing w:after="0" w:line="212"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540" w:right="500" w:hanging="271"/>
        <w:spacing w:after="0" w:line="219"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Enhancing the design and operation of control activities and procedures within the computer operations domain to help ensure that key batch jobs and interfaces are monitored, processing failures are adequately resolved, and recovery capability is tested.</w:t>
      </w:r>
    </w:p>
    <w:p>
      <w:pPr>
        <w:spacing w:after="0" w:line="1" w:lineRule="exact"/>
        <w:rPr>
          <w:rFonts w:ascii="Times New Roman" w:cs="Times New Roman" w:eastAsia="Times New Roman" w:hAnsi="Times New Roman"/>
          <w:sz w:val="15"/>
          <w:szCs w:val="15"/>
          <w:color w:val="auto"/>
        </w:rPr>
      </w:pPr>
    </w:p>
    <w:p>
      <w:pPr>
        <w:ind w:left="520" w:hanging="251"/>
        <w:spacing w:after="0" w:line="198" w:lineRule="auto"/>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Enhancing data backup procedures to help ensure that systems are adequately backed up and maintained and recovery of data from backups is tested.</w:t>
      </w:r>
    </w:p>
    <w:p>
      <w:pPr>
        <w:ind w:left="520" w:hanging="251"/>
        <w:spacing w:after="0" w:line="212" w:lineRule="auto"/>
        <w:tabs>
          <w:tab w:leader="none" w:pos="5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Commenced identifying and evaluating key IT dependencies including key reports, automated application controls, interfaces and end user computer operations.</w:t>
      </w:r>
    </w:p>
    <w:p>
      <w:pPr>
        <w:ind w:left="540" w:right="80" w:hanging="271"/>
        <w:spacing w:after="0" w:line="204"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Commenced hiring additional personnel to enhance the segregation of duties in the IT department, particularly as it relates to the segregation of activities between IT development and IT operations.</w:t>
      </w:r>
    </w:p>
    <w:p>
      <w:pPr>
        <w:ind w:left="540" w:right="200" w:hanging="271"/>
        <w:spacing w:after="0" w:line="283" w:lineRule="auto"/>
        <w:tabs>
          <w:tab w:leader="none" w:pos="536"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in the early stages of a company-wide initiative to modernize the Company’s IT infrastructure to be capable of automating many of our manual financial reporting processes, enhancing our information technology control environment and mitigating the underlying internal control gaps and limitations that cannot be remediated within current systems.</w:t>
      </w:r>
    </w:p>
    <w:p>
      <w:pPr>
        <w:spacing w:after="0" w:line="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4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There were no changes to our internal control over financial reporting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4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5"/>
          <w:szCs w:val="15"/>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Except as discussed below, there have been no material changes from the risk factors disclosed in Part I, Item 1A “Risk Factors” in our Annual Report on Form 10-K for the year ended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import and other international risks as a result of our reliance on foreign manufacturers and vendors to supply a significant portion of our merchandise.</w:t>
      </w:r>
    </w:p>
    <w:p>
      <w:pPr>
        <w:spacing w:after="0" w:line="13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We rely on foreign manufacturers and vendors to supply a significant portion of our merchandise.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changes in foreign laws, trade policy and regulations affecting exports, or changes in United States laws, trade policy and regulations affecting imports or domestic distribution.</w:t>
      </w:r>
    </w:p>
    <w:p>
      <w:pPr>
        <w:spacing w:after="0" w:line="10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All of our products imported into the United States are subject to import taxes or costs, including new or increased tariffs, or similar duties, some of which could be applied retroactively, and modification to or withdrawal from free trade agreements or trade relationships, could increase the cost of the products that we distribute. For example, the U.S. has recently signaled its intention to change U.S. trade policy, including potentially renegotiating or terminating existing trade agreements and leveraging tariffs. Since the beginning of 2025, the U.S. has announced several different measures regarding tariffs. As the implementation of tariffs is ongoing, more tariffs may be added in the future. As of the date of this Quarterly Report on Form 10-Q, discussions remain ongoing with respect to tariffs on imports from various countries, including China, Canada and Mexico. These tariffs, as well as a government’s adoption of “buy national” policies or retaliation by another government against such tariffs or policies could introduce significant uncertainty into the market and may affect the prices of and supply of the products available to us. Tariffs also can impact our or our vendors’ ability to source product efficiently or create other supply chain disruptions.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14"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5"/>
          <w:szCs w:val="15"/>
          <w:color w:val="auto"/>
        </w:rPr>
        <w:t>We also face uncertainty in the interpretation of new tariffs and their applicability, including with respect to customs valuation, product classification and country-of-origin determinations. Although we and our vendors seek to comply with applicable customs laws and regulations, the application of rules regarding new tariffs can be subject to varying interpretations or future re-interpretations. It is possible that U.S. Customs and Border Protection or other relevant authorities could, upon review or audit, disagree with the valuation, rules of origin or classification methods applied to certain merchandise. Any such disagreement could result in the retroactive assessment of additional duties with interest, the imposition of penalties, or other enforcement actions without the ability to mitigate such penalties, thereby adversely affecting our operations or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45"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5"/>
          <w:szCs w:val="15"/>
          <w:color w:val="auto"/>
        </w:rPr>
        <w:t>The following table contains information with respect to repurchases of shares made by the Company during the three months ended March 31, 2025. The table reflects shares delivered to the Company by employees to satisfy tax withholding obligations due upon the vesting of performance stock units and restricted stock units. These shares were not repurchased in connection with any publicly announced share repurchase programs.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19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0000FF"/>
              </w:rPr>
              <w:t>Table of Contents</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835"/>
        </w:trPr>
        <w:tc>
          <w:tcPr>
            <w:tcW w:w="1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Approximate dollar value of shares</w:t>
            </w:r>
          </w:p>
        </w:tc>
      </w:tr>
      <w:tr>
        <w:trPr>
          <w:trHeight w:val="174"/>
        </w:trPr>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6"/>
              </w:rPr>
              <w:t>Weighted average price paid per</w:t>
            </w: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 number of shares purchased</w:t>
            </w:r>
          </w:p>
        </w:tc>
        <w:tc>
          <w:tcPr>
            <w:tcW w:w="100" w:type="dxa"/>
            <w:vAlign w:val="bottom"/>
          </w:tcPr>
          <w:p>
            <w:pPr>
              <w:spacing w:after="0"/>
              <w:rPr>
                <w:sz w:val="15"/>
                <w:szCs w:val="15"/>
                <w:color w:val="auto"/>
              </w:rPr>
            </w:pPr>
          </w:p>
        </w:tc>
        <w:tc>
          <w:tcPr>
            <w:tcW w:w="21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6"/>
              </w:rPr>
              <w:t>that may yet be purchased under</w:t>
            </w:r>
          </w:p>
        </w:tc>
      </w:tr>
      <w:tr>
        <w:trPr>
          <w:trHeight w:val="191"/>
        </w:trPr>
        <w:tc>
          <w:tcPr>
            <w:tcW w:w="1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 number of shares purchased</w:t>
            </w:r>
          </w:p>
        </w:tc>
        <w:tc>
          <w:tcPr>
            <w:tcW w:w="100" w:type="dxa"/>
            <w:vAlign w:val="bottom"/>
          </w:tcPr>
          <w:p>
            <w:pPr>
              <w:spacing w:after="0"/>
              <w:rPr>
                <w:sz w:val="16"/>
                <w:szCs w:val="16"/>
                <w:color w:val="auto"/>
              </w:rPr>
            </w:pPr>
          </w:p>
        </w:tc>
        <w:tc>
          <w:tcPr>
            <w:tcW w:w="2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share</w:t>
            </w: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as part of publicly announced plans</w:t>
            </w:r>
          </w:p>
        </w:tc>
        <w:tc>
          <w:tcPr>
            <w:tcW w:w="100" w:type="dxa"/>
            <w:vAlign w:val="bottom"/>
          </w:tcPr>
          <w:p>
            <w:pPr>
              <w:spacing w:after="0"/>
              <w:rPr>
                <w:sz w:val="16"/>
                <w:szCs w:val="16"/>
                <w:color w:val="auto"/>
              </w:rPr>
            </w:pPr>
          </w:p>
        </w:tc>
        <w:tc>
          <w:tcPr>
            <w:tcW w:w="216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6"/>
              </w:rPr>
              <w:t>publicly announced plans</w:t>
            </w:r>
          </w:p>
        </w:tc>
      </w:tr>
      <w:tr>
        <w:trPr>
          <w:trHeight w:val="21"/>
        </w:trPr>
        <w:tc>
          <w:tcPr>
            <w:tcW w:w="1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6"/>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2025</w:t>
            </w:r>
          </w:p>
        </w:tc>
        <w:tc>
          <w:tcPr>
            <w:tcW w:w="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2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16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1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February 2025</w:t>
            </w: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16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1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2025</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159,250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80" w:type="dxa"/>
            <w:vAlign w:val="bottom"/>
            <w:shd w:val="clear" w:color="auto" w:fill="CCEEFF"/>
          </w:tcPr>
          <w:p>
            <w:pPr>
              <w:spacing w:after="0"/>
              <w:rPr>
                <w:sz w:val="16"/>
                <w:szCs w:val="16"/>
                <w:color w:val="auto"/>
              </w:rPr>
            </w:pPr>
          </w:p>
        </w:tc>
        <w:tc>
          <w:tcPr>
            <w:tcW w:w="2280" w:type="dxa"/>
            <w:vAlign w:val="bottom"/>
            <w:tcBorders>
              <w:bottom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159,250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80" w:type="dxa"/>
            <w:vAlign w:val="bottom"/>
          </w:tcPr>
          <w:p>
            <w:pPr>
              <w:spacing w:after="0"/>
              <w:rPr>
                <w:sz w:val="18"/>
                <w:szCs w:val="18"/>
                <w:color w:val="auto"/>
              </w:rPr>
            </w:pPr>
          </w:p>
        </w:tc>
        <w:tc>
          <w:tcPr>
            <w:tcW w:w="236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16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4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5"/>
          <w:szCs w:val="15"/>
          <w:color w:val="auto"/>
        </w:rPr>
        <w:t>During the three months ended March 31,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 except as follows:</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On March 14 2025, John Reed, director and Chief Executive Officer, adopted a Rule 10b5-1 trading arrangement that is intended to satisfy the affirmative defense of Rule 10b5-1(c) for the sale of up to 2,000,000 shares of the Company’s Class A common stock beginning June 16, 2025. The arrangement’s expiration date is February 11, 2026.</w:t>
      </w:r>
    </w:p>
    <w:p>
      <w:pPr>
        <w:spacing w:after="0" w:line="10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5"/>
          <w:szCs w:val="15"/>
          <w:color w:val="auto"/>
        </w:rPr>
        <w:t>On March 14, 2025, certain Reed family trusts, of which directors Albert Adams and William Beargie are trustees, also adopted a 10b5-1 trading arrangement that is intended to satisfy the affirmative defense of Rule 10b5-1(c) for the sale of up to 2,000,000 additional shares of the Company’s Class A common stock beginning June 16, 2025. The arrangement’s expiration date is also February 11, 2026.</w:t>
      </w:r>
    </w:p>
    <w:p>
      <w:pPr>
        <w:spacing w:after="0" w:line="127"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5"/>
          <w:szCs w:val="15"/>
          <w:color w:val="auto"/>
        </w:rPr>
        <w:t>On March 5, 2025, Venkatachalam Nachiappan, former Chief Information Officer, adopted a Rule 10b5-1 trading arrangement that is intended to satisfy the affirmative defense of Rule 10b5-1(c) for the sale of up to 20,000 shares of the Company’s Class A common stock beginning June 13, 2025. The arrangement’s expiration date is June 12,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00"/>
          </w:cols>
          <w:pgMar w:left="300" w:top="109"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b w:val="1"/>
                <w:bCs w:val="1"/>
                <w:color w:val="0000FF"/>
                <w:w w:val="94"/>
              </w:rPr>
              <w:t>Table of Contents</w:t>
            </w:r>
          </w:p>
        </w:tc>
        <w:tc>
          <w:tcPr>
            <w:tcW w:w="6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8"/>
        </w:trPr>
        <w:tc>
          <w:tcPr>
            <w:tcW w:w="110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Item 6. Exhibits</w:t>
            </w: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360"/>
              <w:spacing w:after="0" w:line="168" w:lineRule="exact"/>
              <w:rPr>
                <w:sz w:val="20"/>
                <w:szCs w:val="20"/>
                <w:color w:val="auto"/>
              </w:rPr>
            </w:pPr>
            <w:r>
              <w:rPr>
                <w:rFonts w:ascii="Times New Roman" w:cs="Times New Roman" w:eastAsia="Times New Roman" w:hAnsi="Times New Roman"/>
                <w:sz w:val="15"/>
                <w:szCs w:val="15"/>
                <w:b w:val="1"/>
                <w:bCs w:val="1"/>
                <w:color w:val="auto"/>
                <w:w w:val="96"/>
              </w:rPr>
              <w:t>Exhibit</w:t>
            </w:r>
          </w:p>
        </w:tc>
        <w:tc>
          <w:tcPr>
            <w:tcW w:w="6860" w:type="dxa"/>
            <w:vAlign w:val="bottom"/>
            <w:vMerge w:val="restart"/>
          </w:tcPr>
          <w:p>
            <w:pPr>
              <w:ind w:left="30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vMerge w:val="restart"/>
          </w:tcPr>
          <w:p>
            <w:pPr>
              <w:spacing w:after="0"/>
              <w:rPr>
                <w:sz w:val="14"/>
                <w:szCs w:val="14"/>
                <w:color w:val="auto"/>
              </w:rPr>
            </w:pPr>
          </w:p>
        </w:tc>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w w:val="96"/>
              </w:rPr>
              <w:t>Filings Referenced for Incorporation by Reference</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67"/>
              <w:spacing w:after="0"/>
              <w:rPr>
                <w:sz w:val="20"/>
                <w:szCs w:val="20"/>
                <w:color w:val="auto"/>
              </w:rPr>
            </w:pPr>
            <w:r>
              <w:rPr>
                <w:rFonts w:ascii="Times New Roman" w:cs="Times New Roman" w:eastAsia="Times New Roman" w:hAnsi="Times New Roman"/>
                <w:sz w:val="15"/>
                <w:szCs w:val="15"/>
                <w:b w:val="1"/>
                <w:bCs w:val="1"/>
                <w:color w:val="auto"/>
                <w:w w:val="99"/>
              </w:rPr>
              <w:t>No.</w:t>
            </w:r>
          </w:p>
        </w:tc>
        <w:tc>
          <w:tcPr>
            <w:tcW w:w="80" w:type="dxa"/>
            <w:vAlign w:val="bottom"/>
          </w:tcPr>
          <w:p>
            <w:pPr>
              <w:spacing w:after="0"/>
              <w:rPr>
                <w:sz w:val="16"/>
                <w:szCs w:val="16"/>
                <w:color w:val="auto"/>
              </w:rPr>
            </w:pPr>
          </w:p>
        </w:tc>
        <w:tc>
          <w:tcPr>
            <w:tcW w:w="6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5"/>
                <w:szCs w:val="15"/>
                <w:color w:val="0000FF"/>
                <w:w w:val="85"/>
              </w:rPr>
            </w:pPr>
            <w:hyperlink r:id="rId79">
              <w:r>
                <w:rPr>
                  <w:rFonts w:ascii="Times New Roman" w:cs="Times New Roman" w:eastAsia="Times New Roman" w:hAnsi="Times New Roman"/>
                  <w:sz w:val="15"/>
                  <w:szCs w:val="15"/>
                  <w:color w:val="0000FF"/>
                  <w:w w:val="85"/>
                </w:rPr>
                <w:t>3.</w:t>
              </w:r>
              <w:r>
                <w:rPr>
                  <w:rFonts w:ascii="Times New Roman" w:cs="Times New Roman" w:eastAsia="Times New Roman" w:hAnsi="Times New Roman"/>
                  <w:sz w:val="15"/>
                  <w:szCs w:val="15"/>
                  <w:u w:val="single" w:color="auto"/>
                  <w:color w:val="0000FF"/>
                  <w:w w:val="85"/>
                </w:rPr>
                <w:t>1</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Amended and Restated Certificate of Incorporation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 10, 2021 Form 8-K, Exhibit 3.1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5"/>
                <w:szCs w:val="15"/>
                <w:color w:val="0000FF"/>
                <w:w w:val="85"/>
              </w:rPr>
            </w:pPr>
            <w:hyperlink r:id="rId80">
              <w:r>
                <w:rPr>
                  <w:rFonts w:ascii="Times New Roman" w:cs="Times New Roman" w:eastAsia="Times New Roman" w:hAnsi="Times New Roman"/>
                  <w:sz w:val="15"/>
                  <w:szCs w:val="15"/>
                  <w:color w:val="0000FF"/>
                  <w:w w:val="85"/>
                </w:rPr>
                <w:t>3.</w:t>
              </w:r>
              <w:r>
                <w:rPr>
                  <w:rFonts w:ascii="Times New Roman" w:cs="Times New Roman" w:eastAsia="Times New Roman" w:hAnsi="Times New Roman"/>
                  <w:sz w:val="15"/>
                  <w:szCs w:val="15"/>
                  <w:u w:val="single" w:color="auto"/>
                  <w:color w:val="0000FF"/>
                  <w:w w:val="85"/>
                </w:rPr>
                <w:t>2</w:t>
              </w:r>
            </w:hyperlink>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Amended and Restated Bylaws of Arhaus, Inc.</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 10, 2021 Form 8-K, Exhibit 3.2</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w w:val="88"/>
              </w:rPr>
              <w:t>10.</w:t>
            </w:r>
            <w:r>
              <w:rPr>
                <w:rFonts w:ascii="Times New Roman" w:cs="Times New Roman" w:eastAsia="Times New Roman" w:hAnsi="Times New Roman"/>
                <w:sz w:val="15"/>
                <w:szCs w:val="15"/>
                <w:u w:val="single" w:color="auto"/>
                <w:color w:val="0000FF"/>
                <w:w w:val="88"/>
              </w:rPr>
              <w:t>1#</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Employment Letter (Allison Sutley).</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74"/>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rPr>
              <w:t>31.</w:t>
            </w:r>
            <w:r>
              <w:rPr>
                <w:rFonts w:ascii="Times New Roman" w:cs="Times New Roman" w:eastAsia="Times New Roman" w:hAnsi="Times New Roman"/>
                <w:sz w:val="15"/>
                <w:szCs w:val="15"/>
                <w:u w:val="single" w:color="auto"/>
                <w:color w:val="0000FF"/>
              </w:rPr>
              <w:t>1</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9"/>
              </w:rPr>
              <w:t>Certificate of Chief Executive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1934, as Adopted Pursuant to Section 302 of the Sarbanes-Oxley Act of 2002</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rPr>
              <w:t>31.</w:t>
            </w:r>
            <w:r>
              <w:rPr>
                <w:rFonts w:ascii="Times New Roman" w:cs="Times New Roman" w:eastAsia="Times New Roman" w:hAnsi="Times New Roman"/>
                <w:sz w:val="15"/>
                <w:szCs w:val="15"/>
                <w:u w:val="single" w:color="auto"/>
                <w:color w:val="0000FF"/>
              </w:rPr>
              <w:t>2</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Certificate of Chief Financial Officer Pursuant to Rules 13a-14(a) and 15d-14(a) of the Securities Exchange Act of</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1934, as Adopted Pursuant to Section 302 of the Sarbanes-Oxley Act of 2002</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88"/>
              </w:rPr>
              <w:t>32.</w:t>
            </w:r>
            <w:r>
              <w:rPr>
                <w:rFonts w:ascii="Times New Roman" w:cs="Times New Roman" w:eastAsia="Times New Roman" w:hAnsi="Times New Roman"/>
                <w:sz w:val="15"/>
                <w:szCs w:val="15"/>
                <w:u w:val="single" w:color="auto"/>
                <w:color w:val="0000FF"/>
                <w:w w:val="88"/>
              </w:rPr>
              <w:t>1*</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9"/>
              </w:rPr>
              <w:t>Certification of Chief Executive Officer Pursuant to 18 U.S.C. Section 1350, as Adopted Pursuant to Section 906 of</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Sarbanes-Oxley Act of 2002</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88"/>
              </w:rPr>
              <w:t>32.</w:t>
            </w:r>
            <w:r>
              <w:rPr>
                <w:rFonts w:ascii="Times New Roman" w:cs="Times New Roman" w:eastAsia="Times New Roman" w:hAnsi="Times New Roman"/>
                <w:sz w:val="15"/>
                <w:szCs w:val="15"/>
                <w:u w:val="single" w:color="auto"/>
                <w:color w:val="0000FF"/>
                <w:w w:val="88"/>
              </w:rPr>
              <w:t>2*</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9"/>
              </w:rPr>
              <w:t>Certification of Chief Financial Officer Pursuant to 18 U.S.C. Section 1350, as Adopted Pursuant to Section 906 of</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Furnished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Sarbanes-Oxley Act of 2002</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101.INS</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XBRL Instance Document (the instance document does not appear in the Interactive Data File because its XBRL</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tags are embedded within the Inline XBRL document)</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101.SCH</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101.CAL</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101.DEF</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101.LAB</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101.PRE</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268"/>
        </w:trPr>
        <w:tc>
          <w:tcPr>
            <w:tcW w:w="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Cover Page with Interactive Data File (formatted as Inline XBRL with applicable taxonomy extension information</w:t>
            </w:r>
          </w:p>
        </w:tc>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Filed herewith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contained in Exhibits 101)</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8509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850900" cy="6985"/>
                    </a:xfrm>
                    <a:prstGeom prst="rect">
                      <a:avLst/>
                    </a:prstGeom>
                    <a:noFill/>
                  </pic:spPr>
                </pic:pic>
              </a:graphicData>
            </a:graphic>
          </wp:anchor>
        </w:drawing>
      </w:r>
    </w:p>
    <w:p>
      <w:pPr>
        <w:spacing w:after="0" w:line="213" w:lineRule="exact"/>
        <w:rPr>
          <w:sz w:val="20"/>
          <w:szCs w:val="20"/>
          <w:color w:val="auto"/>
        </w:rPr>
      </w:pPr>
    </w:p>
    <w:p>
      <w:pPr>
        <w:ind w:left="180" w:hanging="173"/>
        <w:spacing w:after="0"/>
        <w:tabs>
          <w:tab w:leader="none" w:pos="180" w:val="left"/>
        </w:tabs>
        <w:numPr>
          <w:ilvl w:val="0"/>
          <w:numId w:val="2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Indicates management contract.</w:t>
      </w:r>
    </w:p>
    <w:p>
      <w:pPr>
        <w:spacing w:after="0" w:line="5" w:lineRule="exact"/>
        <w:rPr>
          <w:sz w:val="20"/>
          <w:szCs w:val="20"/>
          <w:color w:val="auto"/>
        </w:rPr>
      </w:pPr>
    </w:p>
    <w:p>
      <w:pPr>
        <w:ind w:left="340" w:right="160" w:hanging="333"/>
        <w:spacing w:after="0" w:line="233" w:lineRule="auto"/>
        <w:tabs>
          <w:tab w:leader="none" w:pos="187"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43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84390" cy="39370"/>
                    </a:xfrm>
                    <a:prstGeom prst="rect">
                      <a:avLst/>
                    </a:prstGeom>
                    <a:noFill/>
                  </pic:spPr>
                </pic:pic>
              </a:graphicData>
            </a:graphic>
          </wp:anchor>
        </w:drawing>
      </w:r>
    </w:p>
    <w:p>
      <w:pPr>
        <w:sectPr>
          <w:pgSz w:w="11900" w:h="16838" w:orient="portrait"/>
          <w:cols w:equalWidth="0" w:num="1">
            <w:col w:w="11240"/>
          </w:cols>
          <w:pgMar w:left="300" w:top="10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 on this 8th day of May, 2025.</w:t>
      </w:r>
    </w:p>
    <w:p>
      <w:pPr>
        <w:spacing w:after="0" w:line="1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ARHAUS, INC.</w:t>
      </w:r>
    </w:p>
    <w:p>
      <w:pPr>
        <w:spacing w:after="0" w:line="233" w:lineRule="exact"/>
        <w:rPr>
          <w:sz w:val="20"/>
          <w:szCs w:val="20"/>
          <w:color w:val="auto"/>
        </w:rPr>
      </w:pPr>
    </w:p>
    <w:tbl>
      <w:tblPr>
        <w:tblLayout w:type="fixed"/>
        <w:tblInd w:w="526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John Reed</w:t>
            </w:r>
          </w:p>
        </w:tc>
      </w:tr>
      <w:tr>
        <w:trPr>
          <w:trHeight w:val="17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John Reed</w:t>
            </w: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Christian Sedor</w:t>
            </w:r>
          </w:p>
        </w:tc>
      </w:tr>
      <w:tr>
        <w:trPr>
          <w:trHeight w:val="17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Christian Sedor</w:t>
            </w: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220"/>
          </w:cols>
          <w:pgMar w:left="300" w:top="123" w:right="379" w:bottom="144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310515</wp:posOffset>
            </wp:positionV>
            <wp:extent cx="7101205" cy="95688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1205" cy="9568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434975</wp:posOffset>
            </wp:positionV>
            <wp:extent cx="7101205" cy="9568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1205" cy="9568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434975</wp:posOffset>
            </wp:positionV>
            <wp:extent cx="7101205" cy="9568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1205" cy="9568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434975</wp:posOffset>
            </wp:positionV>
            <wp:extent cx="7101205" cy="9568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1205" cy="9568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5"/>
          <w:szCs w:val="15"/>
          <w:b w:val="1"/>
          <w:bCs w:val="1"/>
          <w:color w:val="1F4742"/>
        </w:rPr>
        <w:t>Exhibit 31.1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PERIODIC REPORT UNDER SECTION 302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John Reed, certify that:</w:t>
      </w:r>
    </w:p>
    <w:p>
      <w:pPr>
        <w:spacing w:after="0" w:line="154" w:lineRule="exact"/>
        <w:rPr>
          <w:sz w:val="20"/>
          <w:szCs w:val="20"/>
          <w:color w:val="auto"/>
        </w:rPr>
      </w:pPr>
    </w:p>
    <w:p>
      <w:pPr>
        <w:ind w:left="520" w:hanging="251"/>
        <w:spacing w:after="0"/>
        <w:tabs>
          <w:tab w:leader="none" w:pos="5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Arhaus, Inc.;</w:t>
      </w:r>
    </w:p>
    <w:p>
      <w:pPr>
        <w:spacing w:after="0" w:line="143" w:lineRule="exact"/>
        <w:rPr>
          <w:rFonts w:ascii="Times New Roman" w:cs="Times New Roman" w:eastAsia="Times New Roman" w:hAnsi="Times New Roman"/>
          <w:sz w:val="15"/>
          <w:szCs w:val="15"/>
          <w:color w:val="auto"/>
        </w:rPr>
      </w:pPr>
    </w:p>
    <w:p>
      <w:pPr>
        <w:ind w:left="540" w:right="440" w:hanging="271"/>
        <w:spacing w:after="0" w:line="265"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5"/>
          <w:szCs w:val="15"/>
          <w:color w:val="auto"/>
        </w:rPr>
      </w:pPr>
    </w:p>
    <w:p>
      <w:pPr>
        <w:ind w:left="540" w:right="540" w:hanging="271"/>
        <w:spacing w:after="0" w:line="265"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5"/>
          <w:szCs w:val="15"/>
          <w:color w:val="auto"/>
        </w:rPr>
      </w:pPr>
    </w:p>
    <w:p>
      <w:pPr>
        <w:ind w:left="520" w:hanging="251"/>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w:t>
      </w:r>
    </w:p>
    <w:p>
      <w:pPr>
        <w:spacing w:after="0" w:line="39" w:lineRule="exact"/>
        <w:rPr>
          <w:rFonts w:ascii="Times New Roman" w:cs="Times New Roman" w:eastAsia="Times New Roman" w:hAnsi="Times New Roman"/>
          <w:sz w:val="13"/>
          <w:szCs w:val="13"/>
          <w:color w:val="auto"/>
        </w:rPr>
      </w:pPr>
    </w:p>
    <w:p>
      <w:pPr>
        <w:ind w:left="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3"/>
          <w:szCs w:val="13"/>
          <w:color w:val="auto"/>
        </w:rPr>
      </w:pPr>
    </w:p>
    <w:p>
      <w:pPr>
        <w:jc w:val="both"/>
        <w:ind w:left="1060" w:right="60" w:hanging="269"/>
        <w:spacing w:after="0" w:line="254" w:lineRule="auto"/>
        <w:tabs>
          <w:tab w:leader="none" w:pos="1052"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5"/>
          <w:szCs w:val="15"/>
          <w:color w:val="auto"/>
        </w:rPr>
      </w:pPr>
    </w:p>
    <w:p>
      <w:pPr>
        <w:jc w:val="both"/>
        <w:ind w:left="1060" w:right="280" w:hanging="269"/>
        <w:spacing w:after="0" w:line="254" w:lineRule="auto"/>
        <w:tabs>
          <w:tab w:leader="none" w:pos="106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5"/>
          <w:szCs w:val="15"/>
          <w:color w:val="auto"/>
        </w:rPr>
      </w:pPr>
    </w:p>
    <w:p>
      <w:pPr>
        <w:ind w:left="1060" w:right="140" w:hanging="269"/>
        <w:spacing w:after="0" w:line="265" w:lineRule="auto"/>
        <w:tabs>
          <w:tab w:leader="none" w:pos="1052"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5"/>
          <w:szCs w:val="15"/>
          <w:color w:val="auto"/>
        </w:rPr>
      </w:pPr>
    </w:p>
    <w:p>
      <w:pPr>
        <w:ind w:left="1060" w:right="280" w:hanging="269"/>
        <w:spacing w:after="0" w:line="254" w:lineRule="auto"/>
        <w:tabs>
          <w:tab w:leader="none" w:pos="106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5"/>
          <w:szCs w:val="15"/>
          <w:color w:val="auto"/>
        </w:rPr>
      </w:pPr>
    </w:p>
    <w:p>
      <w:pPr>
        <w:ind w:left="540" w:right="120" w:hanging="271"/>
        <w:spacing w:after="0" w:line="265"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5"/>
          <w:szCs w:val="15"/>
          <w:color w:val="auto"/>
        </w:rPr>
      </w:pPr>
    </w:p>
    <w:p>
      <w:pPr>
        <w:ind w:left="1060" w:right="240" w:hanging="269"/>
        <w:spacing w:after="0" w:line="265" w:lineRule="auto"/>
        <w:tabs>
          <w:tab w:leader="none" w:pos="1052"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5"/>
          <w:szCs w:val="15"/>
          <w:color w:val="auto"/>
        </w:rPr>
      </w:pPr>
    </w:p>
    <w:p>
      <w:pPr>
        <w:ind w:left="1060" w:hanging="269"/>
        <w:spacing w:after="0"/>
        <w:tabs>
          <w:tab w:leader="none" w:pos="106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90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4"/>
              </w:rPr>
              <w:t>May 8, 2025</w:t>
            </w:r>
          </w:p>
        </w:tc>
      </w:tr>
    </w:tbl>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30848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084830" cy="698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John Reed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p>
      <w:pPr>
        <w:sectPr>
          <w:pgSz w:w="11900" w:h="16838" w:orient="portrait"/>
          <w:cols w:equalWidth="0" w:num="1">
            <w:col w:w="11280"/>
          </w:cols>
          <w:pgMar w:left="300" w:top="319"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PERIODIC REPORT UNDER SECTION 302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Christian Sedor, certify that:</w:t>
      </w:r>
    </w:p>
    <w:p>
      <w:pPr>
        <w:spacing w:after="0" w:line="154" w:lineRule="exact"/>
        <w:rPr>
          <w:sz w:val="20"/>
          <w:szCs w:val="20"/>
          <w:color w:val="auto"/>
        </w:rPr>
      </w:pPr>
    </w:p>
    <w:p>
      <w:pPr>
        <w:ind w:left="520" w:hanging="251"/>
        <w:spacing w:after="0"/>
        <w:tabs>
          <w:tab w:leader="none" w:pos="5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Arhaus, Inc.;</w:t>
      </w:r>
    </w:p>
    <w:p>
      <w:pPr>
        <w:spacing w:after="0" w:line="143" w:lineRule="exact"/>
        <w:rPr>
          <w:rFonts w:ascii="Times New Roman" w:cs="Times New Roman" w:eastAsia="Times New Roman" w:hAnsi="Times New Roman"/>
          <w:sz w:val="15"/>
          <w:szCs w:val="15"/>
          <w:color w:val="auto"/>
        </w:rPr>
      </w:pPr>
    </w:p>
    <w:p>
      <w:pPr>
        <w:ind w:left="540" w:right="440" w:hanging="271"/>
        <w:spacing w:after="0" w:line="265"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5"/>
          <w:szCs w:val="15"/>
          <w:color w:val="auto"/>
        </w:rPr>
      </w:pPr>
    </w:p>
    <w:p>
      <w:pPr>
        <w:ind w:left="540" w:right="540" w:hanging="271"/>
        <w:spacing w:after="0" w:line="265"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5"/>
          <w:szCs w:val="15"/>
          <w:color w:val="auto"/>
        </w:rPr>
      </w:pPr>
    </w:p>
    <w:p>
      <w:pPr>
        <w:ind w:left="520" w:hanging="251"/>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w:t>
      </w:r>
    </w:p>
    <w:p>
      <w:pPr>
        <w:spacing w:after="0" w:line="39" w:lineRule="exact"/>
        <w:rPr>
          <w:rFonts w:ascii="Times New Roman" w:cs="Times New Roman" w:eastAsia="Times New Roman" w:hAnsi="Times New Roman"/>
          <w:sz w:val="13"/>
          <w:szCs w:val="13"/>
          <w:color w:val="auto"/>
        </w:rPr>
      </w:pPr>
    </w:p>
    <w:p>
      <w:pPr>
        <w:ind w:left="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3"/>
          <w:szCs w:val="13"/>
          <w:color w:val="auto"/>
        </w:rPr>
      </w:pPr>
    </w:p>
    <w:p>
      <w:pPr>
        <w:jc w:val="both"/>
        <w:ind w:left="1060" w:right="60" w:hanging="269"/>
        <w:spacing w:after="0" w:line="254" w:lineRule="auto"/>
        <w:tabs>
          <w:tab w:leader="none" w:pos="1052"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5"/>
          <w:szCs w:val="15"/>
          <w:color w:val="auto"/>
        </w:rPr>
      </w:pPr>
    </w:p>
    <w:p>
      <w:pPr>
        <w:jc w:val="both"/>
        <w:ind w:left="1060" w:right="280" w:hanging="269"/>
        <w:spacing w:after="0" w:line="254" w:lineRule="auto"/>
        <w:tabs>
          <w:tab w:leader="none" w:pos="106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5"/>
          <w:szCs w:val="15"/>
          <w:color w:val="auto"/>
        </w:rPr>
      </w:pPr>
    </w:p>
    <w:p>
      <w:pPr>
        <w:ind w:left="1060" w:right="140" w:hanging="269"/>
        <w:spacing w:after="0" w:line="265" w:lineRule="auto"/>
        <w:tabs>
          <w:tab w:leader="none" w:pos="1052"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5"/>
          <w:szCs w:val="15"/>
          <w:color w:val="auto"/>
        </w:rPr>
      </w:pPr>
    </w:p>
    <w:p>
      <w:pPr>
        <w:ind w:left="1060" w:right="280" w:hanging="269"/>
        <w:spacing w:after="0" w:line="254" w:lineRule="auto"/>
        <w:tabs>
          <w:tab w:leader="none" w:pos="106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5"/>
          <w:szCs w:val="15"/>
          <w:color w:val="auto"/>
        </w:rPr>
      </w:pPr>
    </w:p>
    <w:p>
      <w:pPr>
        <w:ind w:left="540" w:right="120" w:hanging="271"/>
        <w:spacing w:after="0" w:line="265"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5"/>
          <w:szCs w:val="15"/>
          <w:color w:val="auto"/>
        </w:rPr>
      </w:pPr>
    </w:p>
    <w:p>
      <w:pPr>
        <w:ind w:left="1060" w:right="240" w:hanging="269"/>
        <w:spacing w:after="0" w:line="265" w:lineRule="auto"/>
        <w:tabs>
          <w:tab w:leader="none" w:pos="1052"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5"/>
          <w:szCs w:val="15"/>
          <w:color w:val="auto"/>
        </w:rPr>
      </w:pPr>
    </w:p>
    <w:p>
      <w:pPr>
        <w:ind w:left="1060" w:hanging="269"/>
        <w:spacing w:after="0"/>
        <w:tabs>
          <w:tab w:leader="none" w:pos="106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Date:</w:t>
            </w:r>
          </w:p>
        </w:tc>
        <w:tc>
          <w:tcPr>
            <w:tcW w:w="90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4"/>
              </w:rPr>
              <w:t>May 8, 2025</w:t>
            </w:r>
          </w:p>
        </w:tc>
      </w:tr>
    </w:tbl>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Christian Sedor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1497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4149725" cy="698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Christian Sedor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Accounting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(Acting Principal Financial Officer; Principal Accounting Officer)</w:t>
      </w:r>
    </w:p>
    <w:p>
      <w:pPr>
        <w:sectPr>
          <w:pgSz w:w="11900" w:h="16838" w:orient="portrait"/>
          <w:cols w:equalWidth="0" w:num="1">
            <w:col w:w="11280"/>
          </w:cols>
          <w:pgMar w:left="300" w:top="134"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18 U.S.C. SECTION 1350, AS ADOPTED PURSUANT TO SECTION 906 OF THE SARBANES-OXLEY ACT OF 2002</w:t>
      </w:r>
    </w:p>
    <w:p>
      <w:pPr>
        <w:spacing w:after="0" w:line="32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5"/>
          <w:szCs w:val="15"/>
          <w:color w:val="auto"/>
        </w:rPr>
        <w:t>In connection with the Quarterly Report of Arhaus, Inc. (the “Company”) on Form 10-Q for the quarter ended March 31, 2025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05" w:lineRule="exact"/>
        <w:rPr>
          <w:sz w:val="20"/>
          <w:szCs w:val="20"/>
          <w:color w:val="auto"/>
        </w:rPr>
      </w:pPr>
    </w:p>
    <w:p>
      <w:pPr>
        <w:ind w:left="520" w:hanging="251"/>
        <w:spacing w:after="0"/>
        <w:tabs>
          <w:tab w:leader="none" w:pos="5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5"/>
          <w:szCs w:val="15"/>
          <w:color w:val="auto"/>
        </w:rPr>
      </w:pPr>
    </w:p>
    <w:p>
      <w:pPr>
        <w:ind w:left="540" w:hanging="271"/>
        <w:spacing w:after="0" w:line="230" w:lineRule="auto"/>
        <w:tabs>
          <w:tab w:leader="none" w:pos="53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 John Reed</w:t>
      </w:r>
    </w:p>
    <w:p>
      <w:pPr>
        <w:spacing w:after="0" w:line="197" w:lineRule="auto"/>
        <w:rPr>
          <w:sz w:val="20"/>
          <w:szCs w:val="20"/>
          <w:color w:val="auto"/>
        </w:rPr>
      </w:pPr>
      <w:r>
        <w:rPr>
          <w:rFonts w:ascii="Times New Roman" w:cs="Times New Roman" w:eastAsia="Times New Roman" w:hAnsi="Times New Roman"/>
          <w:sz w:val="15"/>
          <w:szCs w:val="15"/>
          <w:color w:val="auto"/>
        </w:rPr>
        <w:t>John Reed</w:t>
      </w:r>
    </w:p>
    <w:p>
      <w:pPr>
        <w:spacing w:after="0" w:line="197" w:lineRule="auto"/>
        <w:rPr>
          <w:sz w:val="20"/>
          <w:szCs w:val="20"/>
          <w:color w:val="auto"/>
        </w:rPr>
      </w:pPr>
      <w:r>
        <w:rPr>
          <w:rFonts w:ascii="Times New Roman" w:cs="Times New Roman" w:eastAsia="Times New Roman" w:hAnsi="Times New Roman"/>
          <w:sz w:val="15"/>
          <w:szCs w:val="15"/>
          <w:color w:val="auto"/>
        </w:rPr>
        <w:t>Chief Executive Officer</w:t>
      </w:r>
    </w:p>
    <w:p>
      <w:pPr>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May 8, 2025</w:t>
      </w:r>
    </w:p>
    <w:p>
      <w:pPr>
        <w:spacing w:after="0" w:line="12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18 U.S.C. SECTION 1350, AS ADOPTED PURSUANT TO SECTION 906 OF THE SARBANES-OXLEY ACT OF 2002</w:t>
      </w:r>
    </w:p>
    <w:p>
      <w:pPr>
        <w:spacing w:after="0" w:line="32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5"/>
          <w:szCs w:val="15"/>
          <w:color w:val="auto"/>
        </w:rPr>
        <w:t>In connection with the Quarterly Report of Arhaus, Inc. (the “Company”) on Form 10-Q for the quarter ended March 31, 2025 as filed with the Securities and Exchange Commission on the date hereof (the “Report”), I, Christian Sedor, Chief Accounting Officer of the Company, hereby certify, pursuant to 18 U.S.C. Section 1350, as adopted pursuant to Section 906 of the Sarbanes-Oxley Act of 2002, to the best of my knowledge, that:</w:t>
      </w:r>
    </w:p>
    <w:p>
      <w:pPr>
        <w:spacing w:after="0" w:line="105" w:lineRule="exact"/>
        <w:rPr>
          <w:sz w:val="20"/>
          <w:szCs w:val="20"/>
          <w:color w:val="auto"/>
        </w:rPr>
      </w:pPr>
    </w:p>
    <w:p>
      <w:pPr>
        <w:ind w:left="520" w:hanging="251"/>
        <w:spacing w:after="0"/>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5"/>
          <w:szCs w:val="15"/>
          <w:color w:val="auto"/>
        </w:rPr>
      </w:pPr>
    </w:p>
    <w:p>
      <w:pPr>
        <w:ind w:left="540" w:hanging="271"/>
        <w:spacing w:after="0" w:line="230" w:lineRule="auto"/>
        <w:tabs>
          <w:tab w:leader="none" w:pos="535"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 Christian Sedor</w:t>
      </w:r>
    </w:p>
    <w:p>
      <w:pPr>
        <w:spacing w:after="0" w:line="197" w:lineRule="auto"/>
        <w:rPr>
          <w:sz w:val="20"/>
          <w:szCs w:val="20"/>
          <w:color w:val="auto"/>
        </w:rPr>
      </w:pPr>
      <w:r>
        <w:rPr>
          <w:rFonts w:ascii="Times New Roman" w:cs="Times New Roman" w:eastAsia="Times New Roman" w:hAnsi="Times New Roman"/>
          <w:sz w:val="15"/>
          <w:szCs w:val="15"/>
          <w:color w:val="auto"/>
        </w:rPr>
        <w:t>Christian Sedor</w:t>
      </w:r>
    </w:p>
    <w:p>
      <w:pPr>
        <w:spacing w:after="0" w:line="197" w:lineRule="auto"/>
        <w:rPr>
          <w:sz w:val="20"/>
          <w:szCs w:val="20"/>
          <w:color w:val="auto"/>
        </w:rPr>
      </w:pPr>
      <w:r>
        <w:rPr>
          <w:rFonts w:ascii="Times New Roman" w:cs="Times New Roman" w:eastAsia="Times New Roman" w:hAnsi="Times New Roman"/>
          <w:sz w:val="15"/>
          <w:szCs w:val="15"/>
          <w:color w:val="auto"/>
        </w:rPr>
        <w:t>Chief Accounting Officer</w:t>
      </w:r>
    </w:p>
    <w:p>
      <w:pPr>
        <w:spacing w:after="0"/>
        <w:rPr>
          <w:sz w:val="20"/>
          <w:szCs w:val="20"/>
          <w:color w:val="auto"/>
        </w:rPr>
      </w:pPr>
      <w:r>
        <w:rPr>
          <w:rFonts w:ascii="Times New Roman" w:cs="Times New Roman" w:eastAsia="Times New Roman" w:hAnsi="Times New Roman"/>
          <w:sz w:val="15"/>
          <w:szCs w:val="15"/>
          <w:color w:val="auto"/>
        </w:rPr>
        <w:t>(Acting Principal Financial Officer; Principal Accounting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May 8, 2025</w:t>
      </w:r>
    </w:p>
    <w:p>
      <w:pPr>
        <w:spacing w:after="0" w:line="12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lvl w:ilvl="1">
      <w:lvlJc w:val="left"/>
      <w:lvlText w:val="\endash "/>
      <w:numFmt w:val="bullet"/>
      <w:start w:val="1"/>
    </w:lvl>
  </w:abstractNum>
  <w:abstractNum w:abstractNumId="19">
    <w:nsid w:val="6763845E"/>
    <w:multiLevelType w:val="hybridMultilevel"/>
    <w:lvl w:ilvl="0">
      <w:lvlJc w:val="left"/>
      <w:lvlText w:val="•"/>
      <w:numFmt w:val="bullet"/>
      <w:start w:val="1"/>
    </w:lvl>
    <w:lvl w:ilvl="1">
      <w:lvlJc w:val="left"/>
      <w:lvlText w:val="\endash "/>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79" Type="http://schemas.openxmlformats.org/officeDocument/2006/relationships/hyperlink" Target="https://www.sec.gov/Archives/edgar/data/1875444/000187544421000004/exhibit31-arcertificateo.htm" TargetMode="External"/><Relationship Id="rId80"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2025-05-08T05:43:13Z</dcterms:created>
  <dcterms:modified xsi:type="dcterms:W3CDTF">2025-05-08T05:43:13Z</dcterms:modified>
</cp:coreProperties>
</file>