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34"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Arhaus,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334998"/>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FFFFFF"/>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69951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93" w:lineRule="exact"/>
        <w:rPr>
          <w:sz w:val="20"/>
          <w:szCs w:val="20"/>
          <w:color w:val="auto"/>
        </w:rPr>
      </w:pPr>
    </w:p>
    <w:p>
      <w:pPr>
        <w:ind w:left="120" w:right="80" w:firstLine="881"/>
        <w:spacing w:after="0" w:line="234" w:lineRule="auto"/>
        <w:rPr>
          <w:sz w:val="20"/>
          <w:szCs w:val="20"/>
          <w:color w:val="auto"/>
        </w:rPr>
      </w:pPr>
      <w:r>
        <w:rPr>
          <w:rFonts w:ascii="Arial" w:cs="Arial" w:eastAsia="Arial" w:hAnsi="Arial"/>
          <w:sz w:val="20"/>
          <w:szCs w:val="20"/>
          <w:color w:val="auto"/>
        </w:rPr>
        <w:t>The Annual Meeting of the Stockholders of Arhaus, Inc., a Delaware corporation (the “Company”) with its principal executive office located at 51 E. Hines Hill Road, Boston Heights, Ohio 44236, will be held virtually on May 15, 2025 at 9:00 A.M. Eastern Time (the “Annual Meeting”). A live webcast of the Annual Meeting will be available, and you will not be able to physically attend the Annual Meeting in-person. Registration for the Annual Meeting is required online at www.proxydocs.com/ARHS. The purpose of the Annual Meeting is:</w:t>
      </w:r>
    </w:p>
    <w:p>
      <w:pPr>
        <w:spacing w:after="0" w:line="202" w:lineRule="exact"/>
        <w:rPr>
          <w:sz w:val="20"/>
          <w:szCs w:val="20"/>
          <w:color w:val="auto"/>
        </w:rPr>
      </w:pPr>
    </w:p>
    <w:p>
      <w:pPr>
        <w:ind w:left="980" w:hanging="43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elect four Directors, each to serve a three-year term;</w:t>
      </w:r>
    </w:p>
    <w:p>
      <w:pPr>
        <w:spacing w:after="0" w:line="229" w:lineRule="exact"/>
        <w:rPr>
          <w:rFonts w:ascii="Arial" w:cs="Arial" w:eastAsia="Arial" w:hAnsi="Arial"/>
          <w:sz w:val="20"/>
          <w:szCs w:val="20"/>
          <w:color w:val="auto"/>
        </w:rPr>
      </w:pPr>
    </w:p>
    <w:p>
      <w:pPr>
        <w:ind w:left="980" w:hanging="43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approve, on an advisory basis, our named executive officer compensation;</w:t>
      </w:r>
    </w:p>
    <w:p>
      <w:pPr>
        <w:spacing w:after="0" w:line="229" w:lineRule="exact"/>
        <w:rPr>
          <w:rFonts w:ascii="Arial" w:cs="Arial" w:eastAsia="Arial" w:hAnsi="Arial"/>
          <w:sz w:val="20"/>
          <w:szCs w:val="20"/>
          <w:color w:val="auto"/>
        </w:rPr>
      </w:pPr>
    </w:p>
    <w:p>
      <w:pPr>
        <w:ind w:left="980" w:right="500" w:hanging="432"/>
        <w:spacing w:after="0" w:line="257"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approve the selection of PricewaterhouseCoopers LLP as the Company’s independent accountants for the Company’s fiscal year ending December 31, 2025; and</w:t>
      </w:r>
    </w:p>
    <w:p>
      <w:pPr>
        <w:spacing w:after="0" w:line="182" w:lineRule="exact"/>
        <w:rPr>
          <w:rFonts w:ascii="Arial" w:cs="Arial" w:eastAsia="Arial" w:hAnsi="Arial"/>
          <w:sz w:val="20"/>
          <w:szCs w:val="20"/>
          <w:color w:val="auto"/>
        </w:rPr>
      </w:pPr>
    </w:p>
    <w:p>
      <w:pPr>
        <w:ind w:left="980" w:hanging="43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meeting.</w:t>
      </w:r>
    </w:p>
    <w:p>
      <w:pPr>
        <w:spacing w:after="0" w:line="202"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20"/>
          <w:szCs w:val="20"/>
          <w:color w:val="auto"/>
        </w:rPr>
        <w:t>Only stockholders of record at the close of business on March 17, 2025 will be entitled to notice of and to vote at the Annual Meeting or any adjournment of the Annual Meeting.</w:t>
      </w:r>
    </w:p>
    <w:p>
      <w:pPr>
        <w:spacing w:after="0" w:line="155" w:lineRule="exact"/>
        <w:rPr>
          <w:sz w:val="20"/>
          <w:szCs w:val="20"/>
          <w:color w:val="auto"/>
        </w:rPr>
      </w:pPr>
    </w:p>
    <w:p>
      <w:pPr>
        <w:ind w:left="120" w:firstLine="881"/>
        <w:spacing w:after="0" w:line="241" w:lineRule="auto"/>
        <w:rPr>
          <w:sz w:val="20"/>
          <w:szCs w:val="20"/>
          <w:color w:val="auto"/>
        </w:rPr>
      </w:pPr>
      <w:r>
        <w:rPr>
          <w:rFonts w:ascii="Arial" w:cs="Arial" w:eastAsia="Arial" w:hAnsi="Arial"/>
          <w:sz w:val="20"/>
          <w:szCs w:val="20"/>
          <w:color w:val="auto"/>
        </w:rPr>
        <w:t>The Annual Meeting will be held in a virtual-only meeting format, via a live webcast that will provide stockholders with the ability to participate and vote their shares. The virtual Annual Meeting has been designed to provide substantially the same rights to participate as you would have at an in-person meeting.</w:t>
      </w:r>
    </w:p>
    <w:p>
      <w:pPr>
        <w:spacing w:after="0" w:line="171" w:lineRule="exact"/>
        <w:rPr>
          <w:sz w:val="20"/>
          <w:szCs w:val="20"/>
          <w:color w:val="auto"/>
        </w:rPr>
      </w:pPr>
    </w:p>
    <w:p>
      <w:pPr>
        <w:ind w:left="120" w:right="320" w:firstLine="881"/>
        <w:spacing w:after="0" w:line="257" w:lineRule="auto"/>
        <w:rPr>
          <w:sz w:val="20"/>
          <w:szCs w:val="20"/>
          <w:color w:val="auto"/>
        </w:rPr>
      </w:pPr>
      <w:r>
        <w:rPr>
          <w:rFonts w:ascii="Arial" w:cs="Arial" w:eastAsia="Arial" w:hAnsi="Arial"/>
          <w:sz w:val="20"/>
          <w:szCs w:val="20"/>
          <w:color w:val="auto"/>
        </w:rPr>
        <w:t>Your vote is important. Whether or not you plan to attend the virtual Annual Meeting, please vote by Internet, by phone, electronically during the Annual Meeting, or by completing and returning the enclosed proxy card.</w:t>
      </w: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 order of the Board of Directors,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/s/ Michael Nowak 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1899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Michael Nowak</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Secretary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April 10, 2025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16281C"/>
        </w:rPr>
        <w:t>IMPORTANT NOTICE REGARDING THE AVAILABILITY OF PROXY MATERIALS FOR THE</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16281C"/>
        </w:rPr>
        <w:t>STOCKHOLDERS MEETING TO BE HELD ON MAY 15, 2025.</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The Proxy Statement and Proxy Card are available at</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www.proxydocs.com/ARHS</w:t>
      </w:r>
    </w:p>
    <w:p>
      <w:pPr>
        <w:sectPr>
          <w:pgSz w:w="11900" w:h="16838" w:orient="portrait"/>
          <w:cols w:equalWidth="0" w:num="1">
            <w:col w:w="11040"/>
          </w:cols>
          <w:pgMar w:left="320" w:top="48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gridSpan w:val="5"/>
          </w:tcPr>
          <w:p>
            <w:pPr>
              <w:ind w:left="1080"/>
              <w:spacing w:after="0"/>
              <w:rPr>
                <w:sz w:val="20"/>
                <w:szCs w:val="20"/>
                <w:color w:val="auto"/>
              </w:rPr>
            </w:pPr>
            <w:r>
              <w:rPr>
                <w:rFonts w:ascii="Arial" w:cs="Arial" w:eastAsia="Arial" w:hAnsi="Arial"/>
                <w:sz w:val="20"/>
                <w:szCs w:val="20"/>
                <w:b w:val="1"/>
                <w:bCs w:val="1"/>
                <w:color w:val="auto"/>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About the Meeting</w:t>
            </w:r>
          </w:p>
        </w:tc>
        <w:tc>
          <w:tcPr>
            <w:tcW w:w="7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Proposal One: Election of Directors</w:t>
            </w:r>
          </w:p>
        </w:tc>
        <w:tc>
          <w:tcPr>
            <w:tcW w:w="7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Security Ownership of Certain Beneficial Owners and Management</w:t>
            </w:r>
          </w:p>
        </w:tc>
        <w:tc>
          <w:tcPr>
            <w:tcW w:w="72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400" w:type="dxa"/>
            <w:vAlign w:val="bottom"/>
            <w:tcBorders>
              <w:top w:val="single" w:sz="8" w:color="0000EE"/>
            </w:tcBorders>
            <w:gridSpan w:val="12"/>
          </w:tcPr>
          <w:p>
            <w:pPr>
              <w:spacing w:after="0"/>
              <w:rPr>
                <w:sz w:val="20"/>
                <w:szCs w:val="20"/>
                <w:color w:val="auto"/>
              </w:rPr>
            </w:pPr>
            <w:r>
              <w:rPr>
                <w:rFonts w:ascii="Arial" w:cs="Arial" w:eastAsia="Arial" w:hAnsi="Arial"/>
                <w:sz w:val="22"/>
                <w:szCs w:val="22"/>
                <w:color w:val="0000EE"/>
              </w:rPr>
              <w:t>Certain Relationships and Related Transactions</w:t>
            </w:r>
          </w:p>
        </w:tc>
        <w:tc>
          <w:tcPr>
            <w:tcW w:w="382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4560" w:type="dxa"/>
            <w:vAlign w:val="bottom"/>
            <w:tcBorders>
              <w:top w:val="single" w:sz="8" w:color="0000EE"/>
            </w:tcBorders>
            <w:gridSpan w:val="10"/>
          </w:tcPr>
          <w:p>
            <w:pPr>
              <w:spacing w:after="0"/>
              <w:rPr>
                <w:sz w:val="20"/>
                <w:szCs w:val="20"/>
                <w:color w:val="auto"/>
              </w:rPr>
            </w:pPr>
            <w:r>
              <w:rPr>
                <w:rFonts w:ascii="Arial" w:cs="Arial" w:eastAsia="Arial" w:hAnsi="Arial"/>
                <w:sz w:val="22"/>
                <w:szCs w:val="22"/>
                <w:color w:val="0000EE"/>
              </w:rPr>
              <w:t>Executive Compensation</w:t>
            </w:r>
          </w:p>
        </w:tc>
        <w:tc>
          <w:tcPr>
            <w:tcW w:w="56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Proposal Two: Advisory Vote on Named Executive Officer Compensation</w:t>
            </w:r>
          </w:p>
        </w:tc>
        <w:tc>
          <w:tcPr>
            <w:tcW w:w="72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tcBorders>
              <w:bottom w:val="single" w:sz="8" w:color="0000EE"/>
            </w:tcBorders>
            <w:gridSpan w:val="14"/>
          </w:tcPr>
          <w:p>
            <w:pPr>
              <w:spacing w:after="0"/>
              <w:rPr>
                <w:sz w:val="20"/>
                <w:szCs w:val="20"/>
                <w:color w:val="auto"/>
              </w:rPr>
            </w:pPr>
            <w:r>
              <w:rPr>
                <w:rFonts w:ascii="Arial" w:cs="Arial" w:eastAsia="Arial" w:hAnsi="Arial"/>
                <w:sz w:val="22"/>
                <w:szCs w:val="22"/>
                <w:color w:val="0000EE"/>
                <w:w w:val="98"/>
              </w:rPr>
              <w:t>Proposal Three: Approval of the Selection of PricewaterhouseCoopers LLP as the Company’s Independent</w:t>
            </w: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Borders>
              <w:bottom w:val="single" w:sz="8" w:color="0000EE"/>
            </w:tcBorders>
            <w:gridSpan w:val="4"/>
          </w:tcPr>
          <w:p>
            <w:pPr>
              <w:spacing w:after="0" w:line="223" w:lineRule="exact"/>
              <w:rPr>
                <w:sz w:val="20"/>
                <w:szCs w:val="20"/>
                <w:color w:val="auto"/>
              </w:rPr>
            </w:pPr>
            <w:r>
              <w:rPr>
                <w:rFonts w:ascii="Arial" w:cs="Arial" w:eastAsia="Arial" w:hAnsi="Arial"/>
                <w:sz w:val="22"/>
                <w:szCs w:val="22"/>
                <w:color w:val="0000EE"/>
                <w:w w:val="97"/>
              </w:rPr>
              <w:t>Accountants</w:t>
            </w:r>
          </w:p>
        </w:tc>
        <w:tc>
          <w:tcPr>
            <w:tcW w:w="8380" w:type="dxa"/>
            <w:vAlign w:val="bottom"/>
            <w:gridSpan w:val="9"/>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Audit Committee Report</w:t>
            </w:r>
          </w:p>
        </w:tc>
        <w:tc>
          <w:tcPr>
            <w:tcW w:w="72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220" w:type="dxa"/>
            <w:vAlign w:val="bottom"/>
            <w:gridSpan w:val="14"/>
          </w:tcPr>
          <w:p>
            <w:pPr>
              <w:spacing w:after="0"/>
              <w:rPr>
                <w:sz w:val="20"/>
                <w:szCs w:val="20"/>
                <w:color w:val="auto"/>
              </w:rPr>
            </w:pPr>
            <w:r>
              <w:rPr>
                <w:rFonts w:ascii="Arial" w:cs="Arial" w:eastAsia="Arial" w:hAnsi="Arial"/>
                <w:sz w:val="22"/>
                <w:szCs w:val="22"/>
                <w:color w:val="0000EE"/>
              </w:rPr>
              <w:t>Delinquent Section 16(a) Reports</w:t>
            </w:r>
          </w:p>
        </w:tc>
        <w:tc>
          <w:tcPr>
            <w:tcW w:w="7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sz w:val="20"/>
                <w:szCs w:val="20"/>
                <w:color w:val="auto"/>
              </w:rPr>
            </w:pPr>
            <w:r>
              <w:rPr>
                <w:rFonts w:ascii="Arial" w:cs="Arial" w:eastAsia="Arial" w:hAnsi="Arial"/>
                <w:sz w:val="22"/>
                <w:szCs w:val="22"/>
                <w:color w:val="0000EE"/>
                <w:w w:val="97"/>
              </w:rPr>
              <w:t>Stockholder Proposals for 2026 Annual Meeting</w:t>
            </w:r>
          </w:p>
        </w:tc>
        <w:tc>
          <w:tcPr>
            <w:tcW w:w="56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22"/>
                <w:szCs w:val="22"/>
                <w:color w:val="0000EE"/>
                <w:w w:val="96"/>
              </w:rPr>
              <w:t>Householding</w:t>
            </w:r>
          </w:p>
        </w:tc>
        <w:tc>
          <w:tcPr>
            <w:tcW w:w="89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22"/>
                <w:szCs w:val="22"/>
                <w:color w:val="0000EE"/>
                <w:w w:val="96"/>
              </w:rPr>
              <w:t>Other Matters</w:t>
            </w:r>
          </w:p>
        </w:tc>
        <w:tc>
          <w:tcPr>
            <w:tcW w:w="89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7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PROXY STATEMENT</w:t>
      </w:r>
    </w:p>
    <w:p>
      <w:pPr>
        <w:jc w:val="center"/>
        <w:ind w:right="-119"/>
        <w:spacing w:after="0" w:line="231" w:lineRule="auto"/>
        <w:rPr>
          <w:sz w:val="20"/>
          <w:szCs w:val="20"/>
          <w:color w:val="auto"/>
        </w:rPr>
      </w:pPr>
      <w:r>
        <w:rPr>
          <w:rFonts w:ascii="Arial" w:cs="Arial" w:eastAsia="Arial" w:hAnsi="Arial"/>
          <w:sz w:val="20"/>
          <w:szCs w:val="20"/>
          <w:b w:val="1"/>
          <w:bCs w:val="1"/>
          <w:color w:val="auto"/>
        </w:rPr>
        <w:t>ANNUAL MEETING OF STOCKHOLDERS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TO BE HELD MAY 15, 2025</w:t>
      </w:r>
    </w:p>
    <w:p>
      <w:pPr>
        <w:spacing w:after="0" w:line="184" w:lineRule="exact"/>
        <w:rPr>
          <w:sz w:val="20"/>
          <w:szCs w:val="20"/>
          <w:color w:val="auto"/>
        </w:rPr>
      </w:pPr>
    </w:p>
    <w:p>
      <w:pPr>
        <w:ind w:left="120" w:firstLine="881"/>
        <w:spacing w:after="0" w:line="234" w:lineRule="auto"/>
        <w:rPr>
          <w:sz w:val="20"/>
          <w:szCs w:val="20"/>
          <w:color w:val="auto"/>
        </w:rPr>
      </w:pPr>
      <w:r>
        <w:rPr>
          <w:rFonts w:ascii="Arial" w:cs="Arial" w:eastAsia="Arial" w:hAnsi="Arial"/>
          <w:sz w:val="20"/>
          <w:szCs w:val="20"/>
          <w:color w:val="auto"/>
        </w:rPr>
        <w:t>The Company’s Board of Directors (or the “Board”) is sending you this proxy statement to ask for your vote as a stockholder of Arhaus, Inc. (the “Company”) on matters to be voted on at the upcoming Annual Meeting of Stockholders (the “Annual Meeting”). The Annual Meeting will be held virtually on May 15, 2025 at 9:00 A.M. Eastern Time. The Company is first making available this proxy statement, accompanying notice of meeting, proxy form, and the Company’s Annual Report to Stockholders on April 10, 2025.</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FFFFFF"/>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What is the purpose of the Annual Meeting?</w:t>
      </w:r>
    </w:p>
    <w:p>
      <w:pPr>
        <w:spacing w:after="0" w:line="202" w:lineRule="exact"/>
        <w:rPr>
          <w:sz w:val="20"/>
          <w:szCs w:val="20"/>
          <w:color w:val="auto"/>
        </w:rPr>
      </w:pPr>
    </w:p>
    <w:p>
      <w:pPr>
        <w:ind w:left="120" w:right="220" w:firstLine="881"/>
        <w:spacing w:after="0" w:line="237" w:lineRule="auto"/>
        <w:rPr>
          <w:sz w:val="20"/>
          <w:szCs w:val="20"/>
          <w:color w:val="auto"/>
        </w:rPr>
      </w:pPr>
      <w:r>
        <w:rPr>
          <w:rFonts w:ascii="Arial" w:cs="Arial" w:eastAsia="Arial" w:hAnsi="Arial"/>
          <w:sz w:val="20"/>
          <w:szCs w:val="20"/>
          <w:color w:val="auto"/>
        </w:rPr>
        <w:t>The purpose of the Annual Meeting is to vote on matters outlined in the accompanying notice of the meeting, including (i) the election of four Directors, (ii) the approval, on an advisory basis, of our named executive officer compensation, and (iii) the approval of the Audit Committee’s selection of the Company’s independent accountants. We are not aware of any other matters that will be presented for your vote at the meeting.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Why is the meeting virtual?</w:t>
      </w:r>
    </w:p>
    <w:p>
      <w:pPr>
        <w:spacing w:after="0" w:line="202" w:lineRule="exact"/>
        <w:rPr>
          <w:sz w:val="20"/>
          <w:szCs w:val="20"/>
          <w:color w:val="auto"/>
        </w:rPr>
      </w:pPr>
    </w:p>
    <w:p>
      <w:pPr>
        <w:ind w:left="120" w:right="20" w:firstLine="881"/>
        <w:spacing w:after="0" w:line="237" w:lineRule="auto"/>
        <w:rPr>
          <w:sz w:val="20"/>
          <w:szCs w:val="20"/>
          <w:color w:val="auto"/>
        </w:rPr>
      </w:pPr>
      <w:r>
        <w:rPr>
          <w:rFonts w:ascii="Arial" w:cs="Arial" w:eastAsia="Arial" w:hAnsi="Arial"/>
          <w:sz w:val="20"/>
          <w:szCs w:val="20"/>
          <w:color w:val="auto"/>
        </w:rPr>
        <w:t>We believe a virtual-only meeting facilitates stockholder attendance and participation by enabling all stockholders to participate fully and equally, and without cost, using an Internet-connected device from any location around the world. In addition, the virtual-only meeting format increases our ability to engage with all stockholders, regardless of size, resources, or physical location.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Who can attend the meeting?</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Only stockholders as of the record date, which is March 17, 2025, or their duly appointed proxies, may attend the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meeting.</w:t>
      </w:r>
    </w:p>
    <w:p>
      <w:pPr>
        <w:spacing w:after="0" w:line="182" w:lineRule="exact"/>
        <w:rPr>
          <w:sz w:val="20"/>
          <w:szCs w:val="20"/>
          <w:color w:val="auto"/>
        </w:rPr>
      </w:pPr>
    </w:p>
    <w:p>
      <w:pPr>
        <w:ind w:left="120" w:right="260" w:firstLine="881"/>
        <w:spacing w:after="0" w:line="247" w:lineRule="auto"/>
        <w:rPr>
          <w:sz w:val="20"/>
          <w:szCs w:val="20"/>
          <w:color w:val="auto"/>
        </w:rPr>
      </w:pPr>
      <w:r>
        <w:rPr>
          <w:rFonts w:ascii="Arial" w:cs="Arial" w:eastAsia="Arial" w:hAnsi="Arial"/>
          <w:sz w:val="20"/>
          <w:szCs w:val="20"/>
          <w:b w:val="1"/>
          <w:bCs w:val="1"/>
          <w:color w:val="auto"/>
        </w:rPr>
        <w:t>In order to attend the meeting, you must register at www.proxydocs.com/ARHS. Upon completing your registration, you will receive further instructions via email, including a unique link that will allow you access to the meeting and to vote during the meeting.</w:t>
      </w:r>
    </w:p>
    <w:p>
      <w:pPr>
        <w:spacing w:after="0" w:line="156" w:lineRule="exact"/>
        <w:rPr>
          <w:sz w:val="20"/>
          <w:szCs w:val="20"/>
          <w:color w:val="auto"/>
        </w:rPr>
      </w:pPr>
    </w:p>
    <w:p>
      <w:pPr>
        <w:ind w:left="120" w:right="60" w:firstLine="881"/>
        <w:spacing w:after="0" w:line="237" w:lineRule="auto"/>
        <w:rPr>
          <w:sz w:val="20"/>
          <w:szCs w:val="20"/>
          <w:color w:val="auto"/>
        </w:rPr>
      </w:pPr>
      <w:r>
        <w:rPr>
          <w:rFonts w:ascii="Arial" w:cs="Arial" w:eastAsia="Arial" w:hAnsi="Arial"/>
          <w:sz w:val="20"/>
          <w:szCs w:val="20"/>
          <w:color w:val="auto"/>
        </w:rPr>
        <w:t>As part of the registration process, you must enter the control number located on your proxy card or voting instruction form.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When and where is the meeting?</w:t>
      </w:r>
    </w:p>
    <w:p>
      <w:pPr>
        <w:spacing w:after="0" w:line="202" w:lineRule="exact"/>
        <w:rPr>
          <w:sz w:val="20"/>
          <w:szCs w:val="20"/>
          <w:color w:val="auto"/>
        </w:rPr>
      </w:pPr>
    </w:p>
    <w:p>
      <w:pPr>
        <w:ind w:left="120" w:firstLine="881"/>
        <w:spacing w:after="0" w:line="241" w:lineRule="auto"/>
        <w:rPr>
          <w:sz w:val="20"/>
          <w:szCs w:val="20"/>
          <w:color w:val="auto"/>
        </w:rPr>
      </w:pPr>
      <w:r>
        <w:rPr>
          <w:rFonts w:ascii="Arial" w:cs="Arial" w:eastAsia="Arial" w:hAnsi="Arial"/>
          <w:sz w:val="20"/>
          <w:szCs w:val="20"/>
          <w:color w:val="auto"/>
        </w:rPr>
        <w:t>On May 15, 2025, you may access the virtual-only meeting by using the unique link that will be included in the instructional email sent following registration. Stockholders may begin to log in fifteen minutes prior to the meeting’s start time. The meeting will begin promptly at 9:00 A.M. Eastern Time.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0" w:firstLine="881"/>
        <w:spacing w:after="0" w:line="241" w:lineRule="auto"/>
        <w:rPr>
          <w:sz w:val="20"/>
          <w:szCs w:val="20"/>
          <w:color w:val="auto"/>
        </w:rPr>
      </w:pPr>
      <w:r>
        <w:rPr>
          <w:rFonts w:ascii="Arial" w:cs="Arial" w:eastAsia="Arial" w:hAnsi="Arial"/>
          <w:sz w:val="20"/>
          <w:szCs w:val="20"/>
          <w:color w:val="auto"/>
        </w:rPr>
        <w:t>If you encounter any technical difficulties accessing the meeting, including any difficulties voting, there will be technical support that you may call. The technical support number will be included in the instructional email sent following registration.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Who is entitled to vote?</w:t>
      </w:r>
    </w:p>
    <w:p>
      <w:pPr>
        <w:spacing w:after="0" w:line="202"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Only stockholders of record at the close of business on the record date, March 17, 2025, are entitled to receive notice of the meeting and to vote the number of shares of common stock that they held on the record date. As of the record date, the Company has outstanding 53,523,814 shares of Class A common stock and 87,115,600 shares of Class B common stock. The shares of Class A common stock and Class B common stock vote together on matters submitted to a vote of stockholders. Each outstanding share of Class A common stock entitles its holder to cast one vote on each matter to be voted on, and each share of Class B common stock entitles its holder to cast ten votes on each matter to be voted 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How do I vote by proxy?</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 xml:space="preserve">Shares Held of Record. </w:t>
      </w:r>
      <w:r>
        <w:rPr>
          <w:rFonts w:ascii="Arial" w:cs="Arial" w:eastAsia="Arial" w:hAnsi="Arial"/>
          <w:sz w:val="20"/>
          <w:szCs w:val="20"/>
          <w:color w:val="auto"/>
        </w:rPr>
        <w:t>If you hold your shares in your own name as a holder of record with our transfer agent,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Equiniti Trust Company, LLC, you may authorize that your shares be voted at the meeting in one of the following ways:</w:t>
      </w:r>
    </w:p>
    <w:p>
      <w:pPr>
        <w:spacing w:after="0" w:line="184" w:lineRule="exact"/>
        <w:rPr>
          <w:sz w:val="20"/>
          <w:szCs w:val="20"/>
          <w:color w:val="auto"/>
        </w:rPr>
      </w:pPr>
    </w:p>
    <w:p>
      <w:pPr>
        <w:ind w:left="1880"/>
        <w:spacing w:after="0" w:line="257" w:lineRule="auto"/>
        <w:rPr>
          <w:sz w:val="20"/>
          <w:szCs w:val="20"/>
          <w:color w:val="auto"/>
        </w:rPr>
      </w:pPr>
      <w:r>
        <w:rPr>
          <w:rFonts w:ascii="Arial" w:cs="Arial" w:eastAsia="Arial" w:hAnsi="Arial"/>
          <w:sz w:val="20"/>
          <w:szCs w:val="20"/>
          <w:i w:val="1"/>
          <w:iCs w:val="1"/>
          <w:u w:val="single" w:color="auto"/>
          <w:color w:val="auto"/>
        </w:rPr>
        <w:t>By Internet or Telephone.</w:t>
      </w:r>
      <w:r>
        <w:rPr>
          <w:rFonts w:ascii="Arial" w:cs="Arial" w:eastAsia="Arial" w:hAnsi="Arial"/>
          <w:sz w:val="20"/>
          <w:szCs w:val="20"/>
          <w:i w:val="1"/>
          <w:iCs w:val="1"/>
          <w:color w:val="auto"/>
        </w:rPr>
        <w:t xml:space="preserve"> </w:t>
      </w:r>
      <w:r>
        <w:rPr>
          <w:rFonts w:ascii="Arial" w:cs="Arial" w:eastAsia="Arial" w:hAnsi="Arial"/>
          <w:sz w:val="20"/>
          <w:szCs w:val="20"/>
          <w:color w:val="auto"/>
        </w:rPr>
        <w:t>You may vote by Internet or telephone by following the instructions on the proxy</w:t>
      </w:r>
      <w:r>
        <w:rPr>
          <w:rFonts w:ascii="Arial" w:cs="Arial" w:eastAsia="Arial" w:hAnsi="Arial"/>
          <w:sz w:val="20"/>
          <w:szCs w:val="20"/>
          <w:i w:val="1"/>
          <w:iCs w:val="1"/>
          <w:color w:val="auto"/>
        </w:rPr>
        <w:t xml:space="preserve"> </w:t>
      </w:r>
      <w:r>
        <w:rPr>
          <w:rFonts w:ascii="Arial" w:cs="Arial" w:eastAsia="Arial" w:hAnsi="Arial"/>
          <w:sz w:val="20"/>
          <w:szCs w:val="20"/>
          <w:color w:val="auto"/>
        </w:rPr>
        <w:t>card.</w:t>
      </w:r>
    </w:p>
    <w:p>
      <w:pPr>
        <w:spacing w:after="0" w:line="155" w:lineRule="exact"/>
        <w:rPr>
          <w:sz w:val="20"/>
          <w:szCs w:val="20"/>
          <w:color w:val="auto"/>
        </w:rPr>
      </w:pPr>
    </w:p>
    <w:p>
      <w:pPr>
        <w:ind w:left="1880" w:right="360"/>
        <w:spacing w:after="0" w:line="257" w:lineRule="auto"/>
        <w:rPr>
          <w:sz w:val="20"/>
          <w:szCs w:val="20"/>
          <w:color w:val="auto"/>
        </w:rPr>
      </w:pPr>
      <w:r>
        <w:rPr>
          <w:rFonts w:ascii="Arial" w:cs="Arial" w:eastAsia="Arial" w:hAnsi="Arial"/>
          <w:sz w:val="20"/>
          <w:szCs w:val="20"/>
          <w:i w:val="1"/>
          <w:iCs w:val="1"/>
          <w:u w:val="single" w:color="auto"/>
          <w:color w:val="auto"/>
        </w:rPr>
        <w:t>By Mail.</w:t>
      </w:r>
      <w:r>
        <w:rPr>
          <w:rFonts w:ascii="Arial" w:cs="Arial" w:eastAsia="Arial" w:hAnsi="Arial"/>
          <w:sz w:val="20"/>
          <w:szCs w:val="20"/>
          <w:i w:val="1"/>
          <w:iCs w:val="1"/>
          <w:color w:val="auto"/>
        </w:rPr>
        <w:t xml:space="preserve"> </w:t>
      </w:r>
      <w:r>
        <w:rPr>
          <w:rFonts w:ascii="Arial" w:cs="Arial" w:eastAsia="Arial" w:hAnsi="Arial"/>
          <w:sz w:val="20"/>
          <w:szCs w:val="20"/>
          <w:color w:val="auto"/>
        </w:rPr>
        <w:t>If you received a printed copy of the proxy materials, then you may complete, sign, date, and</w:t>
      </w:r>
      <w:r>
        <w:rPr>
          <w:rFonts w:ascii="Arial" w:cs="Arial" w:eastAsia="Arial" w:hAnsi="Arial"/>
          <w:sz w:val="20"/>
          <w:szCs w:val="20"/>
          <w:i w:val="1"/>
          <w:iCs w:val="1"/>
          <w:color w:val="auto"/>
        </w:rPr>
        <w:t xml:space="preserve"> </w:t>
      </w:r>
      <w:r>
        <w:rPr>
          <w:rFonts w:ascii="Arial" w:cs="Arial" w:eastAsia="Arial" w:hAnsi="Arial"/>
          <w:sz w:val="20"/>
          <w:szCs w:val="20"/>
          <w:color w:val="auto"/>
        </w:rPr>
        <w:t>mail your proxy card in the enclosed, postage-prepaid envelope.</w:t>
      </w:r>
    </w:p>
    <w:p>
      <w:pPr>
        <w:spacing w:after="0" w:line="155" w:lineRule="exact"/>
        <w:rPr>
          <w:sz w:val="20"/>
          <w:szCs w:val="20"/>
          <w:color w:val="auto"/>
        </w:rPr>
      </w:pPr>
    </w:p>
    <w:p>
      <w:pPr>
        <w:ind w:left="1880" w:right="200"/>
        <w:spacing w:after="0" w:line="257" w:lineRule="auto"/>
        <w:rPr>
          <w:sz w:val="20"/>
          <w:szCs w:val="20"/>
          <w:color w:val="auto"/>
        </w:rPr>
      </w:pPr>
      <w:r>
        <w:rPr>
          <w:rFonts w:ascii="Arial" w:cs="Arial" w:eastAsia="Arial" w:hAnsi="Arial"/>
          <w:sz w:val="20"/>
          <w:szCs w:val="20"/>
          <w:i w:val="1"/>
          <w:iCs w:val="1"/>
          <w:u w:val="single" w:color="auto"/>
          <w:color w:val="auto"/>
        </w:rPr>
        <w:t>Electronically during the Virtual Meeting.</w:t>
      </w:r>
      <w:r>
        <w:rPr>
          <w:rFonts w:ascii="Arial" w:cs="Arial" w:eastAsia="Arial" w:hAnsi="Arial"/>
          <w:sz w:val="20"/>
          <w:szCs w:val="20"/>
          <w:i w:val="1"/>
          <w:iCs w:val="1"/>
          <w:color w:val="auto"/>
        </w:rPr>
        <w:t xml:space="preserve"> </w:t>
      </w:r>
      <w:r>
        <w:rPr>
          <w:rFonts w:ascii="Arial" w:cs="Arial" w:eastAsia="Arial" w:hAnsi="Arial"/>
          <w:sz w:val="20"/>
          <w:szCs w:val="20"/>
          <w:color w:val="auto"/>
        </w:rPr>
        <w:t>You may also vote in real-time by attending the virtual meeting</w:t>
      </w:r>
      <w:r>
        <w:rPr>
          <w:rFonts w:ascii="Arial" w:cs="Arial" w:eastAsia="Arial" w:hAnsi="Arial"/>
          <w:sz w:val="20"/>
          <w:szCs w:val="20"/>
          <w:i w:val="1"/>
          <w:iCs w:val="1"/>
          <w:color w:val="auto"/>
        </w:rPr>
        <w:t xml:space="preserve"> </w:t>
      </w:r>
      <w:r>
        <w:rPr>
          <w:rFonts w:ascii="Arial" w:cs="Arial" w:eastAsia="Arial" w:hAnsi="Arial"/>
          <w:sz w:val="20"/>
          <w:szCs w:val="20"/>
          <w:color w:val="auto"/>
        </w:rPr>
        <w:t>using the unique link included in the instructional email sent following registration.</w:t>
      </w:r>
    </w:p>
    <w:p>
      <w:pPr>
        <w:spacing w:after="0" w:line="155" w:lineRule="exact"/>
        <w:rPr>
          <w:sz w:val="20"/>
          <w:szCs w:val="20"/>
          <w:color w:val="auto"/>
        </w:rPr>
      </w:pPr>
    </w:p>
    <w:p>
      <w:pPr>
        <w:ind w:left="120" w:right="260" w:firstLine="881"/>
        <w:spacing w:after="0" w:line="233" w:lineRule="auto"/>
        <w:rPr>
          <w:sz w:val="20"/>
          <w:szCs w:val="20"/>
          <w:color w:val="auto"/>
        </w:rPr>
      </w:pPr>
      <w:r>
        <w:rPr>
          <w:rFonts w:ascii="Arial" w:cs="Arial" w:eastAsia="Arial" w:hAnsi="Arial"/>
          <w:sz w:val="20"/>
          <w:szCs w:val="20"/>
          <w:i w:val="1"/>
          <w:iCs w:val="1"/>
          <w:color w:val="auto"/>
        </w:rPr>
        <w:t xml:space="preserve">Shares Held in Street Name. </w:t>
      </w:r>
      <w:r>
        <w:rPr>
          <w:rFonts w:ascii="Arial" w:cs="Arial" w:eastAsia="Arial" w:hAnsi="Arial"/>
          <w:sz w:val="20"/>
          <w:szCs w:val="20"/>
          <w:color w:val="auto"/>
        </w:rPr>
        <w:t>If you hold your shares through a broker, bank, or other nominee (that is, in street</w:t>
      </w:r>
      <w:r>
        <w:rPr>
          <w:rFonts w:ascii="Arial" w:cs="Arial" w:eastAsia="Arial" w:hAnsi="Arial"/>
          <w:sz w:val="20"/>
          <w:szCs w:val="20"/>
          <w:i w:val="1"/>
          <w:iCs w:val="1"/>
          <w:color w:val="auto"/>
        </w:rPr>
        <w:t xml:space="preserve"> </w:t>
      </w:r>
      <w:r>
        <w:rPr>
          <w:rFonts w:ascii="Arial" w:cs="Arial" w:eastAsia="Arial" w:hAnsi="Arial"/>
          <w:sz w:val="20"/>
          <w:szCs w:val="20"/>
          <w:color w:val="auto"/>
        </w:rPr>
        <w:t>name), you will receive instructions from your broker, bank, or nominee that you must follow in order to submit your voting instructions and have your shares voted at the meeting. If you want to vote in real-time virtually at the meeting, you must register in advance at www.proxydocs.com/ARHS. You may be instructed to obtain a legal proxy from your broker, bank, or other nominee and to submit a copy in advance of the meeting. Further instructions will be provided to you as part of your registration process.</w:t>
      </w:r>
    </w:p>
    <w:p>
      <w:pPr>
        <w:spacing w:after="0" w:line="172" w:lineRule="exact"/>
        <w:rPr>
          <w:sz w:val="20"/>
          <w:szCs w:val="20"/>
          <w:color w:val="auto"/>
        </w:rPr>
      </w:pPr>
    </w:p>
    <w:p>
      <w:pPr>
        <w:jc w:val="both"/>
        <w:ind w:left="120" w:right="60" w:firstLine="881"/>
        <w:spacing w:after="0" w:line="241" w:lineRule="auto"/>
        <w:rPr>
          <w:sz w:val="20"/>
          <w:szCs w:val="20"/>
          <w:color w:val="auto"/>
        </w:rPr>
      </w:pPr>
      <w:r>
        <w:rPr>
          <w:rFonts w:ascii="Arial" w:cs="Arial" w:eastAsia="Arial" w:hAnsi="Arial"/>
          <w:sz w:val="20"/>
          <w:szCs w:val="20"/>
          <w:color w:val="auto"/>
        </w:rPr>
        <w:t>If you hold Company shares in multiple accounts, you may receive more than one set of proxy materials. To ensure that all your shares are voted, please submit your proxy or voting instructions for each account for which you have received a set of proxy materials.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May I revoke my proxy?</w:t>
      </w:r>
    </w:p>
    <w:p>
      <w:pPr>
        <w:spacing w:after="0" w:line="202" w:lineRule="exact"/>
        <w:rPr>
          <w:sz w:val="20"/>
          <w:szCs w:val="20"/>
          <w:color w:val="auto"/>
        </w:rPr>
      </w:pPr>
    </w:p>
    <w:p>
      <w:pPr>
        <w:ind w:left="120" w:right="80" w:firstLine="881"/>
        <w:spacing w:after="0" w:line="241" w:lineRule="auto"/>
        <w:rPr>
          <w:sz w:val="20"/>
          <w:szCs w:val="20"/>
          <w:color w:val="auto"/>
        </w:rPr>
      </w:pPr>
      <w:r>
        <w:rPr>
          <w:rFonts w:ascii="Arial" w:cs="Arial" w:eastAsia="Arial" w:hAnsi="Arial"/>
          <w:sz w:val="20"/>
          <w:szCs w:val="20"/>
          <w:color w:val="auto"/>
        </w:rPr>
        <w:t>If you are a holder of record, you may revoke your proxy at any time before it is exercised by delivering written notice of revocation to the Company’s Secretary, Michael Nowak, at the Company’s principal executive offices at 51 E. Hines Hill Road, Boston Heights, Ohio 44236.</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20"/>
          <w:szCs w:val="20"/>
          <w:color w:val="auto"/>
        </w:rPr>
        <w:t>If you hold your shares in street name, you must follow the instructions provided by your broker, bank, or nominee to revoke your voting instructions. Attendance at the meeting will not itself revoke an earlier submitted proxy.</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What constitutes a quorum?</w:t>
      </w:r>
    </w:p>
    <w:p>
      <w:pPr>
        <w:spacing w:after="0" w:line="202" w:lineRule="exact"/>
        <w:rPr>
          <w:sz w:val="20"/>
          <w:szCs w:val="20"/>
          <w:color w:val="auto"/>
        </w:rPr>
      </w:pPr>
    </w:p>
    <w:p>
      <w:pPr>
        <w:ind w:left="120" w:right="20" w:firstLine="881"/>
        <w:spacing w:after="0" w:line="252" w:lineRule="auto"/>
        <w:rPr>
          <w:sz w:val="20"/>
          <w:szCs w:val="20"/>
          <w:color w:val="auto"/>
        </w:rPr>
      </w:pPr>
      <w:r>
        <w:rPr>
          <w:rFonts w:ascii="Arial" w:cs="Arial" w:eastAsia="Arial" w:hAnsi="Arial"/>
          <w:sz w:val="19"/>
          <w:szCs w:val="19"/>
          <w:color w:val="auto"/>
        </w:rPr>
        <w:t>The presence at the meeting, either by live virtual attendance or by proxy, of the holders of shares of common stock representing a majority of the voting power outstanding on the record date, March 17, 2025, and entitled to vote will represent a quorum permitting the conduct of business at the meeting. Proxies received by the Company marked as abstentions or broker non-votes will be included in the calculation of the number of shares considered to be present at the meeting.</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What is a “broker non-vote”?</w:t>
      </w:r>
    </w:p>
    <w:p>
      <w:pPr>
        <w:spacing w:after="0" w:line="202" w:lineRule="exact"/>
        <w:rPr>
          <w:sz w:val="20"/>
          <w:szCs w:val="20"/>
          <w:color w:val="auto"/>
        </w:rPr>
      </w:pPr>
    </w:p>
    <w:p>
      <w:pPr>
        <w:ind w:left="120" w:right="100" w:firstLine="881"/>
        <w:spacing w:after="0" w:line="231" w:lineRule="auto"/>
        <w:rPr>
          <w:sz w:val="20"/>
          <w:szCs w:val="20"/>
          <w:color w:val="auto"/>
        </w:rPr>
      </w:pPr>
      <w:r>
        <w:rPr>
          <w:rFonts w:ascii="Arial" w:cs="Arial" w:eastAsia="Arial" w:hAnsi="Arial"/>
          <w:sz w:val="20"/>
          <w:szCs w:val="20"/>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approval of the selection of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or the proposal on our named executive officer compensation. Broker non-votes count for purposes of determining whether a quorum is present.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What vote is required to approve each proposal, assuming that a quorum is present at the Annual Meeting?</w:t>
      </w:r>
    </w:p>
    <w:p>
      <w:pPr>
        <w:spacing w:after="0" w:line="202" w:lineRule="exact"/>
        <w:rPr>
          <w:sz w:val="20"/>
          <w:szCs w:val="20"/>
          <w:color w:val="auto"/>
        </w:rPr>
      </w:pPr>
    </w:p>
    <w:p>
      <w:pPr>
        <w:ind w:left="120" w:firstLine="881"/>
        <w:spacing w:after="0" w:line="234" w:lineRule="auto"/>
        <w:rPr>
          <w:sz w:val="20"/>
          <w:szCs w:val="20"/>
          <w:color w:val="auto"/>
        </w:rPr>
      </w:pPr>
      <w:r>
        <w:rPr>
          <w:rFonts w:ascii="Arial" w:cs="Arial" w:eastAsia="Arial" w:hAnsi="Arial"/>
          <w:sz w:val="20"/>
          <w:szCs w:val="20"/>
          <w:color w:val="auto"/>
        </w:rPr>
        <w:t>Proposal One: The four nominees receiving the greatest number of votes ‘FOR’ election will be elected as Directors. If you do not vote for a particular Director nominee, or if you indicate ‘WITHHOLD’ authority for a particular nominee on your proxy form, your vote will not count either for or against the nominee. If your shares are held in street name by a broker or nominee indicating on a proxy that it does not have authority to vote on this or any other proposal, this will result in a broker non-vote, which will not count toward the election of any of the nominees.</w:t>
      </w:r>
    </w:p>
    <w:p>
      <w:pPr>
        <w:spacing w:after="0" w:line="175" w:lineRule="exact"/>
        <w:rPr>
          <w:sz w:val="20"/>
          <w:szCs w:val="20"/>
          <w:color w:val="auto"/>
        </w:rPr>
      </w:pPr>
    </w:p>
    <w:p>
      <w:pPr>
        <w:ind w:left="120" w:right="160" w:firstLine="881"/>
        <w:spacing w:after="0" w:line="231" w:lineRule="auto"/>
        <w:rPr>
          <w:sz w:val="20"/>
          <w:szCs w:val="20"/>
          <w:color w:val="auto"/>
        </w:rPr>
      </w:pPr>
      <w:r>
        <w:rPr>
          <w:rFonts w:ascii="Arial" w:cs="Arial" w:eastAsia="Arial" w:hAnsi="Arial"/>
          <w:sz w:val="20"/>
          <w:szCs w:val="20"/>
          <w:color w:val="auto"/>
        </w:rPr>
        <w:t>Proposal Two: The proposal on our named executive officer compensation is a non-binding advisory vote, and our Board will consider our executive compensation described under Proposal Two to be approved if the proposal receives the affirmative vote of common stock representing a majority of the voting power present in person or by proxy and entitled to vote on the proposal. Because the advisory vote under Proposal Two is considered to be a non-routine matter under the rules of the NYSE, if you do not instruct your broker, bank or other nominee on how to vote the shares in your account for Proposal Two, brokers will not be permitted to exercise their voting authority and uninstructed shares may constitute broker non-votes. Abstentions will have the same effect as a vote against the proposal. Broker non-votes are not deemed to be entitled to vote on the proposal and therefore will have no effect on the outcome of Proposal Two.</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881"/>
        <w:spacing w:after="0" w:line="232" w:lineRule="auto"/>
        <w:rPr>
          <w:sz w:val="20"/>
          <w:szCs w:val="20"/>
          <w:color w:val="auto"/>
        </w:rPr>
      </w:pPr>
      <w:r>
        <w:rPr>
          <w:rFonts w:ascii="Arial" w:cs="Arial" w:eastAsia="Arial" w:hAnsi="Arial"/>
          <w:sz w:val="20"/>
          <w:szCs w:val="20"/>
          <w:color w:val="auto"/>
        </w:rPr>
        <w:t>Proposal Three: Although the Audit Committee may select the Company’s independent accountants without stockholder approval, the Audit Committee will consider the affirmative vote of the holders of shares of common stock representing a majority of the voting power present in person or by proxy and entitled to vote on the proposal to be an approval by the stockholders of the selection of PricewaterhouseCoopers LLP as the Company’s independent accountants. Abstentions will have the same effect as a vote against the proposal. Approval of the Audit Committee’s selection of the Company’s independent accountants is a “routine” matter so there should be no broker non-votes with respect to this proposal.</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Who is soliciting my proxy?</w:t>
      </w:r>
    </w:p>
    <w:p>
      <w:pPr>
        <w:spacing w:after="0" w:line="202" w:lineRule="exact"/>
        <w:rPr>
          <w:sz w:val="20"/>
          <w:szCs w:val="20"/>
          <w:color w:val="auto"/>
        </w:rPr>
      </w:pPr>
    </w:p>
    <w:p>
      <w:pPr>
        <w:ind w:left="120" w:firstLine="881"/>
        <w:spacing w:after="0" w:line="241" w:lineRule="auto"/>
        <w:rPr>
          <w:sz w:val="20"/>
          <w:szCs w:val="20"/>
          <w:color w:val="auto"/>
        </w:rPr>
      </w:pPr>
      <w:r>
        <w:rPr>
          <w:rFonts w:ascii="Arial" w:cs="Arial" w:eastAsia="Arial" w:hAnsi="Arial"/>
          <w:sz w:val="20"/>
          <w:szCs w:val="20"/>
          <w:color w:val="auto"/>
        </w:rPr>
        <w:t>This solicitation of proxies is made by and on behalf of the Company’s Board of Directors. The Company will bear the cost of the solicitation of proxies. In addition to the solicitation of proxies by mail, regular employees of the Company may solicit proxies by telephone, facsimile, or email.</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320" w:top="482"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80"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The Company’s Amended and Restated Certificate of Incorporation provides that our Board of Directors is classified into three classes, as nearly equal in size as practicable, with staggered three-year terms. The terms of our Class I Directors, who include Albert Adams, Stuart Burgdoerfer, John Kyees, and John Roth will expire at the Annual Meeting to be held on May 15, 2025. The Class II Directors, who include Alexis DePree, Andrea Hyde, and Rick Doody, were elected at the 2023 Annual Meeting of Stockholders and their terms will expire at the Annual Meeting to be held in 2026. The Class III Directors, who include Bill Beargie, Gary Lewis, and John Reed, were elected at the 2024 Annual Meeting of Shareholders and their terms will expire at the Annual Meeting to be held in 2027.</w:t>
      </w:r>
    </w:p>
    <w:p>
      <w:pPr>
        <w:spacing w:after="0" w:line="172"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The four Director nominees who receive the greatest number of ‘FOR’ votes will be elected as Directors. If elected, each nominee will serve as a Director for a three-year term and until their successor is duly elected and qualified at the Annual Meeting to be held in 2028. Unless you specify otherwise, the shares of stock represented by your proxy will be voted to re-elect all of the Director nominees set forth in this proxy statement. If for any reason any of the nominees is not a candidate when the election occurs (which is not expected), the Board intends that proxies will be voted for the election of a substitute nominee designated by the Board as recommended by the Nominating &amp; Corporate Governance Committee. Alternatively, the Board may reduce the size of the Board.</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The Board of Directors recommends that the stockholders vote FOR the</w:t>
      </w:r>
    </w:p>
    <w:p>
      <w:pPr>
        <w:spacing w:after="0" w:line="43"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Director nominees named below.</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NOMINEES FOR ELECTION AT ANNUAL MEETING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74</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Albert Adams</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ind w:left="120"/>
              <w:spacing w:after="0"/>
              <w:rPr>
                <w:sz w:val="20"/>
                <w:szCs w:val="20"/>
                <w:color w:val="auto"/>
              </w:rPr>
            </w:pPr>
            <w:r>
              <w:rPr>
                <w:rFonts w:ascii="Arial" w:cs="Arial" w:eastAsia="Arial" w:hAnsi="Arial"/>
                <w:sz w:val="20"/>
                <w:szCs w:val="20"/>
                <w:color w:val="auto"/>
              </w:rPr>
              <w:t> </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80"/>
        <w:spacing w:after="0" w:line="230" w:lineRule="auto"/>
        <w:rPr>
          <w:sz w:val="20"/>
          <w:szCs w:val="20"/>
          <w:color w:val="auto"/>
        </w:rPr>
      </w:pPr>
      <w:r>
        <w:rPr>
          <w:rFonts w:ascii="Arial" w:cs="Arial" w:eastAsia="Arial" w:hAnsi="Arial"/>
          <w:sz w:val="20"/>
          <w:szCs w:val="20"/>
          <w:color w:val="auto"/>
        </w:rPr>
        <w:t>Albert Adams has served as a member of our Board since July 2021, on the Board of Directors of Arhaus, LLC since 2014, and joined the Board of Directors of the predecessor of Arhaus, LLC in 2001. Mr. Adams joined Baker &amp; Hostetler LLP in 1977, became a partner in 1984, and served as a member of its governing body between 1993 to 2014. Mr. Adams’ practice is in the business and corporate areas, with special emphasis on the structuring and financial aspects of business transactions. Mr. Adams has served as a director of numerous private businesses and seven public companies. He also has been a board member or trustee of a number of community and charitable organizations, including the Cleveland Chapter of the American Red Cross, the Center for Families and Children, the Greater Cleveland Roundtable, the Greater Cleveland Sports Commission, the Corporate College (a division of Cuyahoga Community College), the Western Reserve Historical Society, Learning Disability Associates, and the Karamu Playhouse.</w:t>
      </w:r>
    </w:p>
    <w:p>
      <w:pPr>
        <w:spacing w:after="0" w:line="176" w:lineRule="exact"/>
        <w:rPr>
          <w:sz w:val="20"/>
          <w:szCs w:val="20"/>
          <w:color w:val="auto"/>
        </w:rPr>
      </w:pPr>
    </w:p>
    <w:p>
      <w:pPr>
        <w:jc w:val="both"/>
        <w:ind w:left="120" w:right="80"/>
        <w:spacing w:after="0" w:line="241" w:lineRule="auto"/>
        <w:rPr>
          <w:sz w:val="20"/>
          <w:szCs w:val="20"/>
          <w:color w:val="auto"/>
        </w:rPr>
      </w:pPr>
      <w:r>
        <w:rPr>
          <w:rFonts w:ascii="Arial" w:cs="Arial" w:eastAsia="Arial" w:hAnsi="Arial"/>
          <w:sz w:val="20"/>
          <w:szCs w:val="20"/>
          <w:color w:val="auto"/>
        </w:rPr>
        <w:t>We believe Mr. Adams is qualified to serve on our Board of Directors because of his combination of legal and business skills and his extensive experience in advising public and private companies in various capacities, including with respect to capital markets activity, business combinations, and corporate governance.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40"/>
          </w:cols>
          <w:pgMar w:left="320" w:top="482"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380" w:type="dxa"/>
            <w:vAlign w:val="bottom"/>
          </w:tcPr>
          <w:p>
            <w:pPr>
              <w:spacing w:after="0"/>
              <w:rPr>
                <w:sz w:val="24"/>
                <w:szCs w:val="24"/>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62</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2024</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6620" w:type="dxa"/>
            <w:vAlign w:val="bottom"/>
            <w:gridSpan w:val="2"/>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Stuart Burgdoerfer</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1240" w:type="dxa"/>
            <w:vAlign w:val="bottom"/>
            <w:shd w:val="clear" w:color="auto" w:fill="16281C"/>
          </w:tcPr>
          <w:p>
            <w:pPr>
              <w:spacing w:after="0"/>
              <w:rPr>
                <w:sz w:val="21"/>
                <w:szCs w:val="21"/>
                <w:color w:val="auto"/>
              </w:rPr>
            </w:pPr>
          </w:p>
        </w:tc>
        <w:tc>
          <w:tcPr>
            <w:tcW w:w="5380" w:type="dxa"/>
            <w:vAlign w:val="bottom"/>
            <w:shd w:val="clear" w:color="auto" w:fill="16281C"/>
          </w:tcPr>
          <w:p>
            <w:pPr>
              <w:spacing w:after="0"/>
              <w:rPr>
                <w:sz w:val="21"/>
                <w:szCs w:val="21"/>
                <w:color w:val="auto"/>
              </w:rPr>
            </w:pPr>
          </w:p>
        </w:tc>
        <w:tc>
          <w:tcPr>
            <w:tcW w:w="1280" w:type="dxa"/>
            <w:vAlign w:val="bottom"/>
          </w:tcPr>
          <w:p>
            <w:pPr>
              <w:ind w:left="120"/>
              <w:spacing w:after="0"/>
              <w:rPr>
                <w:sz w:val="20"/>
                <w:szCs w:val="20"/>
                <w:color w:val="auto"/>
              </w:rPr>
            </w:pPr>
            <w:r>
              <w:rPr>
                <w:rFonts w:ascii="Arial" w:cs="Arial" w:eastAsia="Arial" w:hAnsi="Arial"/>
                <w:sz w:val="20"/>
                <w:szCs w:val="20"/>
                <w:color w:val="auto"/>
              </w:rPr>
              <w:t> </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right="60"/>
        <w:spacing w:after="0" w:line="230" w:lineRule="auto"/>
        <w:rPr>
          <w:sz w:val="20"/>
          <w:szCs w:val="20"/>
          <w:color w:val="auto"/>
        </w:rPr>
      </w:pPr>
      <w:r>
        <w:rPr>
          <w:rFonts w:ascii="Arial" w:cs="Arial" w:eastAsia="Arial" w:hAnsi="Arial"/>
          <w:sz w:val="20"/>
          <w:szCs w:val="20"/>
          <w:color w:val="auto"/>
        </w:rPr>
        <w:t>Stuart Burgdoerfer has served as a member of our Board since June 2024. Mr. Burgdoerfer currently serves on the board of directors of The Progressive Corporation as chair of its Audit Committee and a member of its Technology Committee. Prior to his retirement, he was the Executive Vice President and Chief Financial Officer of L Brands, Inc. from April 2007 through August 2021, and served from May 2020 through February 2021 as Interim Chief Executive Officer of L Brand’s subsidiary Victoria’s Secret (VS NewCo). Mr. Burgdoerfer’s experience includes work as a CPA at Deloitte, as a management consultant and in financial leadership roles at PepsiCo/YUM Brands subsidiary Pizza Hut, and as a Senior Vice President of Finance at The Home Depot. Mr. Burgdoerfer also served as a member of the board of Galyan’s Trading Company, which shares were listed on NASDAQ until the Company was acquired by Dick’s Sporting Goods in 2004, and the Spelman College Board of Trustees.</w:t>
      </w:r>
    </w:p>
    <w:p>
      <w:pPr>
        <w:spacing w:after="0" w:line="176" w:lineRule="exact"/>
        <w:rPr>
          <w:sz w:val="20"/>
          <w:szCs w:val="20"/>
          <w:color w:val="auto"/>
        </w:rPr>
      </w:pPr>
    </w:p>
    <w:p>
      <w:pPr>
        <w:ind w:left="120" w:right="340"/>
        <w:spacing w:after="0" w:line="257" w:lineRule="auto"/>
        <w:rPr>
          <w:sz w:val="20"/>
          <w:szCs w:val="20"/>
          <w:color w:val="auto"/>
        </w:rPr>
      </w:pPr>
      <w:r>
        <w:rPr>
          <w:rFonts w:ascii="Arial" w:cs="Arial" w:eastAsia="Arial" w:hAnsi="Arial"/>
          <w:sz w:val="20"/>
          <w:szCs w:val="20"/>
          <w:color w:val="auto"/>
        </w:rPr>
        <w:t>We believe Mr. Burgdoerfer is qualified to serve on our board of directors because his substantial experience in leadership roles as a financial professional and senior executive enhances the Board’s financial expertise.</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78</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John Kyees</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ind w:left="120"/>
              <w:spacing w:after="0"/>
              <w:rPr>
                <w:sz w:val="20"/>
                <w:szCs w:val="20"/>
                <w:color w:val="auto"/>
              </w:rPr>
            </w:pPr>
            <w:r>
              <w:rPr>
                <w:rFonts w:ascii="Arial" w:cs="Arial" w:eastAsia="Arial" w:hAnsi="Arial"/>
                <w:sz w:val="20"/>
                <w:szCs w:val="20"/>
                <w:color w:val="auto"/>
              </w:rPr>
              <w:t> </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200"/>
        <w:spacing w:after="0" w:line="232" w:lineRule="auto"/>
        <w:rPr>
          <w:sz w:val="20"/>
          <w:szCs w:val="20"/>
          <w:color w:val="auto"/>
        </w:rPr>
      </w:pPr>
      <w:r>
        <w:rPr>
          <w:rFonts w:ascii="Arial" w:cs="Arial" w:eastAsia="Arial" w:hAnsi="Arial"/>
          <w:sz w:val="20"/>
          <w:szCs w:val="20"/>
          <w:color w:val="auto"/>
        </w:rPr>
        <w:t>John Kyees has served as a member of our Board since 2021 and served as a member of the Board of Directors of Arhaus, LLC since November 2011. He is currently the President of Kyees Construction. 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recently served on the board of directors of Vera Bradley from 2010 to 2022 as lead independent director and formerly served as chair of the audit committee, and he previously served as chair and a director of Destination XL Group, Inc.</w:t>
      </w:r>
    </w:p>
    <w:p>
      <w:pPr>
        <w:spacing w:after="0" w:line="172"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auto"/>
        </w:rPr>
        <w:t>We believe Mr. Kyees is qualified to serve on our Board of Directors because of his extensive executive-level retail experience having served as Chief Financial Officer for several prominent retailers.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66</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John M. Roth</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ind w:left="120"/>
              <w:spacing w:after="0"/>
              <w:rPr>
                <w:sz w:val="20"/>
                <w:szCs w:val="20"/>
                <w:color w:val="auto"/>
              </w:rPr>
            </w:pPr>
            <w:r>
              <w:rPr>
                <w:rFonts w:ascii="Arial" w:cs="Arial" w:eastAsia="Arial" w:hAnsi="Arial"/>
                <w:sz w:val="20"/>
                <w:szCs w:val="20"/>
                <w:color w:val="auto"/>
              </w:rPr>
              <w:t> </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60"/>
        <w:spacing w:after="0" w:line="237" w:lineRule="auto"/>
        <w:rPr>
          <w:sz w:val="20"/>
          <w:szCs w:val="20"/>
          <w:color w:val="auto"/>
        </w:rPr>
      </w:pPr>
      <w:r>
        <w:rPr>
          <w:rFonts w:ascii="Arial" w:cs="Arial" w:eastAsia="Arial" w:hAnsi="Arial"/>
          <w:sz w:val="20"/>
          <w:szCs w:val="20"/>
          <w:color w:val="auto"/>
        </w:rPr>
        <w:t>John M. Roth has served as a member of our Board since 2021 and served as a member of the Board of Directors of Arhaus, LLC since January 2014. Mr. Roth joined Freeman Spogli in 1988 and has been a partner since 1993. Mr. Roth previously served as a director of Floor &amp; Decor Holdings, Inc. from November 2010 to December 2020 and El Pollo Loco Holdings, Inc. from 2007 to August 2023.</w:t>
      </w:r>
    </w:p>
    <w:p>
      <w:pPr>
        <w:spacing w:after="0" w:line="172" w:lineRule="exact"/>
        <w:rPr>
          <w:sz w:val="20"/>
          <w:szCs w:val="20"/>
          <w:color w:val="auto"/>
        </w:rPr>
      </w:pPr>
    </w:p>
    <w:p>
      <w:pPr>
        <w:jc w:val="both"/>
        <w:ind w:left="120" w:right="200"/>
        <w:spacing w:after="0" w:line="241" w:lineRule="auto"/>
        <w:rPr>
          <w:sz w:val="20"/>
          <w:szCs w:val="20"/>
          <w:color w:val="auto"/>
        </w:rPr>
      </w:pPr>
      <w:r>
        <w:rPr>
          <w:rFonts w:ascii="Arial" w:cs="Arial" w:eastAsia="Arial" w:hAnsi="Arial"/>
          <w:sz w:val="20"/>
          <w:szCs w:val="20"/>
          <w:color w:val="auto"/>
        </w:rPr>
        <w:t>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40"/>
          </w:cols>
          <w:pgMar w:left="320" w:top="473"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right="80" w:firstLine="1102"/>
        <w:spacing w:after="0" w:line="257" w:lineRule="auto"/>
        <w:rPr>
          <w:sz w:val="20"/>
          <w:szCs w:val="20"/>
          <w:color w:val="auto"/>
        </w:rPr>
      </w:pPr>
      <w:r>
        <w:rPr>
          <w:rFonts w:ascii="Arial" w:cs="Arial" w:eastAsia="Arial" w:hAnsi="Arial"/>
          <w:sz w:val="20"/>
          <w:szCs w:val="20"/>
          <w:color w:val="auto"/>
        </w:rPr>
        <w:t>The following Directors have terms that expire in 2026 and 2027 and will continue to serve as Directors following the Annual Meeting.</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68</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Bill Beargie</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spacing w:after="0" w:line="237" w:lineRule="auto"/>
        <w:rPr>
          <w:sz w:val="20"/>
          <w:szCs w:val="20"/>
          <w:color w:val="auto"/>
        </w:rPr>
      </w:pPr>
      <w:r>
        <w:rPr>
          <w:rFonts w:ascii="Arial" w:cs="Arial" w:eastAsia="Arial" w:hAnsi="Arial"/>
          <w:sz w:val="20"/>
          <w:szCs w:val="20"/>
          <w:color w:val="auto"/>
        </w:rPr>
        <w:t>Bill Beargie has served as a member of our Board since 2021, served as a member of the Board of Directors of Arhaus, LLC since 2014, and joined the Board of Directors of the predecessor of Arhaus, LLC in 2001. Mr. Beargie served as a CPA for Card, Palmer, Sibbison &amp; Co. from 2015 until his retirement in 2023. Mr. Beargie was Chief Financial Officer and Administrative Vice President of Arhaus from 1987 to 1997.</w:t>
      </w:r>
    </w:p>
    <w:p>
      <w:pPr>
        <w:spacing w:after="0" w:line="172" w:lineRule="exact"/>
        <w:rPr>
          <w:sz w:val="20"/>
          <w:szCs w:val="20"/>
          <w:color w:val="auto"/>
        </w:rPr>
      </w:pPr>
    </w:p>
    <w:p>
      <w:pPr>
        <w:ind w:left="120" w:right="100"/>
        <w:spacing w:after="0" w:line="257" w:lineRule="auto"/>
        <w:rPr>
          <w:sz w:val="20"/>
          <w:szCs w:val="20"/>
          <w:color w:val="auto"/>
        </w:rPr>
      </w:pPr>
      <w:r>
        <w:rPr>
          <w:rFonts w:ascii="Arial" w:cs="Arial" w:eastAsia="Arial" w:hAnsi="Arial"/>
          <w:sz w:val="20"/>
          <w:szCs w:val="20"/>
          <w:color w:val="auto"/>
        </w:rPr>
        <w:t>We believe Mr. Beargie is qualified to serve on our Board of Directors because of his extensive experience in accounting and finance and his familiarity with the Company as its former Chief Financial Officer.</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46</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2023</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Alexis DePree</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line="233" w:lineRule="auto"/>
        <w:rPr>
          <w:sz w:val="20"/>
          <w:szCs w:val="20"/>
          <w:color w:val="auto"/>
        </w:rPr>
      </w:pPr>
      <w:r>
        <w:rPr>
          <w:rFonts w:ascii="Arial" w:cs="Arial" w:eastAsia="Arial" w:hAnsi="Arial"/>
          <w:sz w:val="20"/>
          <w:szCs w:val="20"/>
          <w:color w:val="auto"/>
        </w:rPr>
        <w:t>Alexis DePree has served as a member of our Board since March 2023. Ms. DePree has served as Chief Operating Officer of Nordstrom, Inc. since May 2024. Prior to that, Ms. DePree served as Chief Supply Chain Officer of Nordstrom since January 2020. Ms. DePree previously served as Vice President of Americas Sort Centers at Amazon.com, Inc. from 2018 to 2020, and as Amazon’s Vice President of Global Supply Chain Operations from 2016 to 2018. From 2007 to 2016, she held executive positions with increasing responsibility at Target Corporation, prior to which she was employed at Dell Technologies Inc. in various leadership positions from 2001 to 2005.</w:t>
      </w:r>
    </w:p>
    <w:p>
      <w:pPr>
        <w:spacing w:after="0" w:line="172" w:lineRule="exact"/>
        <w:rPr>
          <w:sz w:val="20"/>
          <w:szCs w:val="20"/>
          <w:color w:val="auto"/>
        </w:rPr>
      </w:pPr>
    </w:p>
    <w:p>
      <w:pPr>
        <w:ind w:left="120" w:right="220"/>
        <w:spacing w:after="0" w:line="257" w:lineRule="auto"/>
        <w:rPr>
          <w:sz w:val="20"/>
          <w:szCs w:val="20"/>
          <w:color w:val="auto"/>
        </w:rPr>
      </w:pPr>
      <w:r>
        <w:rPr>
          <w:rFonts w:ascii="Arial" w:cs="Arial" w:eastAsia="Arial" w:hAnsi="Arial"/>
          <w:sz w:val="20"/>
          <w:szCs w:val="20"/>
          <w:color w:val="auto"/>
        </w:rPr>
        <w:t>We believe Ms. DePree is qualified to serve on our Board of Directors because of her significant supply chain experience in the retail industry.</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66</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Rick Doody</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120" w:right="180"/>
        <w:spacing w:after="0" w:line="243" w:lineRule="auto"/>
        <w:rPr>
          <w:sz w:val="20"/>
          <w:szCs w:val="20"/>
          <w:color w:val="auto"/>
        </w:rPr>
      </w:pPr>
      <w:r>
        <w:rPr>
          <w:rFonts w:ascii="Arial" w:cs="Arial" w:eastAsia="Arial" w:hAnsi="Arial"/>
          <w:sz w:val="19"/>
          <w:szCs w:val="19"/>
          <w:color w:val="auto"/>
        </w:rPr>
        <w:t>Rick Doody has served as a member of our Board since 2021 and served as a member of the Board of Directors of Arhaus, LLC since January 2014. Mr. Doody was the chair and founder of Bravo/Brio Restaurant Group (BBRG) and served as CEO and then its chairman from 1992 until it was sold in 2018. Mr. Doody owns six restaurant concepts in the Cleveland area:</w:t>
      </w:r>
    </w:p>
    <w:p>
      <w:pPr>
        <w:spacing w:after="0" w:line="2" w:lineRule="exact"/>
        <w:rPr>
          <w:sz w:val="20"/>
          <w:szCs w:val="20"/>
          <w:color w:val="auto"/>
        </w:rPr>
      </w:pPr>
    </w:p>
    <w:p>
      <w:pPr>
        <w:jc w:val="both"/>
        <w:ind w:left="120" w:right="220"/>
        <w:spacing w:after="0" w:line="234" w:lineRule="auto"/>
        <w:rPr>
          <w:sz w:val="20"/>
          <w:szCs w:val="20"/>
          <w:color w:val="auto"/>
        </w:rPr>
      </w:pPr>
      <w:r>
        <w:rPr>
          <w:rFonts w:ascii="Arial" w:cs="Arial" w:eastAsia="Arial" w:hAnsi="Arial"/>
          <w:sz w:val="20"/>
          <w:szCs w:val="20"/>
          <w:color w:val="auto"/>
        </w:rPr>
        <w:t>Cedar Creek Grille, 17 River Grille, Lindey’s Lake House, Jojo’s Bar and Bar Italia (2). Mr. Doody is a member of the World Presidents’ Organization (WPO) and serves on the boards of Lindey’s, Stella Maris Rehabilitation Center, and the Boys and Girls Club of Cleveland.</w:t>
      </w:r>
    </w:p>
    <w:p>
      <w:pPr>
        <w:spacing w:after="0" w:line="173" w:lineRule="exact"/>
        <w:rPr>
          <w:sz w:val="20"/>
          <w:szCs w:val="20"/>
          <w:color w:val="auto"/>
        </w:rPr>
      </w:pPr>
    </w:p>
    <w:p>
      <w:pPr>
        <w:ind w:left="120" w:right="380"/>
        <w:spacing w:after="0" w:line="257" w:lineRule="auto"/>
        <w:rPr>
          <w:sz w:val="20"/>
          <w:szCs w:val="20"/>
          <w:color w:val="auto"/>
        </w:rPr>
      </w:pPr>
      <w:r>
        <w:rPr>
          <w:rFonts w:ascii="Arial" w:cs="Arial" w:eastAsia="Arial" w:hAnsi="Arial"/>
          <w:sz w:val="20"/>
          <w:szCs w:val="20"/>
          <w:color w:val="auto"/>
        </w:rPr>
        <w:t>We believe Mr. Doody is qualified to serve on our Board of Directors because of his substantial management, operational, and entrepreneurial experience related to restaurant concepts and site selection.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20"/>
          </w:cols>
          <w:pgMar w:left="320" w:top="482"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380" w:type="dxa"/>
            <w:vAlign w:val="bottom"/>
          </w:tcPr>
          <w:p>
            <w:pPr>
              <w:spacing w:after="0"/>
              <w:rPr>
                <w:sz w:val="24"/>
                <w:szCs w:val="24"/>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60</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6620" w:type="dxa"/>
            <w:vAlign w:val="bottom"/>
            <w:gridSpan w:val="2"/>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Andrea Hyde</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1240" w:type="dxa"/>
            <w:vAlign w:val="bottom"/>
            <w:shd w:val="clear" w:color="auto" w:fill="16281C"/>
          </w:tcPr>
          <w:p>
            <w:pPr>
              <w:spacing w:after="0"/>
              <w:rPr>
                <w:sz w:val="21"/>
                <w:szCs w:val="21"/>
                <w:color w:val="auto"/>
              </w:rPr>
            </w:pPr>
          </w:p>
        </w:tc>
        <w:tc>
          <w:tcPr>
            <w:tcW w:w="538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2026</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40"/>
        <w:spacing w:after="0" w:line="241" w:lineRule="auto"/>
        <w:rPr>
          <w:sz w:val="20"/>
          <w:szCs w:val="20"/>
          <w:color w:val="auto"/>
        </w:rPr>
      </w:pPr>
      <w:r>
        <w:rPr>
          <w:rFonts w:ascii="Arial" w:cs="Arial" w:eastAsia="Arial" w:hAnsi="Arial"/>
          <w:sz w:val="19"/>
          <w:szCs w:val="19"/>
          <w:color w:val="auto"/>
        </w:rPr>
        <w:t>Andrea Hyde has served as a member of our Board since 2021 and served as a member of the Board of Directors of Arhaus, LLC since January 2018. Ms. Hyde is the founder and President of Hyde &amp; Chic Inc., a business growth strategy consulting firm, and has been a director of Awake Chocolate since 2022. Prior to founding Hyde &amp; Chic Inc. in January 2018, Ms. Hyde was Chief Executive Officer of Draper James from 2014 to 2017. Prior to her role at Draper James, Ms. Hyde held the positions of President of Burch Creative Capital and President &amp; Chief Executive Officer of French Connection USA.</w:t>
      </w:r>
    </w:p>
    <w:p>
      <w:pPr>
        <w:spacing w:after="0" w:line="1" w:lineRule="exact"/>
        <w:rPr>
          <w:sz w:val="20"/>
          <w:szCs w:val="20"/>
          <w:color w:val="auto"/>
        </w:rPr>
      </w:pPr>
    </w:p>
    <w:p>
      <w:pPr>
        <w:jc w:val="both"/>
        <w:ind w:left="120" w:right="140"/>
        <w:spacing w:after="0" w:line="234" w:lineRule="auto"/>
        <w:rPr>
          <w:sz w:val="20"/>
          <w:szCs w:val="20"/>
          <w:color w:val="auto"/>
        </w:rPr>
      </w:pPr>
      <w:r>
        <w:rPr>
          <w:rFonts w:ascii="Arial" w:cs="Arial" w:eastAsia="Arial" w:hAnsi="Arial"/>
          <w:sz w:val="20"/>
          <w:szCs w:val="20"/>
          <w:color w:val="auto"/>
        </w:rPr>
        <w:t>Ms. Hyde held senior management positions at Kenneth Cole and The Gap, where she oversaw the marketing departments and was part of the initial concept and development team for Old Navy. Early in her career she worked for Estee Lauder and Calvin Klein.</w:t>
      </w:r>
    </w:p>
    <w:p>
      <w:pPr>
        <w:spacing w:after="0" w:line="173" w:lineRule="exact"/>
        <w:rPr>
          <w:sz w:val="20"/>
          <w:szCs w:val="20"/>
          <w:color w:val="auto"/>
        </w:rPr>
      </w:pPr>
    </w:p>
    <w:p>
      <w:pPr>
        <w:ind w:left="120" w:right="360"/>
        <w:spacing w:after="0" w:line="284" w:lineRule="auto"/>
        <w:rPr>
          <w:sz w:val="20"/>
          <w:szCs w:val="20"/>
          <w:color w:val="auto"/>
        </w:rPr>
      </w:pPr>
      <w:r>
        <w:rPr>
          <w:rFonts w:ascii="Arial" w:cs="Arial" w:eastAsia="Arial" w:hAnsi="Arial"/>
          <w:sz w:val="19"/>
          <w:szCs w:val="19"/>
          <w:color w:val="auto"/>
        </w:rPr>
        <w:t>We believe Ms. Hyde is qualified to serve on our Board of Directors because of her extensive experience in leadership management, marketing, and branding lifestyle retail concepts and her knowledge of building out omni-channel platforms.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66</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Gary Lewis</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line="246" w:lineRule="auto"/>
        <w:rPr>
          <w:sz w:val="20"/>
          <w:szCs w:val="20"/>
          <w:color w:val="auto"/>
        </w:rPr>
      </w:pPr>
      <w:r>
        <w:rPr>
          <w:rFonts w:ascii="Arial" w:cs="Arial" w:eastAsia="Arial" w:hAnsi="Arial"/>
          <w:sz w:val="19"/>
          <w:szCs w:val="19"/>
          <w:color w:val="auto"/>
        </w:rPr>
        <w:t>Gary Lewis has served as a member of our Board since 2021, served as a member of the Board of Directors of Arhaus, LLC since January 2014, and joined 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w:t>
      </w:r>
    </w:p>
    <w:p>
      <w:pPr>
        <w:spacing w:after="0" w:line="168" w:lineRule="exact"/>
        <w:rPr>
          <w:sz w:val="20"/>
          <w:szCs w:val="20"/>
          <w:color w:val="auto"/>
        </w:rPr>
      </w:pPr>
    </w:p>
    <w:p>
      <w:pPr>
        <w:ind w:left="120" w:right="20"/>
        <w:spacing w:after="0" w:line="241" w:lineRule="auto"/>
        <w:rPr>
          <w:sz w:val="20"/>
          <w:szCs w:val="20"/>
          <w:color w:val="auto"/>
        </w:rPr>
      </w:pPr>
      <w:r>
        <w:rPr>
          <w:rFonts w:ascii="Arial" w:cs="Arial" w:eastAsia="Arial" w:hAnsi="Arial"/>
          <w:sz w:val="20"/>
          <w:szCs w:val="20"/>
          <w:color w:val="auto"/>
        </w:rPr>
        <w:t>We believe 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36"/>
        </w:trPr>
        <w:tc>
          <w:tcPr>
            <w:tcW w:w="662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20"/>
                <w:szCs w:val="20"/>
                <w:color w:val="auto"/>
              </w:rPr>
              <w:t>Age: 70</w:t>
            </w:r>
          </w:p>
        </w:tc>
        <w:tc>
          <w:tcPr>
            <w:tcW w:w="2220" w:type="dxa"/>
            <w:vAlign w:val="bottom"/>
            <w:vMerge w:val="restart"/>
          </w:tcPr>
          <w:p>
            <w:pPr>
              <w:ind w:left="480"/>
              <w:spacing w:after="0"/>
              <w:rPr>
                <w:sz w:val="20"/>
                <w:szCs w:val="20"/>
                <w:color w:val="auto"/>
              </w:rPr>
            </w:pPr>
            <w:r>
              <w:rPr>
                <w:rFonts w:ascii="Arial" w:cs="Arial" w:eastAsia="Arial" w:hAnsi="Arial"/>
                <w:sz w:val="20"/>
                <w:szCs w:val="20"/>
                <w:color w:val="auto"/>
              </w:rPr>
              <w:t>Chairman and</w:t>
            </w:r>
          </w:p>
        </w:tc>
        <w:tc>
          <w:tcPr>
            <w:tcW w:w="0" w:type="dxa"/>
            <w:vAlign w:val="bottom"/>
          </w:tcPr>
          <w:p>
            <w:pPr>
              <w:spacing w:after="0" w:line="20" w:lineRule="exact"/>
              <w:rPr>
                <w:sz w:val="1"/>
                <w:szCs w:val="1"/>
                <w:color w:val="auto"/>
              </w:rPr>
            </w:pPr>
          </w:p>
        </w:tc>
      </w:tr>
      <w:tr>
        <w:trPr>
          <w:trHeight w:val="194"/>
        </w:trPr>
        <w:tc>
          <w:tcPr>
            <w:tcW w:w="6620" w:type="dxa"/>
            <w:vAlign w:val="bottom"/>
            <w:shd w:val="clear" w:color="auto" w:fill="16281C"/>
          </w:tcPr>
          <w:p>
            <w:pPr>
              <w:spacing w:after="0" w:line="194" w:lineRule="exact"/>
              <w:rPr>
                <w:sz w:val="20"/>
                <w:szCs w:val="20"/>
                <w:color w:val="auto"/>
              </w:rPr>
            </w:pPr>
            <w:r>
              <w:rPr>
                <w:rFonts w:ascii="Arial" w:cs="Arial" w:eastAsia="Arial" w:hAnsi="Arial"/>
                <w:sz w:val="22"/>
                <w:szCs w:val="22"/>
                <w:b w:val="1"/>
                <w:bCs w:val="1"/>
                <w:i w:val="1"/>
                <w:iCs w:val="1"/>
                <w:color w:val="FFFFFF"/>
              </w:rPr>
              <w:t>John Reed</w:t>
            </w:r>
          </w:p>
        </w:tc>
        <w:tc>
          <w:tcPr>
            <w:tcW w:w="12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16281C"/>
          </w:tcPr>
          <w:p>
            <w:pPr>
              <w:spacing w:after="0"/>
              <w:rPr>
                <w:sz w:val="18"/>
                <w:szCs w:val="18"/>
                <w:color w:val="auto"/>
              </w:rPr>
            </w:pPr>
          </w:p>
        </w:tc>
        <w:tc>
          <w:tcPr>
            <w:tcW w:w="1280" w:type="dxa"/>
            <w:vAlign w:val="bottom"/>
          </w:tcPr>
          <w:p>
            <w:pPr>
              <w:spacing w:after="0"/>
              <w:rPr>
                <w:sz w:val="18"/>
                <w:szCs w:val="18"/>
                <w:color w:val="auto"/>
              </w:rPr>
            </w:pPr>
          </w:p>
        </w:tc>
        <w:tc>
          <w:tcPr>
            <w:tcW w:w="2220" w:type="dxa"/>
            <w:vAlign w:val="bottom"/>
          </w:tcPr>
          <w:p>
            <w:pPr>
              <w:ind w:left="480"/>
              <w:spacing w:after="0" w:line="216" w:lineRule="exact"/>
              <w:rPr>
                <w:sz w:val="20"/>
                <w:szCs w:val="20"/>
                <w:color w:val="auto"/>
              </w:rPr>
            </w:pPr>
            <w:r>
              <w:rPr>
                <w:rFonts w:ascii="Arial" w:cs="Arial" w:eastAsia="Arial" w:hAnsi="Arial"/>
                <w:sz w:val="20"/>
                <w:szCs w:val="20"/>
                <w:color w:val="auto"/>
                <w:w w:val="97"/>
              </w:rPr>
              <w:t>Director Since 2021</w:t>
            </w:r>
          </w:p>
        </w:tc>
        <w:tc>
          <w:tcPr>
            <w:tcW w:w="0" w:type="dxa"/>
            <w:vAlign w:val="bottom"/>
          </w:tcPr>
          <w:p>
            <w:pPr>
              <w:spacing w:after="0"/>
              <w:rPr>
                <w:sz w:val="1"/>
                <w:szCs w:val="1"/>
                <w:color w:val="auto"/>
              </w:rPr>
            </w:pPr>
          </w:p>
        </w:tc>
      </w:tr>
      <w:tr>
        <w:trPr>
          <w:trHeight w:val="251"/>
        </w:trPr>
        <w:tc>
          <w:tcPr>
            <w:tcW w:w="6620" w:type="dxa"/>
            <w:vAlign w:val="bottom"/>
            <w:shd w:val="clear" w:color="auto" w:fill="16281C"/>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Arial" w:cs="Arial" w:eastAsia="Arial" w:hAnsi="Arial"/>
                <w:sz w:val="20"/>
                <w:szCs w:val="20"/>
                <w:color w:val="auto"/>
                <w:w w:val="98"/>
              </w:rPr>
              <w:t>Term Expires: 2027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40"/>
        <w:spacing w:after="0" w:line="237" w:lineRule="auto"/>
        <w:rPr>
          <w:sz w:val="20"/>
          <w:szCs w:val="20"/>
          <w:color w:val="auto"/>
        </w:rPr>
      </w:pPr>
      <w:r>
        <w:rPr>
          <w:rFonts w:ascii="Arial" w:cs="Arial" w:eastAsia="Arial" w:hAnsi="Arial"/>
          <w:sz w:val="20"/>
          <w:szCs w:val="20"/>
          <w:color w:val="auto"/>
        </w:rPr>
        <w:t>John Reed has served as a member of our Board since July 2021. He co-founded Arhaus in 1986 and has served on the Board of Directors of Arhaus, LLC as Chairman since its formation in December 2013, and served as our Chief Executive Officer (“CEO”) from January 1997 through December 2015 and since February 2017 through the reorganization into Arhaus, Inc.</w:t>
      </w:r>
    </w:p>
    <w:p>
      <w:pPr>
        <w:spacing w:after="0" w:line="172" w:lineRule="exact"/>
        <w:rPr>
          <w:sz w:val="20"/>
          <w:szCs w:val="20"/>
          <w:color w:val="auto"/>
        </w:rPr>
      </w:pPr>
    </w:p>
    <w:p>
      <w:pPr>
        <w:ind w:left="120" w:right="60"/>
        <w:spacing w:after="0" w:line="268" w:lineRule="auto"/>
        <w:rPr>
          <w:sz w:val="20"/>
          <w:szCs w:val="20"/>
          <w:color w:val="auto"/>
        </w:rPr>
      </w:pPr>
      <w:r>
        <w:rPr>
          <w:rFonts w:ascii="Arial" w:cs="Arial" w:eastAsia="Arial" w:hAnsi="Arial"/>
          <w:sz w:val="20"/>
          <w:szCs w:val="20"/>
          <w:color w:val="auto"/>
        </w:rPr>
        <w:t>We believe Mr. Reed is qualified to serve on our Board of Directors because of, among other things, his extensive knowledge and experience with the business and his role as our Founder</w:t>
      </w:r>
      <w:r>
        <w:rPr>
          <w:rFonts w:ascii="Arial" w:cs="Arial" w:eastAsia="Arial" w:hAnsi="Arial"/>
          <w:sz w:val="29"/>
          <w:szCs w:val="29"/>
          <w:color w:val="auto"/>
          <w:vertAlign w:val="superscript"/>
        </w:rPr>
        <w:t>1</w:t>
      </w:r>
      <w:r>
        <w:rPr>
          <w:rFonts w:ascii="Arial" w:cs="Arial" w:eastAsia="Arial" w:hAnsi="Arial"/>
          <w:sz w:val="20"/>
          <w:szCs w:val="20"/>
          <w:color w:val="auto"/>
        </w:rPr>
        <w:t xml:space="preserve">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22371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ind w:left="120" w:right="240" w:hanging="4"/>
        <w:spacing w:after="0" w:line="204"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“Founder” refers to John Reed and when used in the context of ownership of our securities, includes trusts or other entities controlled by him that hold Class B common stock.</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00"/>
          </w:cols>
          <w:pgMar w:left="320" w:top="473"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Leadership Structure of our Board of Directors</w:t>
      </w:r>
    </w:p>
    <w:p>
      <w:pPr>
        <w:spacing w:after="0" w:line="202"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Our Board leadership structure consists of a combined CEO and Chairman of the Board, along with an Independent Lead Director. Arhaus believes that a combined CEO and Chairman of the Board role is appropriate because it provides an efficient and effective leadership structure for the Company. It promotes alignment between the Board and management on Arhaus’ strategic objectives, facilitates effective presentation of information to enable the Board to fulfill its responsibilities, and allows for productive and effective Board meetings. The Board is composed of ten Directors. Mr. Reed serves as the CEO and Chairman, and Mr. Adams serves as the Independent Lead Director.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Board Meetings</w:t>
      </w:r>
    </w:p>
    <w:p>
      <w:pPr>
        <w:spacing w:after="0" w:line="202"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The Board held eight meetings in the 2024 fiscal year. Each Director who served in fiscal year 2024 attended more than 75% of the aggregate number of meetings of the Board and committees on which he or she served in such fiscal year. Although the Company has not established a policy regarding Director attendance at the stockholder meeting, it is expected that all Directors will be available to attend the Annual Meeting. All Directors who served in fiscal year 2024 attended the 2024 Annual Meeting, except for Mr. Doody. Mr. Burgdoerfer joined the Board on June 18, 2024, which was after the 2024 Annual Meeting.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Director Independence</w:t>
      </w:r>
    </w:p>
    <w:p>
      <w:pPr>
        <w:spacing w:after="0" w:line="202" w:lineRule="exact"/>
        <w:rPr>
          <w:sz w:val="20"/>
          <w:szCs w:val="20"/>
          <w:color w:val="auto"/>
        </w:rPr>
      </w:pPr>
    </w:p>
    <w:p>
      <w:pPr>
        <w:ind w:left="120" w:firstLine="1102"/>
        <w:spacing w:after="0" w:line="232" w:lineRule="auto"/>
        <w:rPr>
          <w:sz w:val="20"/>
          <w:szCs w:val="20"/>
          <w:color w:val="auto"/>
        </w:rPr>
      </w:pPr>
      <w:r>
        <w:rPr>
          <w:rFonts w:ascii="Arial" w:cs="Arial" w:eastAsia="Arial" w:hAnsi="Arial"/>
          <w:sz w:val="20"/>
          <w:szCs w:val="20"/>
          <w:color w:val="auto"/>
        </w:rPr>
        <w:t>Our Board of Directors has undertaken a review of the independence of each Director. Based on information provided by each Director concerning his or her background, employment, and affiliations, our Board of Directors has determined that Ms. Hyde and Ms. DePree and Messrs. Adams, Beargie, Burgdoerfer, Doody, Kyees, Lewis and Roth qualify as “independent directors,” as defined under the rules of Nasdaq. The Board of Directors considered the effect of a real estate consulting agreement by and between the Company and Mr. Lewis, which provides for annual fees of no more than $120,000 paid to Mr. Lewis, and determined that such agreement did not impair Mr. Lewis’ ability to exercise independent judgement. Mr. Reed is the Company’s CEO and, therefore, not independent from the Company.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Risk Oversight</w:t>
      </w:r>
    </w:p>
    <w:p>
      <w:pPr>
        <w:spacing w:after="0" w:line="202" w:lineRule="exact"/>
        <w:rPr>
          <w:sz w:val="20"/>
          <w:szCs w:val="20"/>
          <w:color w:val="auto"/>
        </w:rPr>
      </w:pPr>
    </w:p>
    <w:p>
      <w:pPr>
        <w:ind w:left="120" w:right="620" w:firstLine="1102"/>
        <w:spacing w:after="0" w:line="234" w:lineRule="auto"/>
        <w:rPr>
          <w:sz w:val="20"/>
          <w:szCs w:val="20"/>
          <w:color w:val="auto"/>
        </w:rPr>
      </w:pPr>
      <w:r>
        <w:rPr>
          <w:rFonts w:ascii="Arial" w:cs="Arial" w:eastAsia="Arial" w:hAnsi="Arial"/>
          <w:sz w:val="20"/>
          <w:szCs w:val="20"/>
          <w:color w:val="auto"/>
        </w:rPr>
        <w:t>The Board has overall responsibility for the oversight of the Company’s risk management. Day-to-day risk management is the responsibility of management. The Board, either as a whole or through its committees, regularly discusses with management our major risk exposures, their potential impact on the Company, and the steps we take to monitor and control such exposures. The Board’s role in the Company’s risk oversight has not affected our leadership structure.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Board Diversity</w:t>
      </w:r>
    </w:p>
    <w:p>
      <w:pPr>
        <w:spacing w:after="0" w:line="202" w:lineRule="exact"/>
        <w:rPr>
          <w:sz w:val="20"/>
          <w:szCs w:val="20"/>
          <w:color w:val="auto"/>
        </w:rPr>
      </w:pPr>
    </w:p>
    <w:p>
      <w:pPr>
        <w:ind w:left="120" w:right="80" w:firstLine="1102"/>
        <w:spacing w:after="0" w:line="260" w:lineRule="auto"/>
        <w:rPr>
          <w:sz w:val="20"/>
          <w:szCs w:val="20"/>
          <w:color w:val="auto"/>
        </w:rPr>
      </w:pPr>
      <w:r>
        <w:rPr>
          <w:rFonts w:ascii="Arial" w:cs="Arial" w:eastAsia="Arial" w:hAnsi="Arial"/>
          <w:sz w:val="19"/>
          <w:szCs w:val="19"/>
          <w:color w:val="auto"/>
        </w:rPr>
        <w:t>Of our total number of ten directors, we have two female directors. As further described below, when considering director candidates, our Nominating and Corporate Governance Committee considers diversifying factors they deem appropriate, including, among other things, age, skills, gender, ethnicity, areas of expertise, and other relevant factors.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6281C"/>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right="140" w:firstLine="881"/>
        <w:spacing w:after="0" w:line="234" w:lineRule="auto"/>
        <w:rPr>
          <w:sz w:val="20"/>
          <w:szCs w:val="20"/>
          <w:color w:val="auto"/>
        </w:rPr>
      </w:pPr>
      <w:r>
        <w:rPr>
          <w:rFonts w:ascii="Arial" w:cs="Arial" w:eastAsia="Arial" w:hAnsi="Arial"/>
          <w:sz w:val="20"/>
          <w:szCs w:val="20"/>
          <w:color w:val="auto"/>
        </w:rPr>
        <w:t>Our Board of Directors has an Audit Committee, a Compensation Committee, and a Nominating &amp; Corporate Governance Committee, each of which operates under a charter that is posted on our website at https://ir.arhaus.com/corporate-governance/governance-overview. Our Board of Directors also has a Real Estate Committee and a Technology Committee. Directors who are members of these committees serve until their resignation or until as otherwise determined by our Board of Directors.</w:t>
      </w:r>
    </w:p>
    <w:p>
      <w:pPr>
        <w:spacing w:after="0" w:line="223" w:lineRule="exact"/>
        <w:rPr>
          <w:sz w:val="20"/>
          <w:szCs w:val="20"/>
          <w:color w:val="auto"/>
        </w:rPr>
      </w:pPr>
    </w:p>
    <w:tbl>
      <w:tblPr>
        <w:tblLayout w:type="fixed"/>
        <w:tblInd w:w="2320" w:type="dxa"/>
        <w:tblCellMar>
          <w:top w:w="0" w:type="dxa"/>
          <w:left w:w="0" w:type="dxa"/>
          <w:bottom w:w="0" w:type="dxa"/>
          <w:right w:w="0" w:type="dxa"/>
        </w:tblCellMar>
      </w:tblPr>
      <w:tr>
        <w:trPr>
          <w:trHeight w:val="424"/>
        </w:trPr>
        <w:tc>
          <w:tcPr>
            <w:tcW w:w="3000" w:type="dxa"/>
            <w:vAlign w:val="bottom"/>
            <w:shd w:val="clear" w:color="auto" w:fill="D8D8D8"/>
          </w:tcPr>
          <w:p>
            <w:pPr>
              <w:jc w:val="center"/>
              <w:spacing w:after="0"/>
              <w:rPr>
                <w:sz w:val="20"/>
                <w:szCs w:val="20"/>
                <w:color w:val="auto"/>
              </w:rPr>
            </w:pPr>
            <w:r>
              <w:rPr>
                <w:rFonts w:ascii="Arial" w:cs="Arial" w:eastAsia="Arial" w:hAnsi="Arial"/>
                <w:sz w:val="18"/>
                <w:szCs w:val="18"/>
                <w:b w:val="1"/>
                <w:bCs w:val="1"/>
                <w:i w:val="1"/>
                <w:iCs w:val="1"/>
                <w:color w:val="auto"/>
                <w:w w:val="99"/>
              </w:rPr>
              <w:t>Audit</w:t>
            </w:r>
          </w:p>
        </w:tc>
        <w:tc>
          <w:tcPr>
            <w:tcW w:w="500" w:type="dxa"/>
            <w:vAlign w:val="bottom"/>
          </w:tcPr>
          <w:p>
            <w:pPr>
              <w:spacing w:after="0"/>
              <w:rPr>
                <w:sz w:val="24"/>
                <w:szCs w:val="24"/>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18"/>
                <w:szCs w:val="18"/>
                <w:b w:val="1"/>
                <w:bCs w:val="1"/>
                <w:i w:val="1"/>
                <w:iCs w:val="1"/>
                <w:color w:val="auto"/>
              </w:rPr>
              <w:t>Compensation</w:t>
            </w:r>
          </w:p>
        </w:tc>
      </w:tr>
      <w:tr>
        <w:trPr>
          <w:trHeight w:val="271"/>
        </w:trPr>
        <w:tc>
          <w:tcPr>
            <w:tcW w:w="3000" w:type="dxa"/>
            <w:vAlign w:val="bottom"/>
            <w:shd w:val="clear" w:color="auto" w:fill="D8D8D8"/>
          </w:tcPr>
          <w:p>
            <w:pPr>
              <w:jc w:val="center"/>
              <w:spacing w:after="0"/>
              <w:rPr>
                <w:sz w:val="20"/>
                <w:szCs w:val="20"/>
                <w:color w:val="auto"/>
              </w:rPr>
            </w:pPr>
            <w:r>
              <w:rPr>
                <w:rFonts w:ascii="Arial" w:cs="Arial" w:eastAsia="Arial" w:hAnsi="Arial"/>
                <w:sz w:val="20"/>
                <w:szCs w:val="20"/>
                <w:b w:val="1"/>
                <w:bCs w:val="1"/>
                <w:i w:val="1"/>
                <w:iCs w:val="1"/>
                <w:color w:val="16281C"/>
                <w:w w:val="98"/>
              </w:rPr>
              <w:t>Committee</w:t>
            </w:r>
          </w:p>
        </w:tc>
        <w:tc>
          <w:tcPr>
            <w:tcW w:w="500" w:type="dxa"/>
            <w:vAlign w:val="bottom"/>
          </w:tcPr>
          <w:p>
            <w:pPr>
              <w:spacing w:after="0"/>
              <w:rPr>
                <w:sz w:val="23"/>
                <w:szCs w:val="23"/>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20"/>
                <w:szCs w:val="20"/>
                <w:b w:val="1"/>
                <w:bCs w:val="1"/>
                <w:i w:val="1"/>
                <w:iCs w:val="1"/>
                <w:color w:val="16281C"/>
                <w:w w:val="98"/>
              </w:rPr>
              <w:t>Committee</w:t>
            </w:r>
          </w:p>
        </w:tc>
      </w:tr>
      <w:tr>
        <w:trPr>
          <w:trHeight w:val="415"/>
        </w:trPr>
        <w:tc>
          <w:tcPr>
            <w:tcW w:w="3000" w:type="dxa"/>
            <w:vAlign w:val="bottom"/>
            <w:shd w:val="clear" w:color="auto" w:fill="D8D8D8"/>
          </w:tcPr>
          <w:p>
            <w:pPr>
              <w:spacing w:after="0"/>
              <w:rPr>
                <w:sz w:val="20"/>
                <w:szCs w:val="20"/>
                <w:color w:val="auto"/>
              </w:rPr>
            </w:pPr>
            <w:r>
              <w:rPr>
                <w:rFonts w:ascii="Arial" w:cs="Arial" w:eastAsia="Arial" w:hAnsi="Arial"/>
                <w:sz w:val="20"/>
                <w:szCs w:val="20"/>
                <w:b w:val="1"/>
                <w:bCs w:val="1"/>
                <w:color w:val="auto"/>
              </w:rPr>
              <w:t>John Kyees (Chair)</w:t>
            </w:r>
          </w:p>
        </w:tc>
        <w:tc>
          <w:tcPr>
            <w:tcW w:w="500" w:type="dxa"/>
            <w:vAlign w:val="bottom"/>
          </w:tcPr>
          <w:p>
            <w:pPr>
              <w:spacing w:after="0"/>
              <w:rPr>
                <w:sz w:val="24"/>
                <w:szCs w:val="24"/>
                <w:color w:val="auto"/>
              </w:rPr>
            </w:pPr>
          </w:p>
        </w:tc>
        <w:tc>
          <w:tcPr>
            <w:tcW w:w="3120" w:type="dxa"/>
            <w:vAlign w:val="bottom"/>
            <w:shd w:val="clear" w:color="auto" w:fill="D8D8D8"/>
          </w:tcPr>
          <w:p>
            <w:pPr>
              <w:ind w:left="80"/>
              <w:spacing w:after="0"/>
              <w:rPr>
                <w:sz w:val="20"/>
                <w:szCs w:val="20"/>
                <w:color w:val="auto"/>
              </w:rPr>
            </w:pPr>
            <w:r>
              <w:rPr>
                <w:rFonts w:ascii="Arial" w:cs="Arial" w:eastAsia="Arial" w:hAnsi="Arial"/>
                <w:sz w:val="20"/>
                <w:szCs w:val="20"/>
                <w:b w:val="1"/>
                <w:bCs w:val="1"/>
                <w:color w:val="auto"/>
              </w:rPr>
              <w:t>Albert Adams (Chair)</w:t>
            </w:r>
          </w:p>
        </w:tc>
      </w:tr>
      <w:tr>
        <w:trPr>
          <w:trHeight w:val="216"/>
        </w:trPr>
        <w:tc>
          <w:tcPr>
            <w:tcW w:w="3000" w:type="dxa"/>
            <w:vAlign w:val="bottom"/>
            <w:shd w:val="clear" w:color="auto" w:fill="D8D8D8"/>
          </w:tcPr>
          <w:p>
            <w:pPr>
              <w:spacing w:after="0" w:line="216" w:lineRule="exact"/>
              <w:rPr>
                <w:sz w:val="20"/>
                <w:szCs w:val="20"/>
                <w:color w:val="auto"/>
              </w:rPr>
            </w:pPr>
            <w:r>
              <w:rPr>
                <w:rFonts w:ascii="Arial" w:cs="Arial" w:eastAsia="Arial" w:hAnsi="Arial"/>
                <w:sz w:val="20"/>
                <w:szCs w:val="20"/>
                <w:b w:val="1"/>
                <w:bCs w:val="1"/>
                <w:color w:val="auto"/>
              </w:rPr>
              <w:t>Stuart Burgdoerfer</w:t>
            </w:r>
          </w:p>
        </w:tc>
        <w:tc>
          <w:tcPr>
            <w:tcW w:w="500" w:type="dxa"/>
            <w:vAlign w:val="bottom"/>
          </w:tcPr>
          <w:p>
            <w:pPr>
              <w:spacing w:after="0"/>
              <w:rPr>
                <w:sz w:val="18"/>
                <w:szCs w:val="18"/>
                <w:color w:val="auto"/>
              </w:rPr>
            </w:pPr>
          </w:p>
        </w:tc>
        <w:tc>
          <w:tcPr>
            <w:tcW w:w="3120" w:type="dxa"/>
            <w:vAlign w:val="bottom"/>
            <w:shd w:val="clear" w:color="auto" w:fill="D8D8D8"/>
          </w:tcPr>
          <w:p>
            <w:pPr>
              <w:ind w:left="80"/>
              <w:spacing w:after="0" w:line="216" w:lineRule="exact"/>
              <w:rPr>
                <w:sz w:val="20"/>
                <w:szCs w:val="20"/>
                <w:color w:val="auto"/>
              </w:rPr>
            </w:pPr>
            <w:r>
              <w:rPr>
                <w:rFonts w:ascii="Arial" w:cs="Arial" w:eastAsia="Arial" w:hAnsi="Arial"/>
                <w:sz w:val="20"/>
                <w:szCs w:val="20"/>
                <w:b w:val="1"/>
                <w:bCs w:val="1"/>
                <w:color w:val="auto"/>
              </w:rPr>
              <w:t>Bill Beargie</w:t>
            </w:r>
          </w:p>
        </w:tc>
      </w:tr>
      <w:tr>
        <w:trPr>
          <w:trHeight w:val="216"/>
        </w:trPr>
        <w:tc>
          <w:tcPr>
            <w:tcW w:w="3000" w:type="dxa"/>
            <w:vAlign w:val="bottom"/>
            <w:shd w:val="clear" w:color="auto" w:fill="D8D8D8"/>
          </w:tcPr>
          <w:p>
            <w:pPr>
              <w:spacing w:after="0" w:line="216" w:lineRule="exact"/>
              <w:rPr>
                <w:sz w:val="20"/>
                <w:szCs w:val="20"/>
                <w:color w:val="auto"/>
              </w:rPr>
            </w:pPr>
            <w:r>
              <w:rPr>
                <w:rFonts w:ascii="Arial" w:cs="Arial" w:eastAsia="Arial" w:hAnsi="Arial"/>
                <w:sz w:val="20"/>
                <w:szCs w:val="20"/>
                <w:b w:val="1"/>
                <w:bCs w:val="1"/>
                <w:color w:val="auto"/>
              </w:rPr>
              <w:t>Rick Doody</w:t>
            </w:r>
          </w:p>
        </w:tc>
        <w:tc>
          <w:tcPr>
            <w:tcW w:w="500" w:type="dxa"/>
            <w:vAlign w:val="bottom"/>
          </w:tcPr>
          <w:p>
            <w:pPr>
              <w:spacing w:after="0"/>
              <w:rPr>
                <w:sz w:val="18"/>
                <w:szCs w:val="18"/>
                <w:color w:val="auto"/>
              </w:rPr>
            </w:pPr>
          </w:p>
        </w:tc>
        <w:tc>
          <w:tcPr>
            <w:tcW w:w="3120" w:type="dxa"/>
            <w:vAlign w:val="bottom"/>
            <w:shd w:val="clear" w:color="auto" w:fill="D8D8D8"/>
          </w:tcPr>
          <w:p>
            <w:pPr>
              <w:ind w:left="80"/>
              <w:spacing w:after="0" w:line="216" w:lineRule="exact"/>
              <w:rPr>
                <w:sz w:val="20"/>
                <w:szCs w:val="20"/>
                <w:color w:val="auto"/>
              </w:rPr>
            </w:pPr>
            <w:r>
              <w:rPr>
                <w:rFonts w:ascii="Arial" w:cs="Arial" w:eastAsia="Arial" w:hAnsi="Arial"/>
                <w:sz w:val="20"/>
                <w:szCs w:val="20"/>
                <w:b w:val="1"/>
                <w:bCs w:val="1"/>
                <w:color w:val="auto"/>
              </w:rPr>
              <w:t>Alexis DePree</w:t>
            </w:r>
          </w:p>
        </w:tc>
      </w:tr>
      <w:tr>
        <w:trPr>
          <w:trHeight w:val="273"/>
        </w:trPr>
        <w:tc>
          <w:tcPr>
            <w:tcW w:w="3000" w:type="dxa"/>
            <w:vAlign w:val="bottom"/>
            <w:shd w:val="clear" w:color="auto" w:fill="D8D8D8"/>
          </w:tcPr>
          <w:p>
            <w:pPr>
              <w:spacing w:after="0"/>
              <w:rPr>
                <w:sz w:val="20"/>
                <w:szCs w:val="20"/>
                <w:color w:val="auto"/>
              </w:rPr>
            </w:pPr>
            <w:r>
              <w:rPr>
                <w:rFonts w:ascii="Arial" w:cs="Arial" w:eastAsia="Arial" w:hAnsi="Arial"/>
                <w:sz w:val="20"/>
                <w:szCs w:val="20"/>
                <w:b w:val="1"/>
                <w:bCs w:val="1"/>
                <w:color w:val="auto"/>
              </w:rPr>
              <w:t>Andrea Hyde</w:t>
            </w:r>
          </w:p>
        </w:tc>
        <w:tc>
          <w:tcPr>
            <w:tcW w:w="500" w:type="dxa"/>
            <w:vAlign w:val="bottom"/>
          </w:tcPr>
          <w:p>
            <w:pPr>
              <w:spacing w:after="0"/>
              <w:rPr>
                <w:sz w:val="23"/>
                <w:szCs w:val="23"/>
                <w:color w:val="auto"/>
              </w:rPr>
            </w:pPr>
          </w:p>
        </w:tc>
        <w:tc>
          <w:tcPr>
            <w:tcW w:w="3120" w:type="dxa"/>
            <w:vAlign w:val="bottom"/>
            <w:shd w:val="clear" w:color="auto" w:fill="D8D8D8"/>
          </w:tcPr>
          <w:p>
            <w:pPr>
              <w:ind w:left="80"/>
              <w:spacing w:after="0"/>
              <w:rPr>
                <w:sz w:val="20"/>
                <w:szCs w:val="20"/>
                <w:color w:val="auto"/>
              </w:rPr>
            </w:pPr>
            <w:r>
              <w:rPr>
                <w:rFonts w:ascii="Arial" w:cs="Arial" w:eastAsia="Arial" w:hAnsi="Arial"/>
                <w:sz w:val="20"/>
                <w:szCs w:val="20"/>
                <w:b w:val="1"/>
                <w:bCs w:val="1"/>
                <w:color w:val="auto"/>
              </w:rPr>
              <w:t>John M. Roth</w:t>
            </w:r>
          </w:p>
        </w:tc>
      </w:tr>
      <w:tr>
        <w:trPr>
          <w:trHeight w:val="451"/>
        </w:trPr>
        <w:tc>
          <w:tcPr>
            <w:tcW w:w="300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9 meetings during 2024</w:t>
            </w:r>
          </w:p>
        </w:tc>
        <w:tc>
          <w:tcPr>
            <w:tcW w:w="500" w:type="dxa"/>
            <w:vAlign w:val="bottom"/>
          </w:tcPr>
          <w:p>
            <w:pPr>
              <w:spacing w:after="0"/>
              <w:rPr>
                <w:sz w:val="24"/>
                <w:szCs w:val="24"/>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7 meetings during 2024</w:t>
            </w:r>
          </w:p>
        </w:tc>
      </w:tr>
      <w:tr>
        <w:trPr>
          <w:trHeight w:val="231"/>
        </w:trPr>
        <w:tc>
          <w:tcPr>
            <w:tcW w:w="3000" w:type="dxa"/>
            <w:vAlign w:val="bottom"/>
            <w:shd w:val="clear" w:color="auto" w:fill="D8D8D8"/>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shd w:val="clear" w:color="auto" w:fill="D8D8D8"/>
          </w:tcPr>
          <w:p>
            <w:pPr>
              <w:spacing w:after="0"/>
              <w:rPr>
                <w:sz w:val="20"/>
                <w:szCs w:val="20"/>
                <w:color w:val="auto"/>
              </w:rPr>
            </w:pPr>
          </w:p>
        </w:tc>
      </w:tr>
    </w:tbl>
    <w:p>
      <w:pPr>
        <w:spacing w:after="0" w:line="378" w:lineRule="exact"/>
        <w:rPr>
          <w:sz w:val="20"/>
          <w:szCs w:val="20"/>
          <w:color w:val="auto"/>
        </w:rPr>
      </w:pPr>
    </w:p>
    <w:tbl>
      <w:tblPr>
        <w:tblLayout w:type="fixed"/>
        <w:tblInd w:w="2320" w:type="dxa"/>
        <w:tblCellMar>
          <w:top w:w="0" w:type="dxa"/>
          <w:left w:w="0" w:type="dxa"/>
          <w:bottom w:w="0" w:type="dxa"/>
          <w:right w:w="0" w:type="dxa"/>
        </w:tblCellMar>
      </w:tblPr>
      <w:tr>
        <w:trPr>
          <w:trHeight w:val="424"/>
        </w:trPr>
        <w:tc>
          <w:tcPr>
            <w:tcW w:w="3000" w:type="dxa"/>
            <w:vAlign w:val="bottom"/>
            <w:shd w:val="clear" w:color="auto" w:fill="D8D8D8"/>
          </w:tcPr>
          <w:p>
            <w:pPr>
              <w:jc w:val="center"/>
              <w:spacing w:after="0"/>
              <w:rPr>
                <w:sz w:val="20"/>
                <w:szCs w:val="20"/>
                <w:color w:val="auto"/>
              </w:rPr>
            </w:pPr>
            <w:r>
              <w:rPr>
                <w:rFonts w:ascii="Arial" w:cs="Arial" w:eastAsia="Arial" w:hAnsi="Arial"/>
                <w:sz w:val="18"/>
                <w:szCs w:val="18"/>
                <w:b w:val="1"/>
                <w:bCs w:val="1"/>
                <w:i w:val="1"/>
                <w:iCs w:val="1"/>
                <w:color w:val="auto"/>
                <w:w w:val="99"/>
              </w:rPr>
              <w:t>Nominating &amp; Corporate</w:t>
            </w:r>
          </w:p>
        </w:tc>
        <w:tc>
          <w:tcPr>
            <w:tcW w:w="500" w:type="dxa"/>
            <w:vAlign w:val="bottom"/>
          </w:tcPr>
          <w:p>
            <w:pPr>
              <w:spacing w:after="0"/>
              <w:rPr>
                <w:sz w:val="24"/>
                <w:szCs w:val="24"/>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18"/>
                <w:szCs w:val="18"/>
                <w:b w:val="1"/>
                <w:bCs w:val="1"/>
                <w:i w:val="1"/>
                <w:iCs w:val="1"/>
                <w:color w:val="auto"/>
              </w:rPr>
              <w:t>Real Estate</w:t>
            </w:r>
          </w:p>
        </w:tc>
        <w:tc>
          <w:tcPr>
            <w:tcW w:w="0" w:type="dxa"/>
            <w:vAlign w:val="bottom"/>
          </w:tcPr>
          <w:p>
            <w:pPr>
              <w:spacing w:after="0"/>
              <w:rPr>
                <w:sz w:val="1"/>
                <w:szCs w:val="1"/>
                <w:color w:val="auto"/>
              </w:rPr>
            </w:pPr>
          </w:p>
        </w:tc>
      </w:tr>
      <w:tr>
        <w:trPr>
          <w:trHeight w:val="271"/>
        </w:trPr>
        <w:tc>
          <w:tcPr>
            <w:tcW w:w="3000" w:type="dxa"/>
            <w:vAlign w:val="bottom"/>
            <w:shd w:val="clear" w:color="auto" w:fill="D8D8D8"/>
          </w:tcPr>
          <w:p>
            <w:pPr>
              <w:jc w:val="center"/>
              <w:spacing w:after="0"/>
              <w:rPr>
                <w:sz w:val="20"/>
                <w:szCs w:val="20"/>
                <w:color w:val="auto"/>
              </w:rPr>
            </w:pPr>
            <w:r>
              <w:rPr>
                <w:rFonts w:ascii="Arial" w:cs="Arial" w:eastAsia="Arial" w:hAnsi="Arial"/>
                <w:sz w:val="20"/>
                <w:szCs w:val="20"/>
                <w:b w:val="1"/>
                <w:bCs w:val="1"/>
                <w:i w:val="1"/>
                <w:iCs w:val="1"/>
                <w:color w:val="16281C"/>
                <w:w w:val="98"/>
              </w:rPr>
              <w:t>Governance Committee</w:t>
            </w:r>
          </w:p>
        </w:tc>
        <w:tc>
          <w:tcPr>
            <w:tcW w:w="500" w:type="dxa"/>
            <w:vAlign w:val="bottom"/>
          </w:tcPr>
          <w:p>
            <w:pPr>
              <w:spacing w:after="0"/>
              <w:rPr>
                <w:sz w:val="23"/>
                <w:szCs w:val="23"/>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20"/>
                <w:szCs w:val="20"/>
                <w:b w:val="1"/>
                <w:bCs w:val="1"/>
                <w:i w:val="1"/>
                <w:iCs w:val="1"/>
                <w:color w:val="16281C"/>
                <w:w w:val="98"/>
              </w:rPr>
              <w:t>Committee</w:t>
            </w:r>
          </w:p>
        </w:tc>
        <w:tc>
          <w:tcPr>
            <w:tcW w:w="0" w:type="dxa"/>
            <w:vAlign w:val="bottom"/>
          </w:tcPr>
          <w:p>
            <w:pPr>
              <w:spacing w:after="0"/>
              <w:rPr>
                <w:sz w:val="1"/>
                <w:szCs w:val="1"/>
                <w:color w:val="auto"/>
              </w:rPr>
            </w:pPr>
          </w:p>
        </w:tc>
      </w:tr>
      <w:tr>
        <w:trPr>
          <w:trHeight w:val="415"/>
        </w:trPr>
        <w:tc>
          <w:tcPr>
            <w:tcW w:w="3000" w:type="dxa"/>
            <w:vAlign w:val="bottom"/>
            <w:vMerge w:val="restart"/>
            <w:shd w:val="clear" w:color="auto" w:fill="D8D8D8"/>
          </w:tcPr>
          <w:p>
            <w:pPr>
              <w:spacing w:after="0"/>
              <w:rPr>
                <w:sz w:val="20"/>
                <w:szCs w:val="20"/>
                <w:color w:val="auto"/>
              </w:rPr>
            </w:pPr>
            <w:r>
              <w:rPr>
                <w:rFonts w:ascii="Arial" w:cs="Arial" w:eastAsia="Arial" w:hAnsi="Arial"/>
                <w:sz w:val="20"/>
                <w:szCs w:val="20"/>
                <w:b w:val="1"/>
                <w:bCs w:val="1"/>
                <w:color w:val="auto"/>
              </w:rPr>
              <w:t>Andrea Hyde (Chair)</w:t>
            </w:r>
          </w:p>
        </w:tc>
        <w:tc>
          <w:tcPr>
            <w:tcW w:w="500" w:type="dxa"/>
            <w:vAlign w:val="bottom"/>
          </w:tcPr>
          <w:p>
            <w:pPr>
              <w:spacing w:after="0"/>
              <w:rPr>
                <w:sz w:val="24"/>
                <w:szCs w:val="24"/>
                <w:color w:val="auto"/>
              </w:rPr>
            </w:pPr>
          </w:p>
        </w:tc>
        <w:tc>
          <w:tcPr>
            <w:tcW w:w="3120" w:type="dxa"/>
            <w:vAlign w:val="bottom"/>
            <w:shd w:val="clear" w:color="auto" w:fill="D8D8D8"/>
          </w:tcPr>
          <w:p>
            <w:pPr>
              <w:ind w:left="80"/>
              <w:spacing w:after="0"/>
              <w:rPr>
                <w:sz w:val="20"/>
                <w:szCs w:val="20"/>
                <w:color w:val="auto"/>
              </w:rPr>
            </w:pPr>
            <w:r>
              <w:rPr>
                <w:rFonts w:ascii="Arial" w:cs="Arial" w:eastAsia="Arial" w:hAnsi="Arial"/>
                <w:sz w:val="20"/>
                <w:szCs w:val="20"/>
                <w:b w:val="1"/>
                <w:bCs w:val="1"/>
                <w:color w:val="auto"/>
              </w:rPr>
              <w:t>Gary Lewis (Chair)</w:t>
            </w:r>
          </w:p>
        </w:tc>
        <w:tc>
          <w:tcPr>
            <w:tcW w:w="0" w:type="dxa"/>
            <w:vAlign w:val="bottom"/>
          </w:tcPr>
          <w:p>
            <w:pPr>
              <w:spacing w:after="0"/>
              <w:rPr>
                <w:sz w:val="1"/>
                <w:szCs w:val="1"/>
                <w:color w:val="auto"/>
              </w:rPr>
            </w:pPr>
          </w:p>
        </w:tc>
      </w:tr>
      <w:tr>
        <w:trPr>
          <w:trHeight w:val="216"/>
        </w:trPr>
        <w:tc>
          <w:tcPr>
            <w:tcW w:w="3000" w:type="dxa"/>
            <w:vAlign w:val="bottom"/>
            <w:vMerge w:val="continue"/>
            <w:shd w:val="clear" w:color="auto" w:fill="D8D8D8"/>
          </w:tcPr>
          <w:p>
            <w:pPr>
              <w:spacing w:after="0"/>
              <w:rPr>
                <w:sz w:val="18"/>
                <w:szCs w:val="18"/>
                <w:color w:val="auto"/>
              </w:rPr>
            </w:pPr>
          </w:p>
        </w:tc>
        <w:tc>
          <w:tcPr>
            <w:tcW w:w="500" w:type="dxa"/>
            <w:vAlign w:val="bottom"/>
          </w:tcPr>
          <w:p>
            <w:pPr>
              <w:spacing w:after="0"/>
              <w:rPr>
                <w:sz w:val="18"/>
                <w:szCs w:val="18"/>
                <w:color w:val="auto"/>
              </w:rPr>
            </w:pPr>
          </w:p>
        </w:tc>
        <w:tc>
          <w:tcPr>
            <w:tcW w:w="3120" w:type="dxa"/>
            <w:vAlign w:val="bottom"/>
            <w:shd w:val="clear" w:color="auto" w:fill="D8D8D8"/>
          </w:tcPr>
          <w:p>
            <w:pPr>
              <w:ind w:left="80"/>
              <w:spacing w:after="0" w:line="216" w:lineRule="exact"/>
              <w:rPr>
                <w:sz w:val="20"/>
                <w:szCs w:val="20"/>
                <w:color w:val="auto"/>
              </w:rPr>
            </w:pPr>
            <w:r>
              <w:rPr>
                <w:rFonts w:ascii="Arial" w:cs="Arial" w:eastAsia="Arial" w:hAnsi="Arial"/>
                <w:sz w:val="20"/>
                <w:szCs w:val="20"/>
                <w:b w:val="1"/>
                <w:bCs w:val="1"/>
                <w:color w:val="auto"/>
              </w:rPr>
              <w:t>Rick Doody</w:t>
            </w:r>
          </w:p>
        </w:tc>
        <w:tc>
          <w:tcPr>
            <w:tcW w:w="0" w:type="dxa"/>
            <w:vAlign w:val="bottom"/>
          </w:tcPr>
          <w:p>
            <w:pPr>
              <w:spacing w:after="0"/>
              <w:rPr>
                <w:sz w:val="1"/>
                <w:szCs w:val="1"/>
                <w:color w:val="auto"/>
              </w:rPr>
            </w:pPr>
          </w:p>
        </w:tc>
      </w:tr>
      <w:tr>
        <w:trPr>
          <w:trHeight w:val="216"/>
        </w:trPr>
        <w:tc>
          <w:tcPr>
            <w:tcW w:w="3000" w:type="dxa"/>
            <w:vAlign w:val="bottom"/>
            <w:shd w:val="clear" w:color="auto" w:fill="D8D8D8"/>
          </w:tcPr>
          <w:p>
            <w:pPr>
              <w:spacing w:after="0" w:line="216" w:lineRule="exact"/>
              <w:rPr>
                <w:sz w:val="20"/>
                <w:szCs w:val="20"/>
                <w:color w:val="auto"/>
              </w:rPr>
            </w:pPr>
            <w:r>
              <w:rPr>
                <w:rFonts w:ascii="Arial" w:cs="Arial" w:eastAsia="Arial" w:hAnsi="Arial"/>
                <w:sz w:val="20"/>
                <w:szCs w:val="20"/>
                <w:b w:val="1"/>
                <w:bCs w:val="1"/>
                <w:color w:val="auto"/>
              </w:rPr>
              <w:t>Rick Doody</w:t>
            </w:r>
          </w:p>
        </w:tc>
        <w:tc>
          <w:tcPr>
            <w:tcW w:w="500" w:type="dxa"/>
            <w:vAlign w:val="bottom"/>
          </w:tcPr>
          <w:p>
            <w:pPr>
              <w:spacing w:after="0"/>
              <w:rPr>
                <w:sz w:val="18"/>
                <w:szCs w:val="18"/>
                <w:color w:val="auto"/>
              </w:rPr>
            </w:pPr>
          </w:p>
        </w:tc>
        <w:tc>
          <w:tcPr>
            <w:tcW w:w="3120" w:type="dxa"/>
            <w:vAlign w:val="bottom"/>
            <w:shd w:val="clear" w:color="auto" w:fill="D8D8D8"/>
          </w:tcPr>
          <w:p>
            <w:pPr>
              <w:ind w:left="80"/>
              <w:spacing w:after="0" w:line="216" w:lineRule="exact"/>
              <w:rPr>
                <w:sz w:val="20"/>
                <w:szCs w:val="20"/>
                <w:color w:val="auto"/>
              </w:rPr>
            </w:pPr>
            <w:r>
              <w:rPr>
                <w:rFonts w:ascii="Arial" w:cs="Arial" w:eastAsia="Arial" w:hAnsi="Arial"/>
                <w:sz w:val="20"/>
                <w:szCs w:val="20"/>
                <w:b w:val="1"/>
                <w:bCs w:val="1"/>
                <w:color w:val="auto"/>
              </w:rPr>
              <w:t>Andrea Hyde</w:t>
            </w:r>
          </w:p>
        </w:tc>
        <w:tc>
          <w:tcPr>
            <w:tcW w:w="0" w:type="dxa"/>
            <w:vAlign w:val="bottom"/>
          </w:tcPr>
          <w:p>
            <w:pPr>
              <w:spacing w:after="0"/>
              <w:rPr>
                <w:sz w:val="1"/>
                <w:szCs w:val="1"/>
                <w:color w:val="auto"/>
              </w:rPr>
            </w:pPr>
          </w:p>
        </w:tc>
      </w:tr>
      <w:tr>
        <w:trPr>
          <w:trHeight w:val="273"/>
        </w:trPr>
        <w:tc>
          <w:tcPr>
            <w:tcW w:w="3000" w:type="dxa"/>
            <w:vAlign w:val="bottom"/>
            <w:shd w:val="clear" w:color="auto" w:fill="D8D8D8"/>
          </w:tcPr>
          <w:p>
            <w:pPr>
              <w:spacing w:after="0"/>
              <w:rPr>
                <w:sz w:val="20"/>
                <w:szCs w:val="20"/>
                <w:color w:val="auto"/>
              </w:rPr>
            </w:pPr>
            <w:r>
              <w:rPr>
                <w:rFonts w:ascii="Arial" w:cs="Arial" w:eastAsia="Arial" w:hAnsi="Arial"/>
                <w:sz w:val="20"/>
                <w:szCs w:val="20"/>
                <w:b w:val="1"/>
                <w:bCs w:val="1"/>
                <w:color w:val="auto"/>
              </w:rPr>
              <w:t>John M. Roth</w:t>
            </w:r>
          </w:p>
        </w:tc>
        <w:tc>
          <w:tcPr>
            <w:tcW w:w="500" w:type="dxa"/>
            <w:vAlign w:val="bottom"/>
          </w:tcPr>
          <w:p>
            <w:pPr>
              <w:spacing w:after="0"/>
              <w:rPr>
                <w:sz w:val="23"/>
                <w:szCs w:val="23"/>
                <w:color w:val="auto"/>
              </w:rPr>
            </w:pPr>
          </w:p>
        </w:tc>
        <w:tc>
          <w:tcPr>
            <w:tcW w:w="3120" w:type="dxa"/>
            <w:vAlign w:val="bottom"/>
            <w:shd w:val="clear" w:color="auto" w:fill="D8D8D8"/>
          </w:tcPr>
          <w:p>
            <w:pPr>
              <w:ind w:left="80"/>
              <w:spacing w:after="0"/>
              <w:rPr>
                <w:sz w:val="20"/>
                <w:szCs w:val="20"/>
                <w:color w:val="auto"/>
              </w:rPr>
            </w:pPr>
            <w:r>
              <w:rPr>
                <w:rFonts w:ascii="Arial" w:cs="Arial" w:eastAsia="Arial" w:hAnsi="Arial"/>
                <w:sz w:val="20"/>
                <w:szCs w:val="20"/>
                <w:b w:val="1"/>
                <w:bCs w:val="1"/>
                <w:color w:val="auto"/>
              </w:rPr>
              <w:t>John M. Roth</w:t>
            </w:r>
          </w:p>
        </w:tc>
        <w:tc>
          <w:tcPr>
            <w:tcW w:w="0" w:type="dxa"/>
            <w:vAlign w:val="bottom"/>
          </w:tcPr>
          <w:p>
            <w:pPr>
              <w:spacing w:after="0"/>
              <w:rPr>
                <w:sz w:val="1"/>
                <w:szCs w:val="1"/>
                <w:color w:val="auto"/>
              </w:rPr>
            </w:pPr>
          </w:p>
        </w:tc>
      </w:tr>
      <w:tr>
        <w:trPr>
          <w:trHeight w:val="451"/>
        </w:trPr>
        <w:tc>
          <w:tcPr>
            <w:tcW w:w="300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5 meetings during 2024</w:t>
            </w:r>
          </w:p>
        </w:tc>
        <w:tc>
          <w:tcPr>
            <w:tcW w:w="500" w:type="dxa"/>
            <w:vAlign w:val="bottom"/>
          </w:tcPr>
          <w:p>
            <w:pPr>
              <w:spacing w:after="0"/>
              <w:rPr>
                <w:sz w:val="24"/>
                <w:szCs w:val="24"/>
                <w:color w:val="auto"/>
              </w:rPr>
            </w:pPr>
          </w:p>
        </w:tc>
        <w:tc>
          <w:tcPr>
            <w:tcW w:w="312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3 meetings during 2024</w:t>
            </w:r>
          </w:p>
        </w:tc>
        <w:tc>
          <w:tcPr>
            <w:tcW w:w="0" w:type="dxa"/>
            <w:vAlign w:val="bottom"/>
          </w:tcPr>
          <w:p>
            <w:pPr>
              <w:spacing w:after="0"/>
              <w:rPr>
                <w:sz w:val="1"/>
                <w:szCs w:val="1"/>
                <w:color w:val="auto"/>
              </w:rPr>
            </w:pPr>
          </w:p>
        </w:tc>
      </w:tr>
      <w:tr>
        <w:trPr>
          <w:trHeight w:val="231"/>
        </w:trPr>
        <w:tc>
          <w:tcPr>
            <w:tcW w:w="3000" w:type="dxa"/>
            <w:vAlign w:val="bottom"/>
            <w:shd w:val="clear" w:color="auto" w:fill="D8D8D8"/>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240030</wp:posOffset>
            </wp:positionV>
            <wp:extent cx="1903095" cy="1448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14484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320"/>
        <w:spacing w:after="0"/>
        <w:rPr>
          <w:sz w:val="20"/>
          <w:szCs w:val="20"/>
          <w:color w:val="auto"/>
        </w:rPr>
      </w:pPr>
      <w:r>
        <w:rPr>
          <w:rFonts w:ascii="Arial" w:cs="Arial" w:eastAsia="Arial" w:hAnsi="Arial"/>
          <w:sz w:val="18"/>
          <w:szCs w:val="18"/>
          <w:b w:val="1"/>
          <w:bCs w:val="1"/>
          <w:i w:val="1"/>
          <w:iCs w:val="1"/>
          <w:color w:val="auto"/>
        </w:rPr>
        <w:t>Technology</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20"/>
          <w:szCs w:val="20"/>
          <w:b w:val="1"/>
          <w:bCs w:val="1"/>
          <w:i w:val="1"/>
          <w:iCs w:val="1"/>
          <w:color w:val="16281C"/>
        </w:rPr>
        <w:t>Committee</w:t>
      </w:r>
    </w:p>
    <w:p>
      <w:pPr>
        <w:spacing w:after="0" w:line="223"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Alexis DePree (Chair)</w:t>
      </w:r>
    </w:p>
    <w:p>
      <w:pPr>
        <w:ind w:left="2320"/>
        <w:spacing w:after="0" w:line="231" w:lineRule="auto"/>
        <w:rPr>
          <w:sz w:val="20"/>
          <w:szCs w:val="20"/>
          <w:color w:val="auto"/>
        </w:rPr>
      </w:pPr>
      <w:r>
        <w:rPr>
          <w:rFonts w:ascii="Arial" w:cs="Arial" w:eastAsia="Arial" w:hAnsi="Arial"/>
          <w:sz w:val="20"/>
          <w:szCs w:val="20"/>
          <w:b w:val="1"/>
          <w:bCs w:val="1"/>
          <w:color w:val="auto"/>
        </w:rPr>
        <w:t>Stuart Burgdoerfer</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Gary Lewis</w:t>
      </w: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1 meeting during 2024</w:t>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Audit Committee</w:t>
      </w:r>
    </w:p>
    <w:p>
      <w:pPr>
        <w:spacing w:after="0" w:line="202" w:lineRule="exact"/>
        <w:rPr>
          <w:sz w:val="20"/>
          <w:szCs w:val="20"/>
          <w:color w:val="auto"/>
        </w:rPr>
      </w:pPr>
    </w:p>
    <w:p>
      <w:pPr>
        <w:ind w:left="120" w:firstLine="881"/>
        <w:spacing w:after="0" w:line="237" w:lineRule="auto"/>
        <w:rPr>
          <w:sz w:val="20"/>
          <w:szCs w:val="20"/>
          <w:color w:val="auto"/>
        </w:rPr>
      </w:pPr>
      <w:r>
        <w:rPr>
          <w:rFonts w:ascii="Arial" w:cs="Arial" w:eastAsia="Arial" w:hAnsi="Arial"/>
          <w:sz w:val="20"/>
          <w:szCs w:val="20"/>
          <w:color w:val="auto"/>
        </w:rPr>
        <w:t>Our Audit Committee consists of Stuart Burgdoerfer, Rick Doody, Andrea Hyde, and John Kyees, with Mr. Kyees serving as Chair. Our Board of Directors has determined that Messrs. Burgdoerfer, Doody and Kyees and Ms. Hyde meet the definition of “independent director” under the listing standards of Nasdaq and SEC rules and regulations. Mr. Burgdoerfer was appointed to the Audit Committee on June 18, 2024.</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60" w:firstLine="881"/>
        <w:spacing w:after="0" w:line="257" w:lineRule="auto"/>
        <w:rPr>
          <w:sz w:val="20"/>
          <w:szCs w:val="20"/>
          <w:color w:val="auto"/>
        </w:rPr>
      </w:pPr>
      <w:r>
        <w:rPr>
          <w:rFonts w:ascii="Arial" w:cs="Arial" w:eastAsia="Arial" w:hAnsi="Arial"/>
          <w:sz w:val="20"/>
          <w:szCs w:val="20"/>
          <w:color w:val="auto"/>
        </w:rPr>
        <w:t>Our Board of Directors determined that each of Messrs. Burgdoerfer and Kyees qualify as an “audit committee financial expert” within the meaning of Item 407(d) of Regulation S-K.</w:t>
      </w:r>
    </w:p>
    <w:p>
      <w:pPr>
        <w:spacing w:after="0" w:line="15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Our Audit Committee has the following responsibilities, among other matters:</w:t>
      </w:r>
    </w:p>
    <w:p>
      <w:pPr>
        <w:spacing w:after="0" w:line="1" w:lineRule="exact"/>
        <w:rPr>
          <w:sz w:val="20"/>
          <w:szCs w:val="20"/>
          <w:color w:val="auto"/>
        </w:rPr>
      </w:pPr>
    </w:p>
    <w:p>
      <w:pPr>
        <w:ind w:left="1420" w:hanging="427"/>
        <w:spacing w:after="0" w:line="185" w:lineRule="auto"/>
        <w:tabs>
          <w:tab w:leader="none" w:pos="1420" w:val="left"/>
        </w:tabs>
        <w:numPr>
          <w:ilvl w:val="0"/>
          <w:numId w:val="8"/>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appointing, compensating, retaining, evaluating, terminating, and overseeing our independent registered public accounting firm;</w:t>
      </w:r>
    </w:p>
    <w:p>
      <w:pPr>
        <w:ind w:left="1420" w:hanging="427"/>
        <w:spacing w:after="0" w:line="180" w:lineRule="auto"/>
        <w:tabs>
          <w:tab w:leader="none" w:pos="1420" w:val="left"/>
        </w:tabs>
        <w:numPr>
          <w:ilvl w:val="0"/>
          <w:numId w:val="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discussing with our independent registered public accounting firm its independence from management;</w:t>
      </w:r>
    </w:p>
    <w:p>
      <w:pPr>
        <w:ind w:left="1420" w:hanging="427"/>
        <w:spacing w:after="0" w:line="180" w:lineRule="auto"/>
        <w:tabs>
          <w:tab w:leader="none" w:pos="1420" w:val="left"/>
        </w:tabs>
        <w:numPr>
          <w:ilvl w:val="0"/>
          <w:numId w:val="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discussing the scope and results of the audit with the independent registered public accounting firm;</w:t>
      </w:r>
    </w:p>
    <w:p>
      <w:pPr>
        <w:ind w:left="1420" w:right="240" w:hanging="427"/>
        <w:spacing w:after="0" w:line="184" w:lineRule="auto"/>
        <w:tabs>
          <w:tab w:leader="none" w:pos="1420" w:val="left"/>
        </w:tabs>
        <w:numPr>
          <w:ilvl w:val="0"/>
          <w:numId w:val="8"/>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reviewing with management and the independent registered public accounting firm our interim and year-end operating results;</w:t>
      </w:r>
    </w:p>
    <w:p>
      <w:pPr>
        <w:ind w:left="1420" w:right="240" w:hanging="427"/>
        <w:spacing w:after="0" w:line="184" w:lineRule="auto"/>
        <w:tabs>
          <w:tab w:leader="none" w:pos="1420" w:val="left"/>
        </w:tabs>
        <w:numPr>
          <w:ilvl w:val="0"/>
          <w:numId w:val="8"/>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overseeing the financial reporting process and discussing with management and the independent registered public accounting firm the interim and annual financial statements that we will file with the SEC;</w:t>
      </w:r>
    </w:p>
    <w:p>
      <w:pPr>
        <w:ind w:left="1420" w:hanging="427"/>
        <w:spacing w:after="0" w:line="180" w:lineRule="auto"/>
        <w:tabs>
          <w:tab w:leader="none" w:pos="1420" w:val="left"/>
        </w:tabs>
        <w:numPr>
          <w:ilvl w:val="0"/>
          <w:numId w:val="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reviewing and monitoring our accounting policies and principles and internal controls; and</w:t>
      </w:r>
    </w:p>
    <w:p>
      <w:pPr>
        <w:ind w:left="1420" w:right="300" w:hanging="427"/>
        <w:spacing w:after="0" w:line="195" w:lineRule="auto"/>
        <w:tabs>
          <w:tab w:leader="none" w:pos="1420" w:val="left"/>
        </w:tabs>
        <w:numPr>
          <w:ilvl w:val="0"/>
          <w:numId w:val="8"/>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establishing procedures for the confidential submission of concerns about questionable accounting, internal controls, or auditing matters.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Compensation Committee</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Our Compensation Committee consists of Albert Adams, Bill Beargie, Alexis DePree, and John Roth, with</w:t>
      </w:r>
    </w:p>
    <w:p>
      <w:pPr>
        <w:ind w:left="120"/>
        <w:spacing w:after="0" w:line="226" w:lineRule="auto"/>
        <w:rPr>
          <w:sz w:val="20"/>
          <w:szCs w:val="20"/>
          <w:color w:val="auto"/>
        </w:rPr>
      </w:pPr>
      <w:r>
        <w:rPr>
          <w:rFonts w:ascii="Arial" w:cs="Arial" w:eastAsia="Arial" w:hAnsi="Arial"/>
          <w:sz w:val="20"/>
          <w:szCs w:val="20"/>
          <w:color w:val="auto"/>
        </w:rPr>
        <w:t>Mr. Adams serving as Chair. Our Compensation Committee has the following responsibilities, among other matters:</w:t>
      </w:r>
    </w:p>
    <w:p>
      <w:pPr>
        <w:ind w:left="1420" w:hanging="427"/>
        <w:spacing w:after="0" w:line="183" w:lineRule="auto"/>
        <w:tabs>
          <w:tab w:leader="none" w:pos="1420" w:val="left"/>
        </w:tabs>
        <w:numPr>
          <w:ilvl w:val="0"/>
          <w:numId w:val="9"/>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reviewing and approving the compensation of our executive officers and Directors;</w:t>
      </w:r>
    </w:p>
    <w:p>
      <w:pPr>
        <w:ind w:left="1420" w:right="220" w:hanging="427"/>
        <w:spacing w:after="0" w:line="184" w:lineRule="auto"/>
        <w:tabs>
          <w:tab w:leader="none" w:pos="1420" w:val="left"/>
        </w:tabs>
        <w:numPr>
          <w:ilvl w:val="0"/>
          <w:numId w:val="9"/>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reviewing, approving, and making recommendations to our Board of Directors about incentive compensation and equity compensation plans; and</w:t>
      </w:r>
    </w:p>
    <w:p>
      <w:pPr>
        <w:ind w:left="1420" w:hanging="427"/>
        <w:spacing w:after="0" w:line="181" w:lineRule="auto"/>
        <w:tabs>
          <w:tab w:leader="none" w:pos="1420" w:val="left"/>
        </w:tabs>
        <w:numPr>
          <w:ilvl w:val="0"/>
          <w:numId w:val="9"/>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appointing and overseeing any compensation consultants.</w:t>
      </w:r>
    </w:p>
    <w:p>
      <w:pPr>
        <w:spacing w:after="0" w:line="171" w:lineRule="exact"/>
        <w:rPr>
          <w:sz w:val="20"/>
          <w:szCs w:val="20"/>
          <w:color w:val="auto"/>
        </w:rPr>
      </w:pPr>
    </w:p>
    <w:p>
      <w:pPr>
        <w:ind w:left="120" w:right="160" w:firstLine="881"/>
        <w:spacing w:after="0" w:line="241" w:lineRule="auto"/>
        <w:rPr>
          <w:sz w:val="20"/>
          <w:szCs w:val="20"/>
          <w:color w:val="auto"/>
        </w:rPr>
      </w:pPr>
      <w:r>
        <w:rPr>
          <w:rFonts w:ascii="Arial" w:cs="Arial" w:eastAsia="Arial" w:hAnsi="Arial"/>
          <w:sz w:val="20"/>
          <w:szCs w:val="20"/>
          <w:color w:val="auto"/>
        </w:rPr>
        <w:t>The Compensation Committee may, in its sole discretion, retain or obtain the advice of compensation consultants, counsel, or other advisors to carry out its duties. The Compensation Committee must consider such third party’s independence from Company management before selecting or receiving their advice.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16281C"/>
        </w:rPr>
        <w:t>Compensation Committee Interlocks and Insider Participation</w:t>
      </w:r>
    </w:p>
    <w:p>
      <w:pPr>
        <w:spacing w:after="0" w:line="202" w:lineRule="exact"/>
        <w:rPr>
          <w:sz w:val="20"/>
          <w:szCs w:val="20"/>
          <w:color w:val="auto"/>
        </w:rPr>
      </w:pPr>
    </w:p>
    <w:p>
      <w:pPr>
        <w:ind w:left="120" w:right="60" w:firstLine="881"/>
        <w:spacing w:after="0" w:line="234" w:lineRule="auto"/>
        <w:rPr>
          <w:sz w:val="20"/>
          <w:szCs w:val="20"/>
          <w:color w:val="auto"/>
        </w:rPr>
      </w:pPr>
      <w:r>
        <w:rPr>
          <w:rFonts w:ascii="Arial" w:cs="Arial" w:eastAsia="Arial" w:hAnsi="Arial"/>
          <w:sz w:val="20"/>
          <w:szCs w:val="20"/>
          <w:color w:val="auto"/>
        </w:rPr>
        <w:t>No member of our Compensation Committee is, or has been, an officer or employee of our Company, other than Mr. Beargie, who was the Chief Financial Officer of the predecessor of the Company from 1987 to 1997. None of our executive officers served as a member of the board of directors or compensation committee (or other board committee serving an equivalent function) of any entity that has one or more of its executive officers serving on our Board of Directors or Compensation Committee.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Nominating &amp; Corporate Governance Committee</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Our Nominating &amp; Corporate Governance Committee consists of Rick Doody, Andrea Hyde, and John Roth, with</w:t>
      </w:r>
    </w:p>
    <w:p>
      <w:pPr>
        <w:ind w:left="120"/>
        <w:spacing w:after="0" w:line="226" w:lineRule="auto"/>
        <w:rPr>
          <w:sz w:val="20"/>
          <w:szCs w:val="20"/>
          <w:color w:val="auto"/>
        </w:rPr>
      </w:pPr>
      <w:r>
        <w:rPr>
          <w:rFonts w:ascii="Arial" w:cs="Arial" w:eastAsia="Arial" w:hAnsi="Arial"/>
          <w:sz w:val="20"/>
          <w:szCs w:val="20"/>
          <w:color w:val="auto"/>
        </w:rPr>
        <w:t>Ms. Hyde serving as Chair. Our Nominating &amp; Corporate Governance Committee is responsible for, among other matters:</w:t>
      </w:r>
    </w:p>
    <w:p>
      <w:pPr>
        <w:ind w:left="1420" w:right="240" w:hanging="427"/>
        <w:spacing w:after="0" w:line="185" w:lineRule="auto"/>
        <w:tabs>
          <w:tab w:leader="none" w:pos="1420" w:val="left"/>
        </w:tabs>
        <w:numPr>
          <w:ilvl w:val="0"/>
          <w:numId w:val="10"/>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identifying, evaluating, and selecting, or making recommendations to our Board of Directors about nominees for election to our Board of Directors and its committees;</w:t>
      </w:r>
    </w:p>
    <w:p>
      <w:pPr>
        <w:ind w:left="1420" w:hanging="427"/>
        <w:spacing w:after="0" w:line="180" w:lineRule="auto"/>
        <w:tabs>
          <w:tab w:leader="none" w:pos="1420" w:val="left"/>
        </w:tabs>
        <w:numPr>
          <w:ilvl w:val="0"/>
          <w:numId w:val="10"/>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evaluating the performance of our Board of Directors and of individual Directors;</w:t>
      </w:r>
    </w:p>
    <w:p>
      <w:pPr>
        <w:ind w:left="1420" w:right="1000" w:hanging="427"/>
        <w:spacing w:after="0" w:line="184" w:lineRule="auto"/>
        <w:tabs>
          <w:tab w:leader="none" w:pos="1420" w:val="left"/>
        </w:tabs>
        <w:numPr>
          <w:ilvl w:val="0"/>
          <w:numId w:val="10"/>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reviewing and making recommendations to our Board of Directors regarding Director independence determinations;</w:t>
      </w:r>
    </w:p>
    <w:p>
      <w:pPr>
        <w:ind w:left="1420" w:right="400" w:hanging="427"/>
        <w:spacing w:after="0" w:line="184" w:lineRule="auto"/>
        <w:tabs>
          <w:tab w:leader="none" w:pos="1420" w:val="left"/>
        </w:tabs>
        <w:numPr>
          <w:ilvl w:val="0"/>
          <w:numId w:val="10"/>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making recommendations to our Board of Directors about the composition of the Board of Directors and its committees; and</w:t>
      </w:r>
    </w:p>
    <w:p>
      <w:pPr>
        <w:ind w:left="1420" w:hanging="427"/>
        <w:spacing w:after="0" w:line="181" w:lineRule="auto"/>
        <w:tabs>
          <w:tab w:leader="none" w:pos="1420" w:val="left"/>
        </w:tabs>
        <w:numPr>
          <w:ilvl w:val="0"/>
          <w:numId w:val="10"/>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developing and recommending to our Board of Directors corporate governance guidelines and principles.</w:t>
      </w:r>
    </w:p>
    <w:p>
      <w:pPr>
        <w:spacing w:after="0" w:line="171" w:lineRule="exact"/>
        <w:rPr>
          <w:sz w:val="20"/>
          <w:szCs w:val="20"/>
          <w:color w:val="auto"/>
        </w:rPr>
      </w:pPr>
    </w:p>
    <w:p>
      <w:pPr>
        <w:ind w:left="120" w:right="220" w:firstLine="881"/>
        <w:spacing w:after="0" w:line="234" w:lineRule="auto"/>
        <w:rPr>
          <w:sz w:val="20"/>
          <w:szCs w:val="20"/>
          <w:color w:val="auto"/>
        </w:rPr>
      </w:pPr>
      <w:r>
        <w:rPr>
          <w:rFonts w:ascii="Arial" w:cs="Arial" w:eastAsia="Arial" w:hAnsi="Arial"/>
          <w:sz w:val="20"/>
          <w:szCs w:val="20"/>
          <w:color w:val="auto"/>
        </w:rPr>
        <w:t>The Nominating &amp; Corporate Governance Committee recommends potential Director candidates to the Board. In making its recommendations, consistent with the Committee’s charter, the Committee considers qualifications and qualities, such as age, skills, gender, ethnicity, areas of expertise, and other relevant factors as they relate to the current Board composition. There are no other stated criteria for Director nominees, and the Board may establish criteria for nominee evaluation.</w:t>
      </w:r>
    </w:p>
    <w:p>
      <w:pPr>
        <w:spacing w:after="0" w:line="175" w:lineRule="exact"/>
        <w:rPr>
          <w:sz w:val="20"/>
          <w:szCs w:val="20"/>
          <w:color w:val="auto"/>
        </w:rPr>
      </w:pPr>
    </w:p>
    <w:p>
      <w:pPr>
        <w:ind w:left="120" w:right="120" w:firstLine="881"/>
        <w:spacing w:after="0" w:line="232" w:lineRule="auto"/>
        <w:rPr>
          <w:sz w:val="20"/>
          <w:szCs w:val="20"/>
          <w:color w:val="auto"/>
        </w:rPr>
      </w:pPr>
      <w:r>
        <w:rPr>
          <w:rFonts w:ascii="Arial" w:cs="Arial" w:eastAsia="Arial" w:hAnsi="Arial"/>
          <w:sz w:val="20"/>
          <w:szCs w:val="20"/>
          <w:color w:val="auto"/>
        </w:rPr>
        <w:t>The Nominating &amp; Corporate Governance Committee identifies nominees by first determining whether current Board members are willing to continue to serve and the appropriate size of the Board. If any Board member does not wish to continue to serve, if the Committee or Board decides not to nominate a member for re-election, or if there is otherwise a vacancy on the Board, then the Committee identifies the desired skills and experience in light of the criteria outlined above. The Committee then seeks potential Director candidates through recommendations from the Board, senior management, stockholders, and third parties. The Committee has and may in the future retain a search consultant to supplement potential Board candidates if it deems it advisable.</w:t>
      </w:r>
    </w:p>
    <w:p>
      <w:pPr>
        <w:spacing w:after="0" w:line="172"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Messrs. Adams, Kyees and Roth were nominated for re-election as a Director because the Board and Nominating &amp; Corporate Governance Committee believe that they have demonstrated leadership experience, deep knowledge of the Company, and specific industry experience. Mr. Burgdoerfer was nominated for re-election to the Board because of his extensive leadership in retail and significant financial expertise. The Board and the Committee believe that the skills and qualifications of each of the nominees, combined with each Director’s background and ability to work in a positive and collegial fashion, benefit the Company and its stockholders by creating a strong and effective Board.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881"/>
        <w:spacing w:after="0" w:line="221" w:lineRule="auto"/>
        <w:rPr>
          <w:sz w:val="20"/>
          <w:szCs w:val="20"/>
          <w:color w:val="auto"/>
        </w:rPr>
      </w:pPr>
      <w:r>
        <w:rPr>
          <w:rFonts w:ascii="Arial" w:cs="Arial" w:eastAsia="Arial" w:hAnsi="Arial"/>
          <w:sz w:val="20"/>
          <w:szCs w:val="20"/>
          <w:color w:val="auto"/>
        </w:rPr>
        <w:t>In connection with the initial public offering of the Company’s common stock on November 4, 2021 (the “IPO”), we entered into an investor rights agreement with the Freeman Spogli Funds</w:t>
      </w:r>
      <w:r>
        <w:rPr>
          <w:rFonts w:ascii="Arial" w:cs="Arial" w:eastAsia="Arial" w:hAnsi="Arial"/>
          <w:sz w:val="29"/>
          <w:szCs w:val="29"/>
          <w:color w:val="auto"/>
          <w:vertAlign w:val="superscript"/>
        </w:rPr>
        <w:t>2</w:t>
      </w:r>
      <w:r>
        <w:rPr>
          <w:rFonts w:ascii="Arial" w:cs="Arial" w:eastAsia="Arial" w:hAnsi="Arial"/>
          <w:sz w:val="20"/>
          <w:szCs w:val="20"/>
          <w:color w:val="auto"/>
        </w:rPr>
        <w:t>, our Founder, and the Class B Trusts</w:t>
      </w:r>
      <w:r>
        <w:rPr>
          <w:rFonts w:ascii="Arial" w:cs="Arial" w:eastAsia="Arial" w:hAnsi="Arial"/>
          <w:sz w:val="29"/>
          <w:szCs w:val="29"/>
          <w:color w:val="auto"/>
          <w:vertAlign w:val="superscript"/>
        </w:rPr>
        <w:t>3</w:t>
      </w:r>
      <w:r>
        <w:rPr>
          <w:rFonts w:ascii="Arial" w:cs="Arial" w:eastAsia="Arial" w:hAnsi="Arial"/>
          <w:sz w:val="20"/>
          <w:szCs w:val="20"/>
          <w:color w:val="auto"/>
        </w:rPr>
        <w:t xml:space="preserve"> (the “Investor Rights Agreement”), pursuant to which the Freeman Spogli Funds were entitled to nominate (a) two Directors for election to our Board of Directors for so long as the Freeman Spogli Funds collectively hold 60% or more of the shares of Class A common stock held by Freeman Spogli Funds immediately prior to the completion of the IPO, and (b) one Director for election to our Board of Directors for so long as the Freeman Spogli Funds collectively hold 20% or more of the shares of Class A common stock held by Freeman Spogli Funds immediately prior to the completion of the IPO. Pursuant to the terms of the Investor Rights Agreement, the Freeman Spogli Funds, our Founder, and the Class B Trusts agreed to vote in favor of Freeman Spogli Funds’ nominees and our Founder or his designee to our Board of Directors. In addition, subject to certain conditions, the Investor Rights Agreement provides the Freeman Spogli Funds with certain rights with respect to board committee membership, except to the extent that such membership would violate applicable securities laws or stock exchange or stock market rules.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The Freeman Spogli Funds nominated Messrs. Brutocao and Roth to serve as Directors in 2021, nominated</w:t>
      </w:r>
    </w:p>
    <w:p>
      <w:pPr>
        <w:spacing w:after="0" w:line="4" w:lineRule="exact"/>
        <w:rPr>
          <w:sz w:val="20"/>
          <w:szCs w:val="20"/>
          <w:color w:val="auto"/>
        </w:rPr>
      </w:pPr>
    </w:p>
    <w:p>
      <w:pPr>
        <w:ind w:left="120"/>
        <w:spacing w:after="0" w:line="231" w:lineRule="auto"/>
        <w:rPr>
          <w:sz w:val="20"/>
          <w:szCs w:val="20"/>
          <w:color w:val="auto"/>
        </w:rPr>
      </w:pPr>
      <w:r>
        <w:rPr>
          <w:rFonts w:ascii="Arial" w:cs="Arial" w:eastAsia="Arial" w:hAnsi="Arial"/>
          <w:sz w:val="20"/>
          <w:szCs w:val="20"/>
          <w:color w:val="auto"/>
        </w:rPr>
        <w:t>Mr. Roth for re-election to our Board of Directors in 2022, and nominated Mr. Brutocao for re-election to our Board of Directors in 2023. The Freeman Spogli Funds no longer hold shares of Class A common stock and the Investor Rights Agreement has been terminated. In connection with the Freeman Spogli Funds disposition of its holdings, Mr. Brutocao resigned from the Board of Directors in October 2023. Mr. Roth has been nominated by the Nominating &amp; Corporate Governance Committee for re-election to the Board of Directors.</w:t>
      </w:r>
    </w:p>
    <w:p>
      <w:pPr>
        <w:spacing w:after="0" w:line="171"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The Nominating &amp; Corporate Governance Committee will consider stockholder suggestions concerning qualified candidates for election as Directors. To recommend a prospective nominee for the Committee’s consideration, a stockholder must submit the candidate’s name and qualifications to the Company’s Secretary, Michael Nowak, at the following address: Arhaus, Inc., 51 E. Hines Hill Road, Boston Heights, Ohio 44236. The Committee has not established specific minimum qualifications a candidate must have in order to be recommended to the Board. However, in determining qualifications for new Directors, the Committee will consider potential members’ independence, as well as diversity, age, skill, and experience in the context of the Board’s needs.</w:t>
      </w:r>
    </w:p>
    <w:p>
      <w:pPr>
        <w:spacing w:after="0" w:line="172" w:lineRule="exact"/>
        <w:rPr>
          <w:sz w:val="20"/>
          <w:szCs w:val="20"/>
          <w:color w:val="auto"/>
        </w:rPr>
      </w:pPr>
    </w:p>
    <w:p>
      <w:pPr>
        <w:ind w:left="120" w:right="40" w:firstLine="881"/>
        <w:spacing w:after="0" w:line="241" w:lineRule="auto"/>
        <w:rPr>
          <w:sz w:val="20"/>
          <w:szCs w:val="20"/>
          <w:color w:val="auto"/>
        </w:rPr>
      </w:pPr>
      <w:r>
        <w:rPr>
          <w:rFonts w:ascii="Arial" w:cs="Arial" w:eastAsia="Arial" w:hAnsi="Arial"/>
          <w:sz w:val="20"/>
          <w:szCs w:val="20"/>
          <w:color w:val="auto"/>
        </w:rPr>
        <w:t>Stockholders who wish to nominate Directors directly for election at an annual meeting must do so in accordance with the procedures in our bylaws. See “STOCKHOLDER PROPOSALS FOR 2026 ANNUAL MEETING” for more information about the procedures for direct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22371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37" w:lineRule="exact"/>
        <w:rPr>
          <w:sz w:val="20"/>
          <w:szCs w:val="20"/>
          <w:color w:val="auto"/>
        </w:rPr>
      </w:pPr>
    </w:p>
    <w:p>
      <w:pPr>
        <w:ind w:left="120" w:hanging="4"/>
        <w:spacing w:after="0" w:line="208" w:lineRule="auto"/>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“Freeman Spogli Funds” refers to the FS Equity Partners VI, L.P. and FS Affiliates VI, L.P. funds affiliated with Freeman Spogli &amp; Co. Each of Messrs. Brad J. Brutocao, Bradford M. Freeman, Benjamin D. Geiger, Todd W. Halloran, John S. Hwang, Christian B. Johnson, Jon D. Ralph, John M. Roth, J. Frederick Simmons, and Ronald P. Spogli is a managing member of FS Capital Partners VI, LLC, the general partner of FS Equity Partners VI, L.P. and FS Affiliates VI, L.P.</w:t>
      </w:r>
    </w:p>
    <w:p>
      <w:pPr>
        <w:spacing w:after="0" w:line="1" w:lineRule="exact"/>
        <w:rPr>
          <w:rFonts w:ascii="Arial" w:cs="Arial" w:eastAsia="Arial" w:hAnsi="Arial"/>
          <w:sz w:val="22"/>
          <w:szCs w:val="22"/>
          <w:color w:val="auto"/>
          <w:vertAlign w:val="superscript"/>
        </w:rPr>
      </w:pPr>
    </w:p>
    <w:p>
      <w:pPr>
        <w:ind w:left="120" w:right="120"/>
        <w:spacing w:after="0" w:line="213"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The “Class B Trusts” include (i) the John P. Reed Trust dated 4/29/1985, as amended, or the 1985 Trust, of which Mr. Reed is trustee, (ii) the Reed 2013 Generation Skipping Trust, or the 2013 Trust, of which Messrs. Adams and Beargie are trustees, and (iii) the 2018 Reed Dynasty Trust, or the 2018 Trust, of which Messrs. Adams and Beargie are trustees.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Real Estate Committee</w:t>
      </w:r>
    </w:p>
    <w:p>
      <w:pPr>
        <w:spacing w:after="0" w:line="202" w:lineRule="exact"/>
        <w:rPr>
          <w:sz w:val="20"/>
          <w:szCs w:val="20"/>
          <w:color w:val="auto"/>
        </w:rPr>
      </w:pPr>
    </w:p>
    <w:p>
      <w:pPr>
        <w:ind w:left="120" w:right="320" w:firstLine="881"/>
        <w:spacing w:after="0" w:line="241" w:lineRule="auto"/>
        <w:rPr>
          <w:sz w:val="20"/>
          <w:szCs w:val="20"/>
          <w:color w:val="auto"/>
        </w:rPr>
      </w:pPr>
      <w:r>
        <w:rPr>
          <w:rFonts w:ascii="Arial" w:cs="Arial" w:eastAsia="Arial" w:hAnsi="Arial"/>
          <w:sz w:val="20"/>
          <w:szCs w:val="20"/>
          <w:color w:val="auto"/>
        </w:rPr>
        <w:t>Our Real Estate Committee consists of Rick Doody, Andrea Hyde, Gary Lewis, and John Roth, with Mr. Lewis serving as Chair. Our management team works with the Real Estate Committee to identify potential markets and attractive locations for new showrooms.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Technology Committee</w:t>
      </w:r>
    </w:p>
    <w:p>
      <w:pPr>
        <w:spacing w:after="0" w:line="202" w:lineRule="exact"/>
        <w:rPr>
          <w:sz w:val="20"/>
          <w:szCs w:val="20"/>
          <w:color w:val="auto"/>
        </w:rPr>
      </w:pPr>
    </w:p>
    <w:p>
      <w:pPr>
        <w:ind w:left="120" w:right="40" w:firstLine="881"/>
        <w:spacing w:after="0" w:line="232" w:lineRule="auto"/>
        <w:rPr>
          <w:sz w:val="20"/>
          <w:szCs w:val="20"/>
          <w:color w:val="auto"/>
        </w:rPr>
      </w:pPr>
      <w:r>
        <w:rPr>
          <w:rFonts w:ascii="Arial" w:cs="Arial" w:eastAsia="Arial" w:hAnsi="Arial"/>
          <w:sz w:val="20"/>
          <w:szCs w:val="20"/>
          <w:color w:val="auto"/>
        </w:rPr>
        <w:t>Our Technology Committee was established in November 2024 and consists of Stuart Burgdoerfer, Alexis DePree, and Gary Lewis, with Ms. DePree serving as Chair. The primary responsibility of the Technology Committee is to oversee the use of technology in executing our business strategies, including technology strategies, investments, and industry trends; cybersecurity programs and related risk management practices; and operational performance, technology-related business continuity, and disaster recovery efforts. At each regular meeting, the Technology Committee receives updates from our Chief Information Officer, among other members of management, on technology investments, IT programs and operations, and our information security programs, matters, and efforts.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Insider Trading Policy and Prohibition on Certain Transactions</w:t>
      </w:r>
    </w:p>
    <w:p>
      <w:pPr>
        <w:spacing w:after="0" w:line="202" w:lineRule="exact"/>
        <w:rPr>
          <w:sz w:val="20"/>
          <w:szCs w:val="20"/>
          <w:color w:val="auto"/>
        </w:rPr>
      </w:pPr>
    </w:p>
    <w:p>
      <w:pPr>
        <w:ind w:left="120" w:firstLine="881"/>
        <w:spacing w:after="0" w:line="230" w:lineRule="auto"/>
        <w:rPr>
          <w:sz w:val="20"/>
          <w:szCs w:val="20"/>
          <w:color w:val="auto"/>
        </w:rPr>
      </w:pPr>
      <w:r>
        <w:rPr>
          <w:rFonts w:ascii="Arial" w:cs="Arial" w:eastAsia="Arial" w:hAnsi="Arial"/>
          <w:sz w:val="20"/>
          <w:szCs w:val="20"/>
          <w:color w:val="auto"/>
        </w:rPr>
        <w:t>The Company has adopted an Insider Trading Policy pursuant to which each employee, officer and Director of the Company is prohibited from buying or selling our securities when he or she is aware of material, non-public information about the Company, or information about other public companies which he or she learns as our employee or Director. These individuals are also prohibited from providing such information to others. In addition, this policy prohibits officers and directors from engaging in short sales of Company stock and from buying or selling any derivative securities related to Company stock. Officers and Directors may not engage in hedging transactions or invest in financial instruments that are designed to hedge or offset any decrease in the market value of the Company’s securities. Directors and executive officers may not pledge Company securities as collateral for a loan. The Company complies with applicable securities laws when engaging in transactions of its securities. We believe our Insider Trading Policy and the Company’s procedures are reasonably designed to promote compliance with insider trading laws, and rules and regulations.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Contacting the Board of Directors</w:t>
      </w:r>
    </w:p>
    <w:p>
      <w:pPr>
        <w:spacing w:after="0" w:line="202" w:lineRule="exact"/>
        <w:rPr>
          <w:sz w:val="20"/>
          <w:szCs w:val="20"/>
          <w:color w:val="auto"/>
        </w:rPr>
      </w:pPr>
    </w:p>
    <w:p>
      <w:pPr>
        <w:ind w:left="120" w:right="380" w:firstLine="881"/>
        <w:spacing w:after="0" w:line="241" w:lineRule="auto"/>
        <w:rPr>
          <w:sz w:val="20"/>
          <w:szCs w:val="20"/>
          <w:color w:val="auto"/>
        </w:rPr>
      </w:pPr>
      <w:r>
        <w:rPr>
          <w:rFonts w:ascii="Arial" w:cs="Arial" w:eastAsia="Arial" w:hAnsi="Arial"/>
          <w:sz w:val="20"/>
          <w:szCs w:val="20"/>
          <w:color w:val="auto"/>
        </w:rPr>
        <w:t>Any stockholder who desires to contact our non-employee Directors may do so by writing to the Company’s Secretary, Michael Nowak, at the following address: Arhaus, Inc., 51 E. Hines Hill Road, Boston Heights, Ohio 44236. Our Secretary will forward all appropriate correspondence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BUSINESS CONDUCT AND ETHICS</w:t>
      </w:r>
    </w:p>
    <w:p>
      <w:pPr>
        <w:spacing w:after="0" w:line="280" w:lineRule="exact"/>
        <w:rPr>
          <w:sz w:val="20"/>
          <w:szCs w:val="20"/>
          <w:color w:val="auto"/>
        </w:rPr>
      </w:pPr>
    </w:p>
    <w:p>
      <w:pPr>
        <w:ind w:left="120" w:right="200" w:firstLine="1102"/>
        <w:spacing w:after="0" w:line="237" w:lineRule="auto"/>
        <w:rPr>
          <w:sz w:val="20"/>
          <w:szCs w:val="20"/>
          <w:color w:val="auto"/>
        </w:rPr>
      </w:pPr>
      <w:r>
        <w:rPr>
          <w:rFonts w:ascii="Arial" w:cs="Arial" w:eastAsia="Arial" w:hAnsi="Arial"/>
          <w:sz w:val="20"/>
          <w:szCs w:val="20"/>
          <w:color w:val="auto"/>
        </w:rPr>
        <w:t>The Company adopted a Code of Business Conduct and Ethics, available on our website at https://ir.arhaus.com/corporate-governance/governance-overview. It is our general policy to conduct business activities and transactions with the highest level of integrity and ethical standards and in accordance with all applicable laws. All Company Directors, officers, and employees are subject to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DIRECTOR COMPENSATION</w:t>
      </w:r>
    </w:p>
    <w:p>
      <w:pPr>
        <w:spacing w:after="0" w:line="280" w:lineRule="exact"/>
        <w:rPr>
          <w:sz w:val="20"/>
          <w:szCs w:val="20"/>
          <w:color w:val="auto"/>
        </w:rPr>
      </w:pPr>
    </w:p>
    <w:p>
      <w:pPr>
        <w:ind w:left="120" w:right="60" w:firstLine="1102"/>
        <w:spacing w:after="0" w:line="230" w:lineRule="auto"/>
        <w:rPr>
          <w:sz w:val="20"/>
          <w:szCs w:val="20"/>
          <w:color w:val="auto"/>
        </w:rPr>
      </w:pPr>
      <w:r>
        <w:rPr>
          <w:rFonts w:ascii="Arial" w:cs="Arial" w:eastAsia="Arial" w:hAnsi="Arial"/>
          <w:sz w:val="20"/>
          <w:szCs w:val="20"/>
          <w:color w:val="auto"/>
        </w:rPr>
        <w:t>Each non-employee Director, other than Mr. Roth, receives an annual retainer of $80,000. In addition, the non-employee Director serving as the Chair of our Audit Committee receives an additional annual retainer of $20,000, the Chairs of each of our Compensation Committee, Nominating and Corporate Governance Committee, Real Estate Committee and Technology Committee receive an additional annual retainer of $15,000, and the Independent Lead Director receives an additional annual retainer of $30,000, in each case earned on a quarterly basis. In 2024, each non-employee Director, other than Mr. Roth, also received an annual restricted stock unit award with a grant date value of $110,000, which generally vests in full one year after the date of grant, subject to the non-employee Director continuing in service through such date. The vesting of this award accelerates and vests in the event a Director’s service is terminated for any reason other than a removal in accordance with the Company’s Amended and Restated Bylaws.</w:t>
      </w:r>
    </w:p>
    <w:p>
      <w:pPr>
        <w:spacing w:after="0" w:line="176" w:lineRule="exact"/>
        <w:rPr>
          <w:sz w:val="20"/>
          <w:szCs w:val="20"/>
          <w:color w:val="auto"/>
        </w:rPr>
      </w:pPr>
    </w:p>
    <w:p>
      <w:pPr>
        <w:ind w:left="120" w:right="400" w:firstLine="881"/>
        <w:spacing w:after="0" w:line="257" w:lineRule="auto"/>
        <w:rPr>
          <w:sz w:val="20"/>
          <w:szCs w:val="20"/>
          <w:color w:val="auto"/>
        </w:rPr>
      </w:pPr>
      <w:r>
        <w:rPr>
          <w:rFonts w:ascii="Arial" w:cs="Arial" w:eastAsia="Arial" w:hAnsi="Arial"/>
          <w:sz w:val="20"/>
          <w:szCs w:val="20"/>
          <w:color w:val="auto"/>
        </w:rPr>
        <w:t>The following table sets forth the compensation paid to the Company’s non-employee Directors during the 2024 fiscal year.</w:t>
      </w:r>
    </w:p>
    <w:p>
      <w:pPr>
        <w:spacing w:after="0" w:line="184"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2640" w:type="dxa"/>
            <w:vAlign w:val="bottom"/>
            <w:tcBorders>
              <w:top w:val="single" w:sz="8" w:color="auto"/>
              <w:left w:val="single" w:sz="8" w:color="auto"/>
              <w:right w:val="single" w:sz="8" w:color="auto"/>
            </w:tcBorders>
          </w:tcPr>
          <w:p>
            <w:pPr>
              <w:spacing w:after="0"/>
              <w:rPr>
                <w:sz w:val="17"/>
                <w:szCs w:val="17"/>
                <w:color w:val="auto"/>
              </w:rPr>
            </w:pPr>
          </w:p>
        </w:tc>
        <w:tc>
          <w:tcPr>
            <w:tcW w:w="210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9"/>
              </w:rPr>
              <w:t>Fees Earned or</w:t>
            </w:r>
          </w:p>
        </w:tc>
        <w:tc>
          <w:tcPr>
            <w:tcW w:w="2100" w:type="dxa"/>
            <w:vAlign w:val="bottom"/>
            <w:tcBorders>
              <w:top w:val="single" w:sz="8" w:color="auto"/>
              <w:right w:val="single" w:sz="8" w:color="auto"/>
            </w:tcBorders>
          </w:tcPr>
          <w:p>
            <w:pPr>
              <w:spacing w:after="0"/>
              <w:rPr>
                <w:sz w:val="17"/>
                <w:szCs w:val="17"/>
                <w:color w:val="auto"/>
              </w:rPr>
            </w:pPr>
          </w:p>
        </w:tc>
        <w:tc>
          <w:tcPr>
            <w:tcW w:w="2080" w:type="dxa"/>
            <w:vAlign w:val="bottom"/>
            <w:tcBorders>
              <w:top w:val="single" w:sz="8" w:color="auto"/>
              <w:right w:val="single" w:sz="8" w:color="auto"/>
            </w:tcBorders>
          </w:tcPr>
          <w:p>
            <w:pPr>
              <w:ind w:left="700"/>
              <w:spacing w:after="0" w:line="197" w:lineRule="exact"/>
              <w:rPr>
                <w:sz w:val="20"/>
                <w:szCs w:val="20"/>
                <w:color w:val="auto"/>
              </w:rPr>
            </w:pPr>
            <w:r>
              <w:rPr>
                <w:rFonts w:ascii="Arial" w:cs="Arial" w:eastAsia="Arial" w:hAnsi="Arial"/>
                <w:sz w:val="18"/>
                <w:szCs w:val="18"/>
                <w:b w:val="1"/>
                <w:bCs w:val="1"/>
                <w:color w:val="auto"/>
              </w:rPr>
              <w:t>All Other</w:t>
            </w:r>
          </w:p>
        </w:tc>
        <w:tc>
          <w:tcPr>
            <w:tcW w:w="2120" w:type="dxa"/>
            <w:vAlign w:val="bottom"/>
            <w:tcBorders>
              <w:top w:val="single" w:sz="8" w:color="auto"/>
              <w:right w:val="single" w:sz="8" w:color="auto"/>
            </w:tcBorders>
          </w:tcPr>
          <w:p>
            <w:pPr>
              <w:spacing w:after="0"/>
              <w:rPr>
                <w:sz w:val="17"/>
                <w:szCs w:val="17"/>
                <w:color w:val="auto"/>
              </w:rPr>
            </w:pPr>
          </w:p>
        </w:tc>
      </w:tr>
      <w:tr>
        <w:trPr>
          <w:trHeight w:val="221"/>
        </w:trPr>
        <w:tc>
          <w:tcPr>
            <w:tcW w:w="2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Name</w:t>
            </w:r>
          </w:p>
        </w:tc>
        <w:tc>
          <w:tcPr>
            <w:tcW w:w="21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Paid in Cash</w:t>
            </w:r>
          </w:p>
        </w:tc>
        <w:tc>
          <w:tcPr>
            <w:tcW w:w="21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Stock Awards(1)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Compensation(3)</w:t>
            </w:r>
          </w:p>
        </w:tc>
        <w:tc>
          <w:tcPr>
            <w:tcW w:w="212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Total</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Albert Adams</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rPr>
              <w:t>$125,000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$235,014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Bill Beargie</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$80,000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$190,014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Stuart Burgdoerfer (2)</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$46,667</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$110,012</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$156,679</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Alexis DePree</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$83,750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$193,764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Rick Doody</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$80,000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$190,014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Andrea Hyde</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$95,000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$205,014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John Kyees</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rPr>
              <w:t>$100,000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$210,014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Gary Lewis</w:t>
            </w:r>
          </w:p>
        </w:tc>
        <w:tc>
          <w:tcPr>
            <w:tcW w:w="210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4"/>
              </w:rPr>
              <w:t>  $95,000</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$110,014</w:t>
            </w:r>
          </w:p>
        </w:tc>
        <w:tc>
          <w:tcPr>
            <w:tcW w:w="20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$36,000</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$241,014</w:t>
            </w:r>
          </w:p>
        </w:tc>
      </w:tr>
      <w:tr>
        <w:trPr>
          <w:trHeight w:val="196"/>
        </w:trPr>
        <w:tc>
          <w:tcPr>
            <w:tcW w:w="26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John M. Roth</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right w:val="single" w:sz="8" w:color="auto"/>
            </w:tcBorders>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r>
    </w:tbl>
    <w:p>
      <w:pPr>
        <w:spacing w:after="0" w:line="221" w:lineRule="exact"/>
        <w:rPr>
          <w:sz w:val="20"/>
          <w:szCs w:val="20"/>
          <w:color w:val="auto"/>
        </w:rPr>
      </w:pPr>
    </w:p>
    <w:p>
      <w:pPr>
        <w:ind w:left="1980" w:right="240" w:hanging="987"/>
        <w:spacing w:after="0" w:line="241" w:lineRule="auto"/>
        <w:tabs>
          <w:tab w:leader="none" w:pos="1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Represents grant date fair value of RSU awards. Except for the award to Mr. Burgdoerfer, the awards were granted on May 16, 2024, and valued based on that day’s closing price of $16.42. All awards will vest on May 16, 2025, if the individual remains a director until that date.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980" w:right="60" w:hanging="987"/>
        <w:spacing w:after="0" w:line="241" w:lineRule="auto"/>
        <w:tabs>
          <w:tab w:leader="none" w:pos="1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Mr. Burgdoerfer was appointed to the Board on June 18, 2024. Mr. Burgdoerfer’s stock award was granted on July 1, 2024 and valued based on that day’s closing price of $15.82. This award will vest on May 16, 2025.</w:t>
      </w:r>
    </w:p>
    <w:p>
      <w:pPr>
        <w:spacing w:after="0" w:line="76" w:lineRule="exact"/>
        <w:rPr>
          <w:rFonts w:ascii="Arial" w:cs="Arial" w:eastAsia="Arial" w:hAnsi="Arial"/>
          <w:sz w:val="20"/>
          <w:szCs w:val="20"/>
          <w:color w:val="auto"/>
        </w:rPr>
      </w:pPr>
    </w:p>
    <w:p>
      <w:pPr>
        <w:ind w:left="1980" w:hanging="987"/>
        <w:spacing w:after="0" w:line="257" w:lineRule="auto"/>
        <w:tabs>
          <w:tab w:leader="none" w:pos="1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Represents fees related to a consulting agreement for certain real estate services that was executed on November 29, 2023.</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40"/>
          </w:cols>
          <w:pgMar w:left="320" w:top="482"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right="40" w:firstLine="881"/>
        <w:spacing w:after="0" w:line="232" w:lineRule="auto"/>
        <w:rPr>
          <w:sz w:val="20"/>
          <w:szCs w:val="20"/>
          <w:color w:val="auto"/>
        </w:rPr>
      </w:pPr>
      <w:r>
        <w:rPr>
          <w:rFonts w:ascii="Arial" w:cs="Arial" w:eastAsia="Arial" w:hAnsi="Arial"/>
          <w:sz w:val="20"/>
          <w:szCs w:val="20"/>
          <w:color w:val="auto"/>
        </w:rPr>
        <w:t>The following table sets forth information regarding the beneficial ownership of Company common stock as of March 17, 2025 with respect to each person known to be a beneficial owner of more than five percent (5%) of the outstanding common stock and each Director and named executive officer of the Company, individually and as a group.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in the table or footnotes below, the address for each beneficial owner is c/o Arhaus, Inc., 51 E. Hines Hill Road, Boston Heights, Ohio 44236.</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Class A Common</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48"/>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Class B Common</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Beneficially</w:t>
            </w:r>
          </w:p>
        </w:tc>
        <w:tc>
          <w:tcPr>
            <w:tcW w:w="1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 Beneficially</w:t>
            </w:r>
          </w:p>
        </w:tc>
        <w:tc>
          <w:tcPr>
            <w:tcW w:w="1260" w:type="dxa"/>
            <w:vAlign w:val="bottom"/>
          </w:tcPr>
          <w:p>
            <w:pPr>
              <w:jc w:val="center"/>
              <w:ind w:left="428"/>
              <w:spacing w:after="0"/>
              <w:rPr>
                <w:sz w:val="20"/>
                <w:szCs w:val="20"/>
                <w:color w:val="auto"/>
              </w:rPr>
            </w:pPr>
            <w:r>
              <w:rPr>
                <w:rFonts w:ascii="Arial" w:cs="Arial" w:eastAsia="Arial" w:hAnsi="Arial"/>
                <w:sz w:val="14"/>
                <w:szCs w:val="14"/>
                <w:b w:val="1"/>
                <w:bCs w:val="1"/>
                <w:color w:val="auto"/>
              </w:rPr>
              <w:t>Combined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spacing w:after="0"/>
              <w:rPr>
                <w:sz w:val="14"/>
                <w:szCs w:val="14"/>
                <w:color w:val="auto"/>
              </w:rPr>
            </w:pPr>
          </w:p>
        </w:tc>
        <w:tc>
          <w:tcPr>
            <w:tcW w:w="1140" w:type="dxa"/>
            <w:vAlign w:val="bottom"/>
          </w:tcPr>
          <w:p>
            <w:pPr>
              <w:jc w:val="center"/>
              <w:ind w:left="348"/>
              <w:spacing w:after="0"/>
              <w:rPr>
                <w:sz w:val="20"/>
                <w:szCs w:val="20"/>
                <w:color w:val="auto"/>
              </w:rPr>
            </w:pPr>
            <w:r>
              <w:rPr>
                <w:rFonts w:ascii="Arial" w:cs="Arial" w:eastAsia="Arial" w:hAnsi="Arial"/>
                <w:sz w:val="14"/>
                <w:szCs w:val="14"/>
                <w:b w:val="1"/>
                <w:bCs w:val="1"/>
                <w:color w:val="auto"/>
              </w:rPr>
              <w:t>Owned (1)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left="488"/>
              <w:spacing w:after="0"/>
              <w:rPr>
                <w:sz w:val="20"/>
                <w:szCs w:val="20"/>
                <w:color w:val="auto"/>
              </w:rPr>
            </w:pPr>
            <w:r>
              <w:rPr>
                <w:rFonts w:ascii="Arial" w:cs="Arial" w:eastAsia="Arial" w:hAnsi="Arial"/>
                <w:sz w:val="14"/>
                <w:szCs w:val="14"/>
                <w:b w:val="1"/>
                <w:bCs w:val="1"/>
                <w:color w:val="auto"/>
              </w:rPr>
              <w:t>Owned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Voting Power (2)</w:t>
            </w:r>
          </w:p>
        </w:tc>
        <w:tc>
          <w:tcPr>
            <w:tcW w:w="0" w:type="dxa"/>
            <w:vAlign w:val="bottom"/>
          </w:tcPr>
          <w:p>
            <w:pPr>
              <w:spacing w:after="0"/>
              <w:rPr>
                <w:sz w:val="1"/>
                <w:szCs w:val="1"/>
                <w:color w:val="auto"/>
              </w:rPr>
            </w:pPr>
          </w:p>
        </w:tc>
      </w:tr>
      <w:tr>
        <w:trPr>
          <w:trHeight w:val="163"/>
        </w:trPr>
        <w:tc>
          <w:tcPr>
            <w:tcW w:w="5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Number</w:t>
            </w:r>
          </w:p>
        </w:tc>
        <w:tc>
          <w:tcPr>
            <w:tcW w:w="5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5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b w:val="1"/>
                <w:bCs w:val="1"/>
                <w:color w:val="auto"/>
              </w:rPr>
              <w:t>  5% Stockholders</w:t>
            </w:r>
          </w:p>
        </w:tc>
        <w:tc>
          <w:tcPr>
            <w:tcW w:w="120" w:type="dxa"/>
            <w:vAlign w:val="bottom"/>
            <w:tcBorders>
              <w:bottom w:val="single" w:sz="8" w:color="F2F2F2"/>
            </w:tcBorders>
            <w:shd w:val="clear" w:color="auto" w:fill="F2F2F2"/>
          </w:tcPr>
          <w:p>
            <w:pPr>
              <w:spacing w:after="0"/>
              <w:rPr>
                <w:sz w:val="24"/>
                <w:szCs w:val="24"/>
                <w:color w:val="auto"/>
              </w:rPr>
            </w:pPr>
          </w:p>
        </w:tc>
        <w:tc>
          <w:tcPr>
            <w:tcW w:w="1140" w:type="dxa"/>
            <w:vAlign w:val="bottom"/>
            <w:tcBorders>
              <w:bottom w:val="single" w:sz="8" w:color="F2F2F2"/>
            </w:tcBorders>
            <w:shd w:val="clear" w:color="auto" w:fill="F2F2F2"/>
          </w:tcPr>
          <w:p>
            <w:pPr>
              <w:spacing w:after="0"/>
              <w:rPr>
                <w:sz w:val="24"/>
                <w:szCs w:val="24"/>
                <w:color w:val="auto"/>
              </w:rPr>
            </w:pPr>
          </w:p>
        </w:tc>
        <w:tc>
          <w:tcPr>
            <w:tcW w:w="440" w:type="dxa"/>
            <w:vAlign w:val="bottom"/>
            <w:tcBorders>
              <w:bottom w:val="single" w:sz="8" w:color="F2F2F2"/>
            </w:tcBorders>
            <w:shd w:val="clear" w:color="auto" w:fill="F2F2F2"/>
          </w:tcPr>
          <w:p>
            <w:pPr>
              <w:spacing w:after="0"/>
              <w:rPr>
                <w:sz w:val="24"/>
                <w:szCs w:val="24"/>
                <w:color w:val="auto"/>
              </w:rPr>
            </w:pPr>
          </w:p>
        </w:tc>
        <w:tc>
          <w:tcPr>
            <w:tcW w:w="140" w:type="dxa"/>
            <w:vAlign w:val="bottom"/>
            <w:tcBorders>
              <w:bottom w:val="single" w:sz="8" w:color="F2F2F2"/>
            </w:tcBorders>
            <w:shd w:val="clear" w:color="auto" w:fill="F2F2F2"/>
          </w:tcPr>
          <w:p>
            <w:pPr>
              <w:spacing w:after="0"/>
              <w:rPr>
                <w:sz w:val="24"/>
                <w:szCs w:val="24"/>
                <w:color w:val="auto"/>
              </w:rPr>
            </w:pPr>
          </w:p>
        </w:tc>
        <w:tc>
          <w:tcPr>
            <w:tcW w:w="1160" w:type="dxa"/>
            <w:vAlign w:val="bottom"/>
            <w:tcBorders>
              <w:bottom w:val="single" w:sz="8" w:color="F2F2F2"/>
            </w:tcBorders>
            <w:shd w:val="clear" w:color="auto" w:fill="F2F2F2"/>
          </w:tcPr>
          <w:p>
            <w:pPr>
              <w:spacing w:after="0"/>
              <w:rPr>
                <w:sz w:val="24"/>
                <w:szCs w:val="24"/>
                <w:color w:val="auto"/>
              </w:rPr>
            </w:pPr>
          </w:p>
        </w:tc>
        <w:tc>
          <w:tcPr>
            <w:tcW w:w="560" w:type="dxa"/>
            <w:vAlign w:val="bottom"/>
            <w:tcBorders>
              <w:bottom w:val="single" w:sz="8" w:color="F2F2F2"/>
            </w:tcBorders>
            <w:shd w:val="clear" w:color="auto" w:fill="F2F2F2"/>
          </w:tcPr>
          <w:p>
            <w:pPr>
              <w:spacing w:after="0"/>
              <w:rPr>
                <w:sz w:val="24"/>
                <w:szCs w:val="24"/>
                <w:color w:val="auto"/>
              </w:rPr>
            </w:pPr>
          </w:p>
        </w:tc>
        <w:tc>
          <w:tcPr>
            <w:tcW w:w="140" w:type="dxa"/>
            <w:vAlign w:val="bottom"/>
            <w:tcBorders>
              <w:bottom w:val="single" w:sz="8" w:color="F2F2F2"/>
            </w:tcBorders>
            <w:shd w:val="clear" w:color="auto" w:fill="F2F2F2"/>
          </w:tcPr>
          <w:p>
            <w:pPr>
              <w:spacing w:after="0"/>
              <w:rPr>
                <w:sz w:val="24"/>
                <w:szCs w:val="24"/>
                <w:color w:val="auto"/>
              </w:rPr>
            </w:pPr>
          </w:p>
        </w:tc>
        <w:tc>
          <w:tcPr>
            <w:tcW w:w="1260" w:type="dxa"/>
            <w:vAlign w:val="bottom"/>
            <w:tcBorders>
              <w:bottom w:val="single" w:sz="8" w:color="F2F2F2"/>
            </w:tcBorders>
            <w:shd w:val="clear" w:color="auto" w:fill="F2F2F2"/>
          </w:tcPr>
          <w:p>
            <w:pPr>
              <w:spacing w:after="0"/>
              <w:rPr>
                <w:sz w:val="24"/>
                <w:szCs w:val="24"/>
                <w:color w:val="auto"/>
              </w:rPr>
            </w:pPr>
          </w:p>
        </w:tc>
        <w:tc>
          <w:tcPr>
            <w:tcW w:w="500" w:type="dxa"/>
            <w:vAlign w:val="bottom"/>
            <w:tcBorders>
              <w:bottom w:val="single" w:sz="8" w:color="F2F2F2"/>
            </w:tcBorders>
            <w:shd w:val="clear" w:color="auto" w:fill="F2F2F2"/>
          </w:tcPr>
          <w:p>
            <w:pPr>
              <w:spacing w:after="0"/>
              <w:rPr>
                <w:sz w:val="24"/>
                <w:szCs w:val="24"/>
                <w:color w:val="auto"/>
              </w:rPr>
            </w:pPr>
          </w:p>
        </w:tc>
        <w:tc>
          <w:tcPr>
            <w:tcW w:w="6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Wasatch Advisors LP (3)</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12,059,711</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8.58%</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12,059,711</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The Vanguard Group (4)</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5,012,385</w:t>
            </w:r>
          </w:p>
        </w:tc>
        <w:tc>
          <w:tcPr>
            <w:tcW w:w="5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3.56%</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5,012,385</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BlackRock, Inc. (5)</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4,042,967</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2.87%</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4,042,967</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290"/>
        </w:trPr>
        <w:tc>
          <w:tcPr>
            <w:tcW w:w="55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b w:val="1"/>
                <w:bCs w:val="1"/>
                <w:color w:val="auto"/>
              </w:rPr>
              <w:t>  Named Executive Officers and Directors</w:t>
            </w:r>
          </w:p>
        </w:tc>
        <w:tc>
          <w:tcPr>
            <w:tcW w:w="120" w:type="dxa"/>
            <w:vAlign w:val="bottom"/>
            <w:tcBorders>
              <w:bottom w:val="single" w:sz="8" w:color="F2F2F2"/>
            </w:tcBorders>
            <w:shd w:val="clear" w:color="auto" w:fill="F2F2F2"/>
          </w:tcPr>
          <w:p>
            <w:pPr>
              <w:spacing w:after="0"/>
              <w:rPr>
                <w:sz w:val="24"/>
                <w:szCs w:val="24"/>
                <w:color w:val="auto"/>
              </w:rPr>
            </w:pPr>
          </w:p>
        </w:tc>
        <w:tc>
          <w:tcPr>
            <w:tcW w:w="1140" w:type="dxa"/>
            <w:vAlign w:val="bottom"/>
            <w:tcBorders>
              <w:bottom w:val="single" w:sz="8" w:color="F2F2F2"/>
            </w:tcBorders>
            <w:shd w:val="clear" w:color="auto" w:fill="F2F2F2"/>
          </w:tcPr>
          <w:p>
            <w:pPr>
              <w:spacing w:after="0"/>
              <w:rPr>
                <w:sz w:val="24"/>
                <w:szCs w:val="24"/>
                <w:color w:val="auto"/>
              </w:rPr>
            </w:pPr>
          </w:p>
        </w:tc>
        <w:tc>
          <w:tcPr>
            <w:tcW w:w="440" w:type="dxa"/>
            <w:vAlign w:val="bottom"/>
            <w:tcBorders>
              <w:bottom w:val="single" w:sz="8" w:color="F2F2F2"/>
            </w:tcBorders>
            <w:shd w:val="clear" w:color="auto" w:fill="F2F2F2"/>
          </w:tcPr>
          <w:p>
            <w:pPr>
              <w:spacing w:after="0"/>
              <w:rPr>
                <w:sz w:val="24"/>
                <w:szCs w:val="24"/>
                <w:color w:val="auto"/>
              </w:rPr>
            </w:pPr>
          </w:p>
        </w:tc>
        <w:tc>
          <w:tcPr>
            <w:tcW w:w="140" w:type="dxa"/>
            <w:vAlign w:val="bottom"/>
            <w:tcBorders>
              <w:bottom w:val="single" w:sz="8" w:color="F2F2F2"/>
            </w:tcBorders>
            <w:shd w:val="clear" w:color="auto" w:fill="F2F2F2"/>
          </w:tcPr>
          <w:p>
            <w:pPr>
              <w:spacing w:after="0"/>
              <w:rPr>
                <w:sz w:val="24"/>
                <w:szCs w:val="24"/>
                <w:color w:val="auto"/>
              </w:rPr>
            </w:pPr>
          </w:p>
        </w:tc>
        <w:tc>
          <w:tcPr>
            <w:tcW w:w="1160" w:type="dxa"/>
            <w:vAlign w:val="bottom"/>
            <w:tcBorders>
              <w:bottom w:val="single" w:sz="8" w:color="F2F2F2"/>
            </w:tcBorders>
            <w:shd w:val="clear" w:color="auto" w:fill="F2F2F2"/>
          </w:tcPr>
          <w:p>
            <w:pPr>
              <w:spacing w:after="0"/>
              <w:rPr>
                <w:sz w:val="24"/>
                <w:szCs w:val="24"/>
                <w:color w:val="auto"/>
              </w:rPr>
            </w:pPr>
          </w:p>
        </w:tc>
        <w:tc>
          <w:tcPr>
            <w:tcW w:w="560" w:type="dxa"/>
            <w:vAlign w:val="bottom"/>
            <w:tcBorders>
              <w:bottom w:val="single" w:sz="8" w:color="F2F2F2"/>
            </w:tcBorders>
            <w:shd w:val="clear" w:color="auto" w:fill="F2F2F2"/>
          </w:tcPr>
          <w:p>
            <w:pPr>
              <w:spacing w:after="0"/>
              <w:rPr>
                <w:sz w:val="24"/>
                <w:szCs w:val="24"/>
                <w:color w:val="auto"/>
              </w:rPr>
            </w:pPr>
          </w:p>
        </w:tc>
        <w:tc>
          <w:tcPr>
            <w:tcW w:w="140" w:type="dxa"/>
            <w:vAlign w:val="bottom"/>
            <w:tcBorders>
              <w:bottom w:val="single" w:sz="8" w:color="F2F2F2"/>
            </w:tcBorders>
            <w:shd w:val="clear" w:color="auto" w:fill="F2F2F2"/>
          </w:tcPr>
          <w:p>
            <w:pPr>
              <w:spacing w:after="0"/>
              <w:rPr>
                <w:sz w:val="24"/>
                <w:szCs w:val="24"/>
                <w:color w:val="auto"/>
              </w:rPr>
            </w:pPr>
          </w:p>
        </w:tc>
        <w:tc>
          <w:tcPr>
            <w:tcW w:w="1260" w:type="dxa"/>
            <w:vAlign w:val="bottom"/>
            <w:tcBorders>
              <w:bottom w:val="single" w:sz="8" w:color="F2F2F2"/>
            </w:tcBorders>
            <w:shd w:val="clear" w:color="auto" w:fill="F2F2F2"/>
          </w:tcPr>
          <w:p>
            <w:pPr>
              <w:spacing w:after="0"/>
              <w:rPr>
                <w:sz w:val="24"/>
                <w:szCs w:val="24"/>
                <w:color w:val="auto"/>
              </w:rPr>
            </w:pPr>
          </w:p>
        </w:tc>
        <w:tc>
          <w:tcPr>
            <w:tcW w:w="500" w:type="dxa"/>
            <w:vAlign w:val="bottom"/>
            <w:tcBorders>
              <w:bottom w:val="single" w:sz="8" w:color="F2F2F2"/>
            </w:tcBorders>
            <w:shd w:val="clear" w:color="auto" w:fill="F2F2F2"/>
          </w:tcPr>
          <w:p>
            <w:pPr>
              <w:spacing w:after="0"/>
              <w:rPr>
                <w:sz w:val="24"/>
                <w:szCs w:val="24"/>
                <w:color w:val="auto"/>
              </w:rPr>
            </w:pPr>
          </w:p>
        </w:tc>
        <w:tc>
          <w:tcPr>
            <w:tcW w:w="6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John Reed (6)</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51,969</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45,078,259</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32.05%</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45,130,228</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Dawn Phillipson (7)</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555,647</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555,647</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Lisa Chi</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145,600</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145,600</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Jennifer Porter</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469,720</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469,720</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Kathy Veltri</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439,552</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439,552</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Albert Adams (8)</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65,401</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42,037,341</w:t>
            </w:r>
          </w:p>
        </w:tc>
        <w:tc>
          <w:tcPr>
            <w:tcW w:w="70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29.89%</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42,102,742</w:t>
            </w:r>
          </w:p>
        </w:tc>
        <w:tc>
          <w:tcPr>
            <w:tcW w:w="5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Bill Beargie (8)</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57,901</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42,037,341</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29.89%</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42,095,242</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Rick Doody</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73,671</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73,671</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Andrea Hyde</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40,401</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40,401</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John Kyees</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40,401</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40,401</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Gary Lewis</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40,401</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40,401</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John Roth (9)</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471,638</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471,638</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  Alexis DePree</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21,270</w:t>
            </w: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    </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21,270</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62"/>
        </w:trPr>
        <w:tc>
          <w:tcPr>
            <w:tcW w:w="5500" w:type="dxa"/>
            <w:vAlign w:val="bottom"/>
            <w:shd w:val="clear" w:color="auto" w:fill="F2F2F2"/>
          </w:tcPr>
          <w:p>
            <w:pPr>
              <w:spacing w:after="0"/>
              <w:rPr>
                <w:sz w:val="20"/>
                <w:szCs w:val="20"/>
                <w:color w:val="auto"/>
              </w:rPr>
            </w:pPr>
            <w:r>
              <w:rPr>
                <w:rFonts w:ascii="Arial" w:cs="Arial" w:eastAsia="Arial" w:hAnsi="Arial"/>
                <w:sz w:val="14"/>
                <w:szCs w:val="14"/>
                <w:color w:val="auto"/>
              </w:rPr>
              <w:t>  Stuart Burgdoerfer</w:t>
            </w:r>
          </w:p>
        </w:tc>
        <w:tc>
          <w:tcPr>
            <w:tcW w:w="126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6,954</w:t>
            </w:r>
          </w:p>
        </w:tc>
        <w:tc>
          <w:tcPr>
            <w:tcW w:w="58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 xml:space="preserve">*    </w:t>
            </w:r>
          </w:p>
        </w:tc>
        <w:tc>
          <w:tcPr>
            <w:tcW w:w="116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2F2F2"/>
          </w:tcPr>
          <w:p>
            <w:pPr>
              <w:ind w:left="38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6,954</w:t>
            </w:r>
          </w:p>
        </w:tc>
        <w:tc>
          <w:tcPr>
            <w:tcW w:w="560" w:type="dxa"/>
            <w:vAlign w:val="bottom"/>
            <w:gridSpan w:val="2"/>
            <w:shd w:val="clear" w:color="auto" w:fill="F2F2F2"/>
          </w:tcPr>
          <w:p>
            <w:pPr>
              <w:ind w:left="4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96"/>
        </w:trPr>
        <w:tc>
          <w:tcPr>
            <w:tcW w:w="5500" w:type="dxa"/>
            <w:vAlign w:val="bottom"/>
          </w:tcPr>
          <w:p>
            <w:pPr>
              <w:ind w:left="60"/>
              <w:spacing w:after="0"/>
              <w:rPr>
                <w:sz w:val="20"/>
                <w:szCs w:val="20"/>
                <w:color w:val="auto"/>
              </w:rPr>
            </w:pPr>
            <w:r>
              <w:rPr>
                <w:rFonts w:ascii="Arial" w:cs="Arial" w:eastAsia="Arial" w:hAnsi="Arial"/>
                <w:sz w:val="14"/>
                <w:szCs w:val="14"/>
                <w:b w:val="1"/>
                <w:bCs w:val="1"/>
                <w:color w:val="auto"/>
              </w:rPr>
              <w:t>All current executive officers and Directors as a group (14 individuals)</w:t>
            </w: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2,034,101</w:t>
            </w: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1.45%</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87,115,600</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61.95%</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89,149,701</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94.43%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123" w:lineRule="exact"/>
        <w:rPr>
          <w:sz w:val="20"/>
          <w:szCs w:val="20"/>
          <w:color w:val="auto"/>
        </w:rPr>
      </w:pPr>
    </w:p>
    <w:p>
      <w:pPr>
        <w:ind w:left="980" w:right="180" w:hanging="432"/>
        <w:spacing w:after="0" w:line="248"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Beneficial ownership excludes unvested RSUs and PSUs that will not vest within 60 days of March 17, 2025. The number of unvested RSUs held is 6,700 for each current non-employee director, which vest within 60 days, with the exception of Mr. Roth, who holds 0 unvested RSUs and Mr. Burgdoerfer, who holds 6,954 RSUs. Ms. Chi holds 34,670 unvested PSUs and 731,043 unvested RSUs. Ms. Porter holds 34,670 unvested PSUs and 464,376 unvested RSUs.</w:t>
      </w:r>
    </w:p>
    <w:p>
      <w:pPr>
        <w:ind w:left="980"/>
        <w:spacing w:after="0"/>
        <w:rPr>
          <w:rFonts w:ascii="Arial" w:cs="Arial" w:eastAsia="Arial" w:hAnsi="Arial"/>
          <w:sz w:val="14"/>
          <w:szCs w:val="14"/>
          <w:color w:val="auto"/>
        </w:rPr>
      </w:pPr>
      <w:r>
        <w:rPr>
          <w:rFonts w:ascii="Arial" w:cs="Arial" w:eastAsia="Arial" w:hAnsi="Arial"/>
          <w:sz w:val="14"/>
          <w:szCs w:val="14"/>
          <w:color w:val="auto"/>
        </w:rPr>
        <w:t>Ms. Veltri holds 34,670 unvested PSUs and 264,376 unvested RSUs.</w:t>
      </w:r>
    </w:p>
    <w:p>
      <w:pPr>
        <w:spacing w:after="0" w:line="108" w:lineRule="exact"/>
        <w:rPr>
          <w:rFonts w:ascii="Arial" w:cs="Arial" w:eastAsia="Arial" w:hAnsi="Arial"/>
          <w:sz w:val="14"/>
          <w:szCs w:val="14"/>
          <w:color w:val="auto"/>
        </w:rPr>
      </w:pPr>
    </w:p>
    <w:p>
      <w:pPr>
        <w:ind w:left="980" w:right="40" w:hanging="432"/>
        <w:spacing w:after="0" w:line="263"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share of Class A common stock and each share of Class B common stock entitles the registered holder thereof to one vote and ten votes per share, respectively, on all matters presented to stockholders for a vote generally.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980" w:right="340" w:hanging="432"/>
        <w:spacing w:after="0" w:line="285"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upon a Schedule 13G/A filed on November 13, 2024, Wasatch Advisors LP reported beneficial ownership of 12,059,711 shares of Class A common stock, as of September 30, 2024. The business address of Wasatch Advisors LP is 505 Wakara Way, Salt Lake City, UT 84108.</w:t>
      </w:r>
    </w:p>
    <w:p>
      <w:pPr>
        <w:spacing w:after="0" w:line="63" w:lineRule="exact"/>
        <w:rPr>
          <w:rFonts w:ascii="Arial" w:cs="Arial" w:eastAsia="Arial" w:hAnsi="Arial"/>
          <w:sz w:val="14"/>
          <w:szCs w:val="14"/>
          <w:color w:val="auto"/>
        </w:rPr>
      </w:pPr>
    </w:p>
    <w:p>
      <w:pPr>
        <w:ind w:left="980" w:right="20" w:hanging="432"/>
        <w:spacing w:after="0" w:line="256"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upon a Schedule 13G/A filed on November 12, 2024, The Vanguard Group reported beneficial ownership of 5,012,385 shares of Class A common stock, as of September 30, 2024, as follows: shared voting power over 82,220 shares of Class A common stock, sole dispositive power over 4,887,335 shares of Class A common stock, and shared dispositive power over 125,050 shares of Class A common stock. The business address of The Vanguard Group is 100 Vanguard Blvd., Malvern, PA 19355.</w:t>
      </w:r>
    </w:p>
    <w:p>
      <w:pPr>
        <w:spacing w:after="0" w:line="82" w:lineRule="exact"/>
        <w:rPr>
          <w:rFonts w:ascii="Arial" w:cs="Arial" w:eastAsia="Arial" w:hAnsi="Arial"/>
          <w:sz w:val="14"/>
          <w:szCs w:val="14"/>
          <w:color w:val="auto"/>
        </w:rPr>
      </w:pPr>
    </w:p>
    <w:p>
      <w:pPr>
        <w:ind w:left="980" w:right="220" w:hanging="432"/>
        <w:spacing w:after="0" w:line="285"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upon a Schedule 13G filed on November 8, 2024, BlackRock, Inc. reported beneficial ownership of 4,042,967 shares of Class A common stock, as of September 30, 2024. The business address of BlackRock, Inc. is 50 Hudson Yards, New York, NY 10001.</w:t>
      </w:r>
    </w:p>
    <w:p>
      <w:pPr>
        <w:spacing w:after="0" w:line="63" w:lineRule="exact"/>
        <w:rPr>
          <w:rFonts w:ascii="Arial" w:cs="Arial" w:eastAsia="Arial" w:hAnsi="Arial"/>
          <w:sz w:val="14"/>
          <w:szCs w:val="14"/>
          <w:color w:val="auto"/>
        </w:rPr>
      </w:pPr>
    </w:p>
    <w:p>
      <w:pPr>
        <w:ind w:left="980" w:right="80" w:hanging="432"/>
        <w:spacing w:after="0" w:line="256"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(i) 10,769 shares of Class A common stock held by John P. Reed directly, (ii) 200 shares of Class A common stock held by Mr. Reed indirectly, as custodian for the benefit of a minor child, (iii) 41,000 shares of Class A common stock held by the John P. Reed Trust dated 4/29/1985, as amended, of which Mr. Reed is trustee, (iv) 2,982,988 shares of Class B common stock held by Mr. Reed directly and (v) 42,095,271 shares of Class B common stock held by the John P. Reed Trust dated 4/29/1985, as amended, of which Mr. Reed is trustee.</w:t>
      </w:r>
    </w:p>
    <w:p>
      <w:pPr>
        <w:spacing w:after="0" w:line="82" w:lineRule="exact"/>
        <w:rPr>
          <w:rFonts w:ascii="Arial" w:cs="Arial" w:eastAsia="Arial" w:hAnsi="Arial"/>
          <w:sz w:val="14"/>
          <w:szCs w:val="14"/>
          <w:color w:val="auto"/>
        </w:rPr>
      </w:pPr>
    </w:p>
    <w:p>
      <w:pPr>
        <w:ind w:left="980" w:hanging="43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Ms. Phillipson resigned as our CFO effective January 15, 2025. The reported figure reflects Ms. Phillipson’s holdings to the knowledge of the Company.</w:t>
      </w:r>
    </w:p>
    <w:p>
      <w:pPr>
        <w:spacing w:after="0" w:line="122" w:lineRule="exact"/>
        <w:rPr>
          <w:rFonts w:ascii="Arial" w:cs="Arial" w:eastAsia="Arial" w:hAnsi="Arial"/>
          <w:sz w:val="14"/>
          <w:szCs w:val="14"/>
          <w:color w:val="auto"/>
        </w:rPr>
      </w:pPr>
    </w:p>
    <w:p>
      <w:pPr>
        <w:ind w:left="980" w:hanging="432"/>
        <w:spacing w:after="0" w:line="256"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42,037,341 shares of Class B common stock held as follows: (i) 5,566,589 shares of Class B common stock held by the Reed 2013 Generation Skipping Trust, of which Messrs. Adams and Beargie are trustees; and (ii) 36,470,752 shares of Class B common stock held by the 2018 Reed Dynasty Trust, of which Messrs. Adams and Beargie are trustees. Neither Messrs. Adams nor Beargie have any pecuniary interest in the shares, and each disclaims beneficial ownership in such shares.</w:t>
      </w:r>
    </w:p>
    <w:p>
      <w:pPr>
        <w:spacing w:after="0" w:line="82" w:lineRule="exact"/>
        <w:rPr>
          <w:rFonts w:ascii="Arial" w:cs="Arial" w:eastAsia="Arial" w:hAnsi="Arial"/>
          <w:sz w:val="14"/>
          <w:szCs w:val="14"/>
          <w:color w:val="auto"/>
        </w:rPr>
      </w:pPr>
    </w:p>
    <w:p>
      <w:pPr>
        <w:ind w:left="980" w:hanging="43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shares of Class A common stock held by John M. Roth Revocable Trust, of which Mr. Roth is trustee.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FFFFFF"/>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POLICY</w:t>
      </w:r>
    </w:p>
    <w:p>
      <w:pPr>
        <w:spacing w:after="0" w:line="280"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Pursuant to the Related Party Transactions Policy, the Audit Committee reviews and must approve or disapprove all related party transactions. Proposed transactions between the Company and related persons (“Related Person(s)”), as defined in Regulation S-K Item 404 under the Securities Act of 1933, as amended (the “Securities Act”), are submitted to the Audit Committee for full consideration. The relationship of the parties and the terms of the proposed transaction are reviewed and discussed by the Audit Committee, and the Audit Committee may approve or disapprove the Company entering into the transaction. All related party transactions, whether or not such transactions must be disclosed under Regulation S-K Item 404, are approved or disapproved by the Audit Committee pursuant to the policy.</w:t>
      </w:r>
    </w:p>
    <w:p>
      <w:pPr>
        <w:spacing w:after="0" w:line="172"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In connection with the review and approval or ratification of a Company transaction with a Related Person, the Audit Committee considers the following, among other items:</w:t>
      </w:r>
    </w:p>
    <w:p>
      <w:pPr>
        <w:ind w:left="1420" w:right="80" w:hanging="427"/>
        <w:spacing w:after="0" w:line="196" w:lineRule="auto"/>
        <w:tabs>
          <w:tab w:leader="none" w:pos="1420" w:val="left"/>
        </w:tabs>
        <w:numPr>
          <w:ilvl w:val="0"/>
          <w:numId w:val="17"/>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3" w:lineRule="exact"/>
        <w:rPr>
          <w:rFonts w:ascii="Times New Roman" w:cs="Times New Roman" w:eastAsia="Times New Roman" w:hAnsi="Times New Roman"/>
          <w:sz w:val="29"/>
          <w:szCs w:val="29"/>
          <w:color w:val="auto"/>
          <w:vertAlign w:val="superscript"/>
        </w:rPr>
      </w:pPr>
    </w:p>
    <w:p>
      <w:pPr>
        <w:ind w:left="1420" w:right="100" w:hanging="427"/>
        <w:spacing w:after="0" w:line="196" w:lineRule="auto"/>
        <w:tabs>
          <w:tab w:leader="none" w:pos="1420" w:val="left"/>
        </w:tabs>
        <w:numPr>
          <w:ilvl w:val="0"/>
          <w:numId w:val="17"/>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whether the transaction with the Related Person is proposed to be, or was, entered into on terms no less favorable to us than terms that could have been reached with an unrelated third party and the purpose of, and the potential benefits to us of, such transaction;</w:t>
      </w:r>
    </w:p>
    <w:p>
      <w:pPr>
        <w:ind w:left="1420" w:hanging="427"/>
        <w:spacing w:after="0" w:line="184" w:lineRule="auto"/>
        <w:tabs>
          <w:tab w:leader="none" w:pos="1420" w:val="left"/>
        </w:tabs>
        <w:numPr>
          <w:ilvl w:val="0"/>
          <w:numId w:val="17"/>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whether the Related Person transaction complies with the terms of our agreements that may limit or restrict our ability to enter into a Related Person transaction and governing law; and</w:t>
      </w:r>
    </w:p>
    <w:p>
      <w:pPr>
        <w:ind w:left="1420" w:right="520" w:hanging="427"/>
        <w:spacing w:after="0" w:line="195" w:lineRule="auto"/>
        <w:tabs>
          <w:tab w:leader="none" w:pos="1420" w:val="left"/>
        </w:tabs>
        <w:numPr>
          <w:ilvl w:val="0"/>
          <w:numId w:val="17"/>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whether the Related Person transaction will be required to be disclosed in our applicable filings under the Securities Act or the Exchange Act, and related rules and regulations.</w:t>
      </w:r>
    </w:p>
    <w:p>
      <w:pPr>
        <w:spacing w:after="0" w:line="172" w:lineRule="exact"/>
        <w:rPr>
          <w:sz w:val="20"/>
          <w:szCs w:val="20"/>
          <w:color w:val="auto"/>
        </w:rPr>
      </w:pPr>
    </w:p>
    <w:p>
      <w:pPr>
        <w:ind w:left="120" w:right="40" w:firstLine="881"/>
        <w:spacing w:after="0" w:line="237" w:lineRule="auto"/>
        <w:rPr>
          <w:sz w:val="20"/>
          <w:szCs w:val="20"/>
          <w:color w:val="auto"/>
        </w:rPr>
      </w:pPr>
      <w:r>
        <w:rPr>
          <w:rFonts w:ascii="Arial" w:cs="Arial" w:eastAsia="Arial" w:hAnsi="Arial"/>
          <w:sz w:val="20"/>
          <w:szCs w:val="20"/>
          <w:color w:val="auto"/>
        </w:rPr>
        <w:t>In addition, the Board of Directors, in connection with any approval or ratification of a Related Person transaction involving a non-employee Director or Director nominee, should consider whether such transaction would compromise the Director or Director nominee’s status as an “independent” or “outside” director under the rules and regulations of the SEC, the Nasdaq and the U.S.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TRANSACTIONS WITH RELATED PERSONS</w:t>
      </w:r>
    </w:p>
    <w:p>
      <w:pPr>
        <w:spacing w:after="0" w:line="200" w:lineRule="exact"/>
        <w:rPr>
          <w:sz w:val="20"/>
          <w:szCs w:val="20"/>
          <w:color w:val="auto"/>
        </w:rPr>
      </w:pPr>
    </w:p>
    <w:p>
      <w:pPr>
        <w:spacing w:after="0" w:line="296" w:lineRule="exact"/>
        <w:rPr>
          <w:sz w:val="20"/>
          <w:szCs w:val="20"/>
          <w:color w:val="auto"/>
        </w:rPr>
      </w:pPr>
    </w:p>
    <w:p>
      <w:pPr>
        <w:ind w:left="120" w:right="360" w:firstLine="881"/>
        <w:spacing w:after="0" w:line="241" w:lineRule="auto"/>
        <w:rPr>
          <w:sz w:val="20"/>
          <w:szCs w:val="20"/>
          <w:color w:val="auto"/>
        </w:rPr>
      </w:pPr>
      <w:r>
        <w:rPr>
          <w:rFonts w:ascii="Arial" w:cs="Arial" w:eastAsia="Arial" w:hAnsi="Arial"/>
          <w:sz w:val="20"/>
          <w:szCs w:val="20"/>
          <w:color w:val="auto"/>
        </w:rPr>
        <w:t>Since the beginning of the 2024 fiscal year, the following transactions have occurred, or are proposed, which involve the Company and a Related Person as defined in Regulation S-K Item 404 under the Securities Act for an amount exceeding $120,000.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Lease Agreements</w:t>
      </w:r>
    </w:p>
    <w:p>
      <w:pPr>
        <w:spacing w:after="0" w:line="202" w:lineRule="exact"/>
        <w:rPr>
          <w:sz w:val="20"/>
          <w:szCs w:val="20"/>
          <w:color w:val="auto"/>
        </w:rPr>
      </w:pPr>
    </w:p>
    <w:p>
      <w:pPr>
        <w:ind w:left="120" w:right="480" w:firstLine="881"/>
        <w:spacing w:after="0" w:line="257" w:lineRule="auto"/>
        <w:rPr>
          <w:sz w:val="20"/>
          <w:szCs w:val="20"/>
          <w:color w:val="auto"/>
        </w:rPr>
      </w:pPr>
      <w:r>
        <w:rPr>
          <w:rFonts w:ascii="Arial" w:cs="Arial" w:eastAsia="Arial" w:hAnsi="Arial"/>
          <w:sz w:val="20"/>
          <w:szCs w:val="20"/>
          <w:color w:val="auto"/>
        </w:rPr>
        <w:t>We lease a distribution center in Conover, North Carolina from Premier Conover, LLC, a company of which our Founder indirectly owned 40% on December 31, 2024. The initial term of</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lease is twelve years, commencing upon the completion of the distribution center in 2021. We have the option to extend</w:t>
      </w:r>
    </w:p>
    <w:p>
      <w:pPr>
        <w:ind w:left="120"/>
        <w:spacing w:after="0" w:line="229" w:lineRule="auto"/>
        <w:rPr>
          <w:sz w:val="20"/>
          <w:szCs w:val="20"/>
          <w:color w:val="auto"/>
        </w:rPr>
      </w:pPr>
      <w:r>
        <w:rPr>
          <w:rFonts w:ascii="Arial" w:cs="Arial" w:eastAsia="Arial" w:hAnsi="Arial"/>
          <w:sz w:val="20"/>
          <w:szCs w:val="20"/>
          <w:color w:val="auto"/>
        </w:rPr>
        <w:t>the lease for an additional ten-year term at fixed rental payments and two additional five-year terms thereafter at fair market</w:t>
      </w:r>
    </w:p>
    <w:p>
      <w:pPr>
        <w:ind w:left="120"/>
        <w:spacing w:after="0" w:line="226" w:lineRule="auto"/>
        <w:rPr>
          <w:sz w:val="20"/>
          <w:szCs w:val="20"/>
          <w:color w:val="auto"/>
        </w:rPr>
      </w:pPr>
      <w:r>
        <w:rPr>
          <w:rFonts w:ascii="Arial" w:cs="Arial" w:eastAsia="Arial" w:hAnsi="Arial"/>
          <w:sz w:val="20"/>
          <w:szCs w:val="20"/>
          <w:color w:val="auto"/>
        </w:rPr>
        <w:t>rental payments upon the same terms and conditions as the initial term. The monthly base rent was $263,015 at</w:t>
      </w:r>
    </w:p>
    <w:p>
      <w:pPr>
        <w:ind w:left="120"/>
        <w:spacing w:after="0" w:line="225" w:lineRule="auto"/>
        <w:rPr>
          <w:sz w:val="20"/>
          <w:szCs w:val="20"/>
          <w:color w:val="auto"/>
        </w:rPr>
      </w:pPr>
      <w:r>
        <w:rPr>
          <w:rFonts w:ascii="Arial" w:cs="Arial" w:eastAsia="Arial" w:hAnsi="Arial"/>
          <w:sz w:val="20"/>
          <w:szCs w:val="20"/>
          <w:color w:val="auto"/>
        </w:rPr>
        <w:t>December 31, 2024, plus applicable common area maintenance expenses and real estate taxes. Lease payments under the</w:t>
      </w:r>
    </w:p>
    <w:p>
      <w:pPr>
        <w:ind w:left="120"/>
        <w:spacing w:after="0"/>
        <w:rPr>
          <w:sz w:val="20"/>
          <w:szCs w:val="20"/>
          <w:color w:val="auto"/>
        </w:rPr>
      </w:pPr>
      <w:r>
        <w:rPr>
          <w:rFonts w:ascii="Arial" w:cs="Arial" w:eastAsia="Arial" w:hAnsi="Arial"/>
          <w:sz w:val="20"/>
          <w:szCs w:val="20"/>
          <w:color w:val="auto"/>
        </w:rPr>
        <w:t>lease agreement totaled $3,872,446 for the fiscal year ended December 31, 2024.</w:t>
      </w:r>
    </w:p>
    <w:p>
      <w:pPr>
        <w:spacing w:after="0" w:line="184"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We lease a warehouse in Walton Hills, Ohio from Pagoda Partners, LLC, a company of which our Founder indirectly owns 50%. The term of the lease was extended in 2023 and expires in 2034. We have the option to extend the lease for one additional five-year term. We also have the option to purchase the facility at a purchase price of fair market value but not less than the minimum price for which Pagoda Partners, LLC acquired the property. The monthly rent was $132,694 at December 31, 2024, which includes applicable common area maintenance and insurance expenses. Lease payments under the lease agreement totaled $1,647,213 for the fiscal year ended December 31, 2024.</w:t>
      </w:r>
    </w:p>
    <w:p>
      <w:pPr>
        <w:spacing w:after="0" w:line="172" w:lineRule="exact"/>
        <w:rPr>
          <w:sz w:val="20"/>
          <w:szCs w:val="20"/>
          <w:color w:val="auto"/>
        </w:rPr>
      </w:pPr>
    </w:p>
    <w:p>
      <w:pPr>
        <w:ind w:left="120" w:right="200" w:firstLine="881"/>
        <w:spacing w:after="0" w:line="237" w:lineRule="auto"/>
        <w:rPr>
          <w:sz w:val="20"/>
          <w:szCs w:val="20"/>
          <w:color w:val="auto"/>
        </w:rPr>
      </w:pPr>
      <w:r>
        <w:rPr>
          <w:rFonts w:ascii="Arial" w:cs="Arial" w:eastAsia="Arial" w:hAnsi="Arial"/>
          <w:sz w:val="20"/>
          <w:szCs w:val="20"/>
          <w:color w:val="auto"/>
        </w:rPr>
        <w:t>We lease our Outlet in Brooklyn, Ohio from Brooklyn Arhaus, a company of which our Founder and Mr. Beargie, a Director of Arhaus, Inc., own 85% and 15%, respectively. The monthly base rent was $19,995 at December 31, 2024, plus applicable common area maintenance expenses and real estate taxes. Lease payments under the lease agreement totaled $271,606 for the fiscal year ended December 31, 2024.</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Other</w:t>
      </w:r>
    </w:p>
    <w:p>
      <w:pPr>
        <w:spacing w:after="0" w:line="202" w:lineRule="exact"/>
        <w:rPr>
          <w:sz w:val="20"/>
          <w:szCs w:val="20"/>
          <w:color w:val="auto"/>
        </w:rPr>
      </w:pPr>
    </w:p>
    <w:p>
      <w:pPr>
        <w:ind w:left="120" w:right="260" w:firstLine="881"/>
        <w:spacing w:after="0" w:line="241" w:lineRule="auto"/>
        <w:rPr>
          <w:sz w:val="20"/>
          <w:szCs w:val="20"/>
          <w:color w:val="auto"/>
        </w:rPr>
      </w:pPr>
      <w:r>
        <w:rPr>
          <w:rFonts w:ascii="Arial" w:cs="Arial" w:eastAsia="Arial" w:hAnsi="Arial"/>
          <w:sz w:val="20"/>
          <w:szCs w:val="20"/>
          <w:color w:val="auto"/>
        </w:rPr>
        <w:t>Ryan Reed, Senior Vice President, Real Estate of the Company, is the son of our Founder. His base salary was $390,000 for the fiscal year ended December 31, 2024, and his earned compensation totaled $1,101,151 for the fiscal year ended December 31, 2024.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16281C"/>
        </w:rPr>
        <w:t>COMPENSATION, DISCUSSION AND ANALYSIS</w:t>
      </w:r>
    </w:p>
    <w:p>
      <w:pPr>
        <w:spacing w:after="0" w:line="280" w:lineRule="exact"/>
        <w:rPr>
          <w:sz w:val="20"/>
          <w:szCs w:val="20"/>
          <w:color w:val="auto"/>
        </w:rPr>
      </w:pPr>
    </w:p>
    <w:p>
      <w:pPr>
        <w:ind w:left="120" w:right="80" w:firstLine="881"/>
        <w:spacing w:after="0" w:line="232" w:lineRule="auto"/>
        <w:rPr>
          <w:sz w:val="20"/>
          <w:szCs w:val="20"/>
          <w:color w:val="auto"/>
        </w:rPr>
      </w:pPr>
      <w:r>
        <w:rPr>
          <w:rFonts w:ascii="Arial" w:cs="Arial" w:eastAsia="Arial" w:hAnsi="Arial"/>
          <w:sz w:val="20"/>
          <w:szCs w:val="20"/>
          <w:color w:val="auto"/>
        </w:rPr>
        <w:t>The following discussion provides an overview of the compensation awarded to or earned by our named executive officers during fiscal year 2024 as set forth in the Summary Compensation Table in this proxy statement, including the elements of our compensation program, material compensation decisions made for fiscal year 2024, and the material factors considered in making those decisions. Compensation decisions with respect to our executive officers are made by the Compensation Committee. Our named executive officers for fiscal year 2024, which consist of our principal executive officer, our principal financial officer, and our three next most highly compensated executive officers who were serving as executive officers as of December 31, 2024 are:</w:t>
      </w:r>
    </w:p>
    <w:p>
      <w:pPr>
        <w:spacing w:after="0" w:line="199" w:lineRule="exact"/>
        <w:rPr>
          <w:sz w:val="20"/>
          <w:szCs w:val="20"/>
          <w:color w:val="auto"/>
        </w:rPr>
      </w:pPr>
    </w:p>
    <w:p>
      <w:pPr>
        <w:ind w:left="1420" w:right="580" w:hanging="427"/>
        <w:spacing w:after="0" w:line="191" w:lineRule="auto"/>
        <w:tabs>
          <w:tab w:leader="none" w:pos="1420" w:val="left"/>
        </w:tabs>
        <w:numPr>
          <w:ilvl w:val="0"/>
          <w:numId w:val="18"/>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John Reed, who serves as President, Chief Executive Officer and Director and is our principal executive officer;</w:t>
      </w:r>
    </w:p>
    <w:p>
      <w:pPr>
        <w:spacing w:after="0" w:line="1" w:lineRule="exact"/>
        <w:rPr>
          <w:rFonts w:ascii="Times New Roman" w:cs="Times New Roman" w:eastAsia="Times New Roman" w:hAnsi="Times New Roman"/>
          <w:sz w:val="29"/>
          <w:szCs w:val="29"/>
          <w:color w:val="auto"/>
          <w:vertAlign w:val="superscript"/>
        </w:rPr>
      </w:pPr>
    </w:p>
    <w:p>
      <w:pPr>
        <w:ind w:left="1420" w:hanging="427"/>
        <w:spacing w:after="0" w:line="180" w:lineRule="auto"/>
        <w:tabs>
          <w:tab w:leader="none" w:pos="1420" w:val="left"/>
        </w:tabs>
        <w:numPr>
          <w:ilvl w:val="0"/>
          <w:numId w:val="1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Dawn Phillipson, who served as Chief Financial Officer and was our principal financial officer;</w:t>
      </w:r>
    </w:p>
    <w:p>
      <w:pPr>
        <w:ind w:left="1420" w:hanging="427"/>
        <w:spacing w:after="0" w:line="180" w:lineRule="auto"/>
        <w:tabs>
          <w:tab w:leader="none" w:pos="1420" w:val="left"/>
        </w:tabs>
        <w:numPr>
          <w:ilvl w:val="0"/>
          <w:numId w:val="1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Kathy Veltri, who serves as Chief Retail Officer;</w:t>
      </w:r>
    </w:p>
    <w:p>
      <w:pPr>
        <w:ind w:left="1420" w:hanging="427"/>
        <w:spacing w:after="0" w:line="180" w:lineRule="auto"/>
        <w:tabs>
          <w:tab w:leader="none" w:pos="1420" w:val="left"/>
        </w:tabs>
        <w:numPr>
          <w:ilvl w:val="0"/>
          <w:numId w:val="1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Jennifer Porter, who serves as Chief Marketing and eCommerce Officer; and</w:t>
      </w:r>
    </w:p>
    <w:p>
      <w:pPr>
        <w:ind w:left="1420" w:hanging="427"/>
        <w:spacing w:after="0" w:line="181" w:lineRule="auto"/>
        <w:tabs>
          <w:tab w:leader="none" w:pos="1420" w:val="left"/>
        </w:tabs>
        <w:numPr>
          <w:ilvl w:val="0"/>
          <w:numId w:val="18"/>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Lisa Chi, who serves as Chief Merchandising Officer.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16281C"/>
        </w:rPr>
        <w:t>Compensation Philosophy, Objectives, and Rewards</w:t>
      </w:r>
    </w:p>
    <w:p>
      <w:pPr>
        <w:spacing w:after="0" w:line="202" w:lineRule="exact"/>
        <w:rPr>
          <w:sz w:val="20"/>
          <w:szCs w:val="20"/>
          <w:color w:val="auto"/>
        </w:rPr>
      </w:pPr>
    </w:p>
    <w:p>
      <w:pPr>
        <w:ind w:left="120" w:right="140" w:firstLine="881"/>
        <w:spacing w:after="0" w:line="237" w:lineRule="auto"/>
        <w:rPr>
          <w:sz w:val="20"/>
          <w:szCs w:val="20"/>
          <w:color w:val="auto"/>
        </w:rPr>
      </w:pPr>
      <w:r>
        <w:rPr>
          <w:rFonts w:ascii="Arial" w:cs="Arial" w:eastAsia="Arial" w:hAnsi="Arial"/>
          <w:sz w:val="20"/>
          <w:szCs w:val="20"/>
          <w:color w:val="auto"/>
        </w:rPr>
        <w:t>Our executive compensation program has been designed to provide a total compensation opportunity to motivate, reward, attract, and retain high-caliber management deemed essential to ensure our success. The program seeks to align executive compensation with our objectives and business strategy and direct management’s efforts toward the achievement of the Company’s financial performance goals.</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Our compensation philosophy reflects the following general principles:</w:t>
      </w:r>
    </w:p>
    <w:p>
      <w:pPr>
        <w:spacing w:after="0" w:line="229" w:lineRule="exact"/>
        <w:rPr>
          <w:sz w:val="20"/>
          <w:szCs w:val="20"/>
          <w:color w:val="auto"/>
        </w:rPr>
      </w:pPr>
    </w:p>
    <w:p>
      <w:pPr>
        <w:ind w:left="1420" w:hanging="427"/>
        <w:spacing w:after="0" w:line="191" w:lineRule="auto"/>
        <w:tabs>
          <w:tab w:leader="none" w:pos="1420" w:val="left"/>
        </w:tabs>
        <w:numPr>
          <w:ilvl w:val="0"/>
          <w:numId w:val="19"/>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support long-term sustainable business growth by attracting, retaining and motivating innovative, effective, and engaged leaders;</w:t>
      </w:r>
    </w:p>
    <w:p>
      <w:pPr>
        <w:spacing w:after="0" w:line="1" w:lineRule="exact"/>
        <w:rPr>
          <w:rFonts w:ascii="Times New Roman" w:cs="Times New Roman" w:eastAsia="Times New Roman" w:hAnsi="Times New Roman"/>
          <w:sz w:val="29"/>
          <w:szCs w:val="29"/>
          <w:color w:val="auto"/>
          <w:vertAlign w:val="superscript"/>
        </w:rPr>
      </w:pPr>
    </w:p>
    <w:p>
      <w:pPr>
        <w:ind w:left="1420" w:hanging="427"/>
        <w:spacing w:after="0" w:line="180" w:lineRule="auto"/>
        <w:tabs>
          <w:tab w:leader="none" w:pos="1420" w:val="left"/>
        </w:tabs>
        <w:numPr>
          <w:ilvl w:val="0"/>
          <w:numId w:val="19"/>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apply consistent principles that support ethical leadership of Arhaus in the highly competitive retail landscape;</w:t>
      </w:r>
    </w:p>
    <w:p>
      <w:pPr>
        <w:ind w:left="1420" w:right="540" w:hanging="427"/>
        <w:spacing w:after="0" w:line="184" w:lineRule="auto"/>
        <w:tabs>
          <w:tab w:leader="none" w:pos="1420" w:val="left"/>
        </w:tabs>
        <w:numPr>
          <w:ilvl w:val="0"/>
          <w:numId w:val="19"/>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consider the marketplace, Arhaus performance, and individual contributions when making compensation decisions; and</w:t>
      </w:r>
    </w:p>
    <w:p>
      <w:pPr>
        <w:ind w:left="1420" w:right="60" w:hanging="427"/>
        <w:spacing w:after="0" w:line="195" w:lineRule="auto"/>
        <w:tabs>
          <w:tab w:leader="none" w:pos="1420" w:val="left"/>
        </w:tabs>
        <w:numPr>
          <w:ilvl w:val="0"/>
          <w:numId w:val="19"/>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create incentives aligned with achievement of the Company’s goals to drive long-term sustainable value for all our stakeholders.</w:t>
      </w:r>
    </w:p>
    <w:p>
      <w:pPr>
        <w:spacing w:after="0" w:line="172" w:lineRule="exact"/>
        <w:rPr>
          <w:sz w:val="20"/>
          <w:szCs w:val="20"/>
          <w:color w:val="auto"/>
        </w:rPr>
      </w:pPr>
    </w:p>
    <w:p>
      <w:pPr>
        <w:ind w:left="120" w:right="100" w:firstLine="881"/>
        <w:spacing w:after="0" w:line="232" w:lineRule="auto"/>
        <w:rPr>
          <w:sz w:val="20"/>
          <w:szCs w:val="20"/>
          <w:color w:val="auto"/>
        </w:rPr>
      </w:pPr>
      <w:r>
        <w:rPr>
          <w:rFonts w:ascii="Arial" w:cs="Arial" w:eastAsia="Arial" w:hAnsi="Arial"/>
          <w:sz w:val="20"/>
          <w:szCs w:val="20"/>
          <w:color w:val="auto"/>
        </w:rPr>
        <w:t>Our compensation program for our executives rewards both short- and long-term performance through a mix of cash and equity compensation, providing our executives with an opportunity to share in the appreciation of our business and generation of shareholder value. We have historically maintained an annual cash incentive program providing for payouts based on the achievement of Company performance objectives. We also grant long-term equity awards, a portion of which vest upon the achievement of performance metrics and a portion which vest based upon the continuous service of the executive. The long-term incentive program is designed to reward achievement of our long-term business objectives while promoting executive retention and reinforcing executive interest in Arhaus and its performance.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080"/>
          </w:cols>
          <w:pgMar w:left="320" w:top="482"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60" w:firstLine="881"/>
        <w:spacing w:after="0" w:line="241" w:lineRule="auto"/>
        <w:rPr>
          <w:sz w:val="20"/>
          <w:szCs w:val="20"/>
          <w:color w:val="auto"/>
        </w:rPr>
      </w:pPr>
      <w:r>
        <w:rPr>
          <w:rFonts w:ascii="Arial" w:cs="Arial" w:eastAsia="Arial" w:hAnsi="Arial"/>
          <w:sz w:val="20"/>
          <w:szCs w:val="20"/>
          <w:color w:val="auto"/>
        </w:rPr>
        <w:t>A significant portion of our executive compensation is “at-risk” and only pays out upon the achievement of performance objectives in order to drive our performance objectives and appropriately align the financial interests of our executive officers to those of our stockholders.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Determination of Executive Compensation</w:t>
      </w:r>
    </w:p>
    <w:p>
      <w:pPr>
        <w:spacing w:after="0" w:line="200" w:lineRule="exact"/>
        <w:rPr>
          <w:sz w:val="20"/>
          <w:szCs w:val="20"/>
          <w:color w:val="auto"/>
        </w:rPr>
      </w:pPr>
    </w:p>
    <w:p>
      <w:pPr>
        <w:ind w:left="120" w:right="180" w:firstLine="881"/>
        <w:spacing w:after="0" w:line="232" w:lineRule="auto"/>
        <w:rPr>
          <w:sz w:val="20"/>
          <w:szCs w:val="20"/>
          <w:color w:val="auto"/>
        </w:rPr>
      </w:pPr>
      <w:r>
        <w:rPr>
          <w:rFonts w:ascii="Arial" w:cs="Arial" w:eastAsia="Arial" w:hAnsi="Arial"/>
          <w:sz w:val="20"/>
          <w:szCs w:val="20"/>
          <w:b w:val="1"/>
          <w:bCs w:val="1"/>
          <w:color w:val="auto"/>
        </w:rPr>
        <w:t xml:space="preserve">Compensation Committee. </w:t>
      </w:r>
      <w:r>
        <w:rPr>
          <w:rFonts w:ascii="Arial" w:cs="Arial" w:eastAsia="Arial" w:hAnsi="Arial"/>
          <w:sz w:val="20"/>
          <w:szCs w:val="20"/>
          <w:color w:val="auto"/>
        </w:rPr>
        <w:t>The Compensation Committee is responsible for establishing, implementing,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monitoring adherence to the Company’s compensation philosophy for the CEO and other executive officers. The Committee sets the compensation of the Company’s executive officers, establishes the compensation for directors, and oversees management’s administration of the other significant employee compensation and benefit plans, such as the 2021 Equity Incentive Plan. In carrying out its oversight responsibilities, the Committee is supported by an independent executive compensation consultant and management as further described below. The Committee has the sole authority to retain (and terminate) any consultants used to evaluate the Company’s executive management compensation.</w:t>
      </w:r>
    </w:p>
    <w:p>
      <w:pPr>
        <w:spacing w:after="0" w:line="172" w:lineRule="exact"/>
        <w:rPr>
          <w:sz w:val="20"/>
          <w:szCs w:val="20"/>
          <w:color w:val="auto"/>
        </w:rPr>
      </w:pPr>
    </w:p>
    <w:p>
      <w:pPr>
        <w:ind w:left="120" w:right="100" w:firstLine="881"/>
        <w:spacing w:after="0" w:line="235" w:lineRule="auto"/>
        <w:rPr>
          <w:sz w:val="20"/>
          <w:szCs w:val="20"/>
          <w:color w:val="auto"/>
        </w:rPr>
      </w:pPr>
      <w:r>
        <w:rPr>
          <w:rFonts w:ascii="Arial" w:cs="Arial" w:eastAsia="Arial" w:hAnsi="Arial"/>
          <w:sz w:val="20"/>
          <w:szCs w:val="20"/>
          <w:b w:val="1"/>
          <w:bCs w:val="1"/>
          <w:color w:val="auto"/>
        </w:rPr>
        <w:t xml:space="preserve">Role of Management. </w:t>
      </w:r>
      <w:r>
        <w:rPr>
          <w:rFonts w:ascii="Arial" w:cs="Arial" w:eastAsia="Arial" w:hAnsi="Arial"/>
          <w:sz w:val="20"/>
          <w:szCs w:val="20"/>
          <w:color w:val="auto"/>
        </w:rPr>
        <w:t>Management of the Company supports the Committee in its assessment of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implements decisions made by the Committee, and ensures the Company’s compensation plans are administered in accordance with the provisions of the plans. In making executive compensation determinations, the Compensation Committee works together with our CEO to review the effectiveness of our program and determine awards for our executives (other than with respect to his own compensation).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 xml:space="preserve">Role of Independent Compensation Consultant. </w:t>
      </w:r>
      <w:r>
        <w:rPr>
          <w:rFonts w:ascii="Arial" w:cs="Arial" w:eastAsia="Arial" w:hAnsi="Arial"/>
          <w:sz w:val="20"/>
          <w:szCs w:val="20"/>
          <w:color w:val="auto"/>
        </w:rPr>
        <w:t>The Committee has engaged Aon plc as</w:t>
      </w:r>
    </w:p>
    <w:p>
      <w:pPr>
        <w:spacing w:after="0" w:line="6" w:lineRule="exact"/>
        <w:rPr>
          <w:sz w:val="20"/>
          <w:szCs w:val="20"/>
          <w:color w:val="auto"/>
        </w:rPr>
      </w:pPr>
    </w:p>
    <w:p>
      <w:pPr>
        <w:ind w:left="120" w:right="420"/>
        <w:spacing w:after="0" w:line="230" w:lineRule="auto"/>
        <w:rPr>
          <w:sz w:val="20"/>
          <w:szCs w:val="20"/>
          <w:color w:val="auto"/>
        </w:rPr>
      </w:pPr>
      <w:r>
        <w:rPr>
          <w:rFonts w:ascii="Arial" w:cs="Arial" w:eastAsia="Arial" w:hAnsi="Arial"/>
          <w:sz w:val="20"/>
          <w:szCs w:val="20"/>
          <w:color w:val="auto"/>
        </w:rPr>
        <w:t>its independent compensation consultant to assist the Compensation Committee in its annual review of the Company’s executive compensation practices for continuing appropriateness and reasonableness and to make recommendations regarding executive officer compensation levels and structures. In reviewing the Company’s executive compensation practices, the Compensation Committee also considers other sources to evaluate external market, industry and peer-company practices. Aon has no other business relationship with us and receives no payments from us other than fees for services to the Compensation Committee.</w:t>
      </w:r>
    </w:p>
    <w:p>
      <w:pPr>
        <w:spacing w:after="0" w:line="170" w:lineRule="exact"/>
        <w:rPr>
          <w:sz w:val="20"/>
          <w:szCs w:val="20"/>
          <w:color w:val="auto"/>
        </w:rPr>
      </w:pPr>
    </w:p>
    <w:p>
      <w:pPr>
        <w:ind w:left="120" w:firstLine="881"/>
        <w:spacing w:after="0" w:line="235" w:lineRule="auto"/>
        <w:rPr>
          <w:sz w:val="20"/>
          <w:szCs w:val="20"/>
          <w:color w:val="auto"/>
        </w:rPr>
      </w:pPr>
      <w:r>
        <w:rPr>
          <w:rFonts w:ascii="Arial" w:cs="Arial" w:eastAsia="Arial" w:hAnsi="Arial"/>
          <w:sz w:val="20"/>
          <w:szCs w:val="20"/>
          <w:b w:val="1"/>
          <w:bCs w:val="1"/>
          <w:color w:val="auto"/>
        </w:rPr>
        <w:t xml:space="preserve">Role of Comparable Company Analysis in our Compensation Decisions. </w:t>
      </w:r>
      <w:r>
        <w:rPr>
          <w:rFonts w:ascii="Arial" w:cs="Arial" w:eastAsia="Arial" w:hAnsi="Arial"/>
          <w:sz w:val="20"/>
          <w:szCs w:val="20"/>
          <w:color w:val="auto"/>
        </w:rPr>
        <w:t>In order to develop a competitive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package for our named executive officers, the Compensation Committee compares our compensation package with those of a peer group of public companies. The peer group includes companies in the retail sector with a similar business and financial profile as well as other retail companies that are similar in size to the Company. A complete listing of the companies in the 2024 peer group appears below:</w:t>
      </w:r>
    </w:p>
    <w:p>
      <w:pPr>
        <w:sectPr>
          <w:pgSz w:w="11900" w:h="16838" w:orient="portrait"/>
          <w:cols w:equalWidth="0" w:num="1">
            <w:col w:w="11120"/>
          </w:cols>
          <w:pgMar w:left="320" w:top="482" w:right="459" w:bottom="1440" w:gutter="0" w:footer="0" w:header="0"/>
        </w:sectPr>
      </w:pPr>
    </w:p>
    <w:p>
      <w:pPr>
        <w:spacing w:after="0" w:line="199"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Beyond, Inc.</w:t>
      </w:r>
    </w:p>
    <w:p>
      <w:pPr>
        <w:ind w:left="2320"/>
        <w:spacing w:after="0" w:line="229" w:lineRule="auto"/>
        <w:rPr>
          <w:sz w:val="20"/>
          <w:szCs w:val="20"/>
          <w:color w:val="auto"/>
        </w:rPr>
      </w:pPr>
      <w:r>
        <w:rPr>
          <w:rFonts w:ascii="Arial" w:cs="Arial" w:eastAsia="Arial" w:hAnsi="Arial"/>
          <w:sz w:val="20"/>
          <w:szCs w:val="20"/>
          <w:color w:val="auto"/>
        </w:rPr>
        <w:t>Capri Holdings Limited</w:t>
      </w:r>
    </w:p>
    <w:p>
      <w:pPr>
        <w:ind w:left="2320"/>
        <w:spacing w:after="0" w:line="226" w:lineRule="auto"/>
        <w:rPr>
          <w:sz w:val="20"/>
          <w:szCs w:val="20"/>
          <w:color w:val="auto"/>
        </w:rPr>
      </w:pPr>
      <w:r>
        <w:rPr>
          <w:rFonts w:ascii="Arial" w:cs="Arial" w:eastAsia="Arial" w:hAnsi="Arial"/>
          <w:sz w:val="20"/>
          <w:szCs w:val="20"/>
          <w:color w:val="auto"/>
        </w:rPr>
        <w:t>Ethan Allen Interiors, Inc.</w:t>
      </w:r>
    </w:p>
    <w:p>
      <w:pPr>
        <w:ind w:left="2320"/>
        <w:spacing w:after="0" w:line="225" w:lineRule="auto"/>
        <w:rPr>
          <w:sz w:val="20"/>
          <w:szCs w:val="20"/>
          <w:color w:val="auto"/>
        </w:rPr>
      </w:pPr>
      <w:r>
        <w:rPr>
          <w:rFonts w:ascii="Arial" w:cs="Arial" w:eastAsia="Arial" w:hAnsi="Arial"/>
          <w:sz w:val="20"/>
          <w:szCs w:val="20"/>
          <w:color w:val="auto"/>
        </w:rPr>
        <w:t>Floor &amp; Décor Holdings, Inc.</w:t>
      </w:r>
    </w:p>
    <w:p>
      <w:pPr>
        <w:ind w:left="2320"/>
        <w:spacing w:after="0" w:line="237" w:lineRule="auto"/>
        <w:rPr>
          <w:sz w:val="20"/>
          <w:szCs w:val="20"/>
          <w:color w:val="auto"/>
        </w:rPr>
      </w:pPr>
      <w:r>
        <w:rPr>
          <w:rFonts w:ascii="Arial" w:cs="Arial" w:eastAsia="Arial" w:hAnsi="Arial"/>
          <w:sz w:val="19"/>
          <w:szCs w:val="19"/>
          <w:color w:val="auto"/>
        </w:rPr>
        <w:t>Haverty Furniture Companies, Inc.</w:t>
      </w:r>
    </w:p>
    <w:p>
      <w:pPr>
        <w:ind w:left="2320"/>
        <w:spacing w:after="0" w:line="226" w:lineRule="auto"/>
        <w:rPr>
          <w:sz w:val="20"/>
          <w:szCs w:val="20"/>
          <w:color w:val="auto"/>
        </w:rPr>
      </w:pPr>
      <w:r>
        <w:rPr>
          <w:rFonts w:ascii="Arial" w:cs="Arial" w:eastAsia="Arial" w:hAnsi="Arial"/>
          <w:sz w:val="20"/>
          <w:szCs w:val="20"/>
          <w:color w:val="auto"/>
        </w:rPr>
        <w:t>La-Z-Boy Incorporated</w:t>
      </w:r>
    </w:p>
    <w:p>
      <w:pPr>
        <w:ind w:left="2320"/>
        <w:spacing w:after="0" w:line="225" w:lineRule="auto"/>
        <w:rPr>
          <w:sz w:val="20"/>
          <w:szCs w:val="20"/>
          <w:color w:val="auto"/>
        </w:rPr>
      </w:pPr>
      <w:r>
        <w:rPr>
          <w:rFonts w:ascii="Arial" w:cs="Arial" w:eastAsia="Arial" w:hAnsi="Arial"/>
          <w:sz w:val="20"/>
          <w:szCs w:val="20"/>
          <w:color w:val="auto"/>
        </w:rPr>
        <w:t>Movado Group, Inc.</w:t>
      </w:r>
    </w:p>
    <w:p>
      <w:pPr>
        <w:ind w:left="2320"/>
        <w:spacing w:after="0" w:line="225" w:lineRule="auto"/>
        <w:rPr>
          <w:sz w:val="20"/>
          <w:szCs w:val="20"/>
          <w:color w:val="auto"/>
        </w:rPr>
      </w:pPr>
      <w:r>
        <w:rPr>
          <w:rFonts w:ascii="Arial" w:cs="Arial" w:eastAsia="Arial" w:hAnsi="Arial"/>
          <w:sz w:val="20"/>
          <w:szCs w:val="20"/>
          <w:color w:val="auto"/>
        </w:rPr>
        <w:t>Oxford Industries, Inc.</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Purple Innovation, Inc.</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RH</w:t>
      </w:r>
    </w:p>
    <w:p>
      <w:pPr>
        <w:spacing w:after="0" w:line="229" w:lineRule="auto"/>
        <w:rPr>
          <w:sz w:val="20"/>
          <w:szCs w:val="20"/>
          <w:color w:val="auto"/>
        </w:rPr>
      </w:pPr>
      <w:r>
        <w:rPr>
          <w:rFonts w:ascii="Arial" w:cs="Arial" w:eastAsia="Arial" w:hAnsi="Arial"/>
          <w:sz w:val="20"/>
          <w:szCs w:val="20"/>
          <w:color w:val="auto"/>
        </w:rPr>
        <w:t>Sleep Number Corporation</w:t>
      </w:r>
    </w:p>
    <w:p>
      <w:pPr>
        <w:spacing w:after="0" w:line="226" w:lineRule="auto"/>
        <w:rPr>
          <w:sz w:val="20"/>
          <w:szCs w:val="20"/>
          <w:color w:val="auto"/>
        </w:rPr>
      </w:pPr>
      <w:r>
        <w:rPr>
          <w:rFonts w:ascii="Arial" w:cs="Arial" w:eastAsia="Arial" w:hAnsi="Arial"/>
          <w:sz w:val="20"/>
          <w:szCs w:val="20"/>
          <w:color w:val="auto"/>
        </w:rPr>
        <w:t>Tapestry, Inc.</w:t>
      </w:r>
    </w:p>
    <w:p>
      <w:pPr>
        <w:spacing w:after="0" w:line="237" w:lineRule="auto"/>
        <w:rPr>
          <w:sz w:val="20"/>
          <w:szCs w:val="20"/>
          <w:color w:val="auto"/>
        </w:rPr>
      </w:pPr>
      <w:r>
        <w:rPr>
          <w:rFonts w:ascii="Arial" w:cs="Arial" w:eastAsia="Arial" w:hAnsi="Arial"/>
          <w:sz w:val="19"/>
          <w:szCs w:val="19"/>
          <w:color w:val="auto"/>
        </w:rPr>
        <w:t>Tempur Sealey International, Inc.</w:t>
      </w:r>
    </w:p>
    <w:p>
      <w:pPr>
        <w:spacing w:after="0" w:line="225" w:lineRule="auto"/>
        <w:rPr>
          <w:sz w:val="20"/>
          <w:szCs w:val="20"/>
          <w:color w:val="auto"/>
        </w:rPr>
      </w:pPr>
      <w:r>
        <w:rPr>
          <w:rFonts w:ascii="Arial" w:cs="Arial" w:eastAsia="Arial" w:hAnsi="Arial"/>
          <w:sz w:val="20"/>
          <w:szCs w:val="20"/>
          <w:color w:val="auto"/>
        </w:rPr>
        <w:t>The Aaron’s Company, Inc.</w:t>
      </w:r>
    </w:p>
    <w:p>
      <w:pPr>
        <w:spacing w:after="0" w:line="226" w:lineRule="auto"/>
        <w:rPr>
          <w:sz w:val="20"/>
          <w:szCs w:val="20"/>
          <w:color w:val="auto"/>
        </w:rPr>
      </w:pPr>
      <w:r>
        <w:rPr>
          <w:rFonts w:ascii="Arial" w:cs="Arial" w:eastAsia="Arial" w:hAnsi="Arial"/>
          <w:sz w:val="20"/>
          <w:szCs w:val="20"/>
          <w:color w:val="auto"/>
        </w:rPr>
        <w:t>The Lovesac Company</w:t>
      </w:r>
    </w:p>
    <w:p>
      <w:pPr>
        <w:spacing w:after="0" w:line="225" w:lineRule="auto"/>
        <w:rPr>
          <w:sz w:val="20"/>
          <w:szCs w:val="20"/>
          <w:color w:val="auto"/>
        </w:rPr>
      </w:pPr>
      <w:r>
        <w:rPr>
          <w:rFonts w:ascii="Arial" w:cs="Arial" w:eastAsia="Arial" w:hAnsi="Arial"/>
          <w:sz w:val="20"/>
          <w:szCs w:val="20"/>
          <w:color w:val="auto"/>
        </w:rPr>
        <w:t>The RealReal, Inc.</w:t>
      </w:r>
    </w:p>
    <w:p>
      <w:pPr>
        <w:spacing w:after="0" w:line="225" w:lineRule="auto"/>
        <w:rPr>
          <w:sz w:val="20"/>
          <w:szCs w:val="20"/>
          <w:color w:val="auto"/>
        </w:rPr>
      </w:pPr>
      <w:r>
        <w:rPr>
          <w:rFonts w:ascii="Arial" w:cs="Arial" w:eastAsia="Arial" w:hAnsi="Arial"/>
          <w:sz w:val="20"/>
          <w:szCs w:val="20"/>
          <w:color w:val="auto"/>
        </w:rPr>
        <w:t>Vera Bradley,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Williams-Sonoma, Inc.</w:t>
      </w:r>
    </w:p>
    <w:p>
      <w:pPr>
        <w:spacing w:after="0" w:line="117" w:lineRule="exact"/>
        <w:rPr>
          <w:sz w:val="20"/>
          <w:szCs w:val="20"/>
          <w:color w:val="auto"/>
        </w:rPr>
      </w:pPr>
    </w:p>
    <w:p>
      <w:pPr>
        <w:sectPr>
          <w:pgSz w:w="11900" w:h="16838" w:orient="portrait"/>
          <w:cols w:equalWidth="0" w:num="2">
            <w:col w:w="5340" w:space="500"/>
            <w:col w:w="5280"/>
          </w:cols>
          <w:pgMar w:left="320" w:top="482" w:right="459" w:bottom="1440" w:gutter="0" w:footer="0" w:header="0"/>
          <w:type w:val="continuous"/>
        </w:sectPr>
      </w:pPr>
    </w:p>
    <w:p>
      <w:pPr>
        <w:jc w:val="center"/>
        <w:ind w:right="-13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120"/>
          </w:cols>
          <w:pgMar w:left="320" w:top="482"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881"/>
        <w:spacing w:after="0" w:line="237" w:lineRule="auto"/>
        <w:rPr>
          <w:sz w:val="20"/>
          <w:szCs w:val="20"/>
          <w:color w:val="auto"/>
        </w:rPr>
      </w:pPr>
      <w:r>
        <w:rPr>
          <w:rFonts w:ascii="Arial" w:cs="Arial" w:eastAsia="Arial" w:hAnsi="Arial"/>
          <w:sz w:val="20"/>
          <w:szCs w:val="20"/>
          <w:color w:val="auto"/>
        </w:rPr>
        <w:t>While we do not specifically benchmark our compensation against companies in the peer group, our Compensation Committee periodically reviews compensation analysis of the compensation paid by these companies and periodically surveys the compensation practices of these companies to assess our competitiveness. This information is used as part of the Compensation Committee’s considerations in setting compensation for our named executive officers.</w:t>
      </w:r>
    </w:p>
    <w:p>
      <w:pPr>
        <w:spacing w:after="0" w:line="170" w:lineRule="exact"/>
        <w:rPr>
          <w:sz w:val="20"/>
          <w:szCs w:val="20"/>
          <w:color w:val="auto"/>
        </w:rPr>
      </w:pPr>
    </w:p>
    <w:p>
      <w:pPr>
        <w:ind w:left="120" w:right="20" w:firstLine="881"/>
        <w:spacing w:after="0" w:line="232" w:lineRule="auto"/>
        <w:rPr>
          <w:sz w:val="20"/>
          <w:szCs w:val="20"/>
          <w:color w:val="auto"/>
        </w:rPr>
      </w:pPr>
      <w:r>
        <w:rPr>
          <w:rFonts w:ascii="Arial" w:cs="Arial" w:eastAsia="Arial" w:hAnsi="Arial"/>
          <w:sz w:val="20"/>
          <w:szCs w:val="20"/>
          <w:b w:val="1"/>
          <w:bCs w:val="1"/>
          <w:color w:val="auto"/>
        </w:rPr>
        <w:t xml:space="preserve">Stockholder Advisory Vote. </w:t>
      </w:r>
      <w:r>
        <w:rPr>
          <w:rFonts w:ascii="Arial" w:cs="Arial" w:eastAsia="Arial" w:hAnsi="Arial"/>
          <w:sz w:val="20"/>
          <w:szCs w:val="20"/>
          <w:color w:val="auto"/>
        </w:rPr>
        <w:t>Our Compensation Committee recognizes the fundamental interest our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have in the compensation of our named executive officers. At the 2024 Annual Meeting of Stockholders, approximately 98% of the shares present and entitled to vote on the advisory resolution on named executive compensation were voted to approve the compensation of the Company’s named executive officers. Based upon the results of such advisory vote and our review of our compensation policies and decisions, we believe that our existing compensation policies and decisions are consistent with our compensation philosophy and objectives discussed above and adequately align the interests of our named executive officers with the interests of our stockholders.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Elements of our Executive Compensation Program</w:t>
      </w:r>
    </w:p>
    <w:p>
      <w:pPr>
        <w:spacing w:after="0" w:line="202" w:lineRule="exact"/>
        <w:rPr>
          <w:sz w:val="20"/>
          <w:szCs w:val="20"/>
          <w:color w:val="auto"/>
        </w:rPr>
      </w:pPr>
    </w:p>
    <w:p>
      <w:pPr>
        <w:ind w:left="120" w:right="20" w:firstLine="1102"/>
        <w:spacing w:after="0" w:line="257" w:lineRule="auto"/>
        <w:rPr>
          <w:sz w:val="20"/>
          <w:szCs w:val="20"/>
          <w:color w:val="auto"/>
        </w:rPr>
      </w:pPr>
      <w:r>
        <w:rPr>
          <w:rFonts w:ascii="Arial" w:cs="Arial" w:eastAsia="Arial" w:hAnsi="Arial"/>
          <w:sz w:val="20"/>
          <w:szCs w:val="20"/>
          <w:color w:val="auto"/>
        </w:rPr>
        <w:t>The Company’s executive compensation program consists of the following elements, each established in order to achieve the compensation objective specified below:</w:t>
      </w:r>
    </w:p>
    <w:p>
      <w:pPr>
        <w:spacing w:after="0" w:line="204" w:lineRule="exact"/>
        <w:rPr>
          <w:sz w:val="20"/>
          <w:szCs w:val="20"/>
          <w:color w:val="auto"/>
        </w:rPr>
      </w:pPr>
    </w:p>
    <w:tbl>
      <w:tblPr>
        <w:tblLayout w:type="fixed"/>
        <w:tblInd w:w="130" w:type="dxa"/>
        <w:tblCellMar>
          <w:top w:w="0" w:type="dxa"/>
          <w:left w:w="0" w:type="dxa"/>
          <w:bottom w:w="0" w:type="dxa"/>
          <w:right w:w="0" w:type="dxa"/>
        </w:tblCellMar>
      </w:tblPr>
      <w:tr>
        <w:trPr>
          <w:trHeight w:val="498"/>
        </w:trPr>
        <w:tc>
          <w:tcPr>
            <w:tcW w:w="3360" w:type="dxa"/>
            <w:vAlign w:val="bottom"/>
            <w:tcBorders>
              <w:left w:val="single" w:sz="8" w:color="auto"/>
            </w:tcBorders>
            <w:shd w:val="clear" w:color="auto" w:fill="000000"/>
          </w:tcPr>
          <w:p>
            <w:pPr>
              <w:jc w:val="center"/>
              <w:ind w:left="70"/>
              <w:spacing w:after="0"/>
              <w:rPr>
                <w:sz w:val="20"/>
                <w:szCs w:val="20"/>
                <w:color w:val="auto"/>
              </w:rPr>
            </w:pPr>
            <w:r>
              <w:rPr>
                <w:rFonts w:ascii="Arial" w:cs="Arial" w:eastAsia="Arial" w:hAnsi="Arial"/>
                <w:sz w:val="18"/>
                <w:szCs w:val="18"/>
                <w:b w:val="1"/>
                <w:bCs w:val="1"/>
                <w:i w:val="1"/>
                <w:iCs w:val="1"/>
                <w:color w:val="FFFFFF"/>
                <w:w w:val="99"/>
              </w:rPr>
              <w:t>Compensation Element</w:t>
            </w:r>
          </w:p>
        </w:tc>
        <w:tc>
          <w:tcPr>
            <w:tcW w:w="7680" w:type="dxa"/>
            <w:vAlign w:val="bottom"/>
            <w:tcBorders>
              <w:right w:val="single" w:sz="8" w:color="auto"/>
            </w:tcBorders>
            <w:shd w:val="clear" w:color="auto" w:fill="000000"/>
          </w:tcPr>
          <w:p>
            <w:pPr>
              <w:jc w:val="center"/>
              <w:ind w:left="2430"/>
              <w:spacing w:after="0"/>
              <w:rPr>
                <w:sz w:val="20"/>
                <w:szCs w:val="20"/>
                <w:color w:val="auto"/>
              </w:rPr>
            </w:pPr>
            <w:r>
              <w:rPr>
                <w:rFonts w:ascii="Arial" w:cs="Arial" w:eastAsia="Arial" w:hAnsi="Arial"/>
                <w:sz w:val="18"/>
                <w:szCs w:val="18"/>
                <w:b w:val="1"/>
                <w:bCs w:val="1"/>
                <w:i w:val="1"/>
                <w:iCs w:val="1"/>
                <w:color w:val="FFFFFF"/>
                <w:w w:val="99"/>
              </w:rPr>
              <w:t>Desired Objectives and Key Features</w:t>
            </w:r>
          </w:p>
        </w:tc>
        <w:tc>
          <w:tcPr>
            <w:tcW w:w="0" w:type="dxa"/>
            <w:vAlign w:val="bottom"/>
          </w:tcPr>
          <w:p>
            <w:pPr>
              <w:spacing w:after="0"/>
              <w:rPr>
                <w:sz w:val="1"/>
                <w:szCs w:val="1"/>
                <w:color w:val="auto"/>
              </w:rPr>
            </w:pPr>
          </w:p>
        </w:tc>
      </w:tr>
      <w:tr>
        <w:trPr>
          <w:trHeight w:val="218"/>
        </w:trPr>
        <w:tc>
          <w:tcPr>
            <w:tcW w:w="3360" w:type="dxa"/>
            <w:vAlign w:val="bottom"/>
            <w:tcBorders>
              <w:left w:val="single" w:sz="8" w:color="auto"/>
            </w:tcBorders>
            <w:shd w:val="clear" w:color="auto" w:fill="000000"/>
          </w:tcPr>
          <w:p>
            <w:pPr>
              <w:spacing w:after="0"/>
              <w:rPr>
                <w:sz w:val="18"/>
                <w:szCs w:val="18"/>
                <w:color w:val="auto"/>
              </w:rPr>
            </w:pPr>
          </w:p>
        </w:tc>
        <w:tc>
          <w:tcPr>
            <w:tcW w:w="7680" w:type="dxa"/>
            <w:vAlign w:val="bottom"/>
            <w:tcBorders>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6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9"/>
              </w:rPr>
              <w:t>Base Salary</w:t>
            </w:r>
          </w:p>
        </w:tc>
        <w:tc>
          <w:tcPr>
            <w:tcW w:w="7680" w:type="dxa"/>
            <w:vAlign w:val="bottom"/>
            <w:tcBorders>
              <w:right w:val="single" w:sz="8" w:color="auto"/>
            </w:tcBorders>
          </w:tcPr>
          <w:p>
            <w:pPr>
              <w:jc w:val="center"/>
              <w:ind w:left="2430"/>
              <w:spacing w:after="0"/>
              <w:rPr>
                <w:sz w:val="20"/>
                <w:szCs w:val="20"/>
                <w:color w:val="auto"/>
              </w:rPr>
            </w:pPr>
            <w:r>
              <w:rPr>
                <w:rFonts w:ascii="Arial" w:cs="Arial" w:eastAsia="Arial" w:hAnsi="Arial"/>
                <w:sz w:val="18"/>
                <w:szCs w:val="18"/>
                <w:color w:val="auto"/>
                <w:w w:val="99"/>
              </w:rPr>
              <w:t>Attracts and retains key talent by offering base cash</w:t>
            </w:r>
          </w:p>
        </w:tc>
        <w:tc>
          <w:tcPr>
            <w:tcW w:w="0" w:type="dxa"/>
            <w:vAlign w:val="bottom"/>
          </w:tcPr>
          <w:p>
            <w:pPr>
              <w:spacing w:after="0"/>
              <w:rPr>
                <w:sz w:val="1"/>
                <w:szCs w:val="1"/>
                <w:color w:val="auto"/>
              </w:rPr>
            </w:pPr>
          </w:p>
        </w:tc>
      </w:tr>
      <w:tr>
        <w:trPr>
          <w:trHeight w:val="139"/>
        </w:trPr>
        <w:tc>
          <w:tcPr>
            <w:tcW w:w="3360" w:type="dxa"/>
            <w:vAlign w:val="bottom"/>
            <w:tcBorders>
              <w:left w:val="single" w:sz="8" w:color="auto"/>
            </w:tcBorders>
            <w:vMerge w:val="continue"/>
          </w:tcPr>
          <w:p>
            <w:pPr>
              <w:spacing w:after="0"/>
              <w:rPr>
                <w:sz w:val="12"/>
                <w:szCs w:val="12"/>
                <w:color w:val="auto"/>
              </w:rPr>
            </w:pPr>
          </w:p>
        </w:tc>
        <w:tc>
          <w:tcPr>
            <w:tcW w:w="7680" w:type="dxa"/>
            <w:vAlign w:val="bottom"/>
            <w:tcBorders>
              <w:right w:val="single" w:sz="8" w:color="auto"/>
            </w:tcBorders>
            <w:vMerge w:val="restart"/>
          </w:tcPr>
          <w:p>
            <w:pPr>
              <w:jc w:val="center"/>
              <w:ind w:left="2430"/>
              <w:spacing w:after="0"/>
              <w:rPr>
                <w:sz w:val="20"/>
                <w:szCs w:val="20"/>
                <w:color w:val="auto"/>
              </w:rPr>
            </w:pPr>
            <w:r>
              <w:rPr>
                <w:rFonts w:ascii="Arial" w:cs="Arial" w:eastAsia="Arial" w:hAnsi="Arial"/>
                <w:sz w:val="18"/>
                <w:szCs w:val="18"/>
                <w:color w:val="auto"/>
              </w:rPr>
              <w:t>compensation at competitive levels</w:t>
            </w:r>
          </w:p>
        </w:tc>
        <w:tc>
          <w:tcPr>
            <w:tcW w:w="0" w:type="dxa"/>
            <w:vAlign w:val="bottom"/>
          </w:tcPr>
          <w:p>
            <w:pPr>
              <w:spacing w:after="0"/>
              <w:rPr>
                <w:sz w:val="1"/>
                <w:szCs w:val="1"/>
                <w:color w:val="auto"/>
              </w:rPr>
            </w:pPr>
          </w:p>
        </w:tc>
      </w:tr>
      <w:tr>
        <w:trPr>
          <w:trHeight w:val="100"/>
        </w:trPr>
        <w:tc>
          <w:tcPr>
            <w:tcW w:w="3360" w:type="dxa"/>
            <w:vAlign w:val="bottom"/>
            <w:tcBorders>
              <w:left w:val="single" w:sz="8" w:color="auto"/>
            </w:tcBorders>
          </w:tcPr>
          <w:p>
            <w:pPr>
              <w:spacing w:after="0"/>
              <w:rPr>
                <w:sz w:val="8"/>
                <w:szCs w:val="8"/>
                <w:color w:val="auto"/>
              </w:rPr>
            </w:pPr>
          </w:p>
        </w:tc>
        <w:tc>
          <w:tcPr>
            <w:tcW w:w="7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360" w:type="dxa"/>
            <w:vAlign w:val="bottom"/>
            <w:tcBorders>
              <w:left w:val="single" w:sz="8" w:color="auto"/>
            </w:tcBorders>
          </w:tcPr>
          <w:p>
            <w:pPr>
              <w:spacing w:after="0"/>
              <w:rPr>
                <w:sz w:val="5"/>
                <w:szCs w:val="5"/>
                <w:color w:val="auto"/>
              </w:rPr>
            </w:pPr>
          </w:p>
        </w:tc>
        <w:tc>
          <w:tcPr>
            <w:tcW w:w="7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60" w:type="dxa"/>
            <w:vAlign w:val="bottom"/>
            <w:tcBorders>
              <w:left w:val="single" w:sz="8" w:color="auto"/>
            </w:tcBorders>
            <w:vMerge w:val="restart"/>
            <w:shd w:val="clear" w:color="auto" w:fill="E5E5E5"/>
          </w:tcPr>
          <w:p>
            <w:pPr>
              <w:jc w:val="center"/>
              <w:ind w:left="70"/>
              <w:spacing w:after="0"/>
              <w:rPr>
                <w:sz w:val="20"/>
                <w:szCs w:val="20"/>
                <w:color w:val="auto"/>
              </w:rPr>
            </w:pPr>
            <w:r>
              <w:rPr>
                <w:rFonts w:ascii="Arial" w:cs="Arial" w:eastAsia="Arial" w:hAnsi="Arial"/>
                <w:sz w:val="18"/>
                <w:szCs w:val="18"/>
                <w:b w:val="1"/>
                <w:bCs w:val="1"/>
                <w:color w:val="auto"/>
                <w:w w:val="99"/>
              </w:rPr>
              <w:t>Cash-Based Incentive Compensation</w:t>
            </w:r>
          </w:p>
        </w:tc>
        <w:tc>
          <w:tcPr>
            <w:tcW w:w="7680" w:type="dxa"/>
            <w:vAlign w:val="bottom"/>
            <w:tcBorders>
              <w:right w:val="single" w:sz="8" w:color="auto"/>
            </w:tcBorders>
            <w:shd w:val="clear" w:color="auto" w:fill="E5E5E5"/>
          </w:tcPr>
          <w:p>
            <w:pPr>
              <w:jc w:val="center"/>
              <w:ind w:left="2410"/>
              <w:spacing w:after="0"/>
              <w:rPr>
                <w:sz w:val="20"/>
                <w:szCs w:val="20"/>
                <w:color w:val="auto"/>
              </w:rPr>
            </w:pPr>
            <w:r>
              <w:rPr>
                <w:rFonts w:ascii="Arial" w:cs="Arial" w:eastAsia="Arial" w:hAnsi="Arial"/>
                <w:sz w:val="18"/>
                <w:szCs w:val="18"/>
                <w:color w:val="auto"/>
                <w:w w:val="99"/>
              </w:rPr>
              <w:t>Provides short-term incentives based on the Company’s</w:t>
            </w:r>
          </w:p>
        </w:tc>
        <w:tc>
          <w:tcPr>
            <w:tcW w:w="0" w:type="dxa"/>
            <w:vAlign w:val="bottom"/>
          </w:tcPr>
          <w:p>
            <w:pPr>
              <w:spacing w:after="0"/>
              <w:rPr>
                <w:sz w:val="1"/>
                <w:szCs w:val="1"/>
                <w:color w:val="auto"/>
              </w:rPr>
            </w:pPr>
          </w:p>
        </w:tc>
      </w:tr>
      <w:tr>
        <w:trPr>
          <w:trHeight w:val="139"/>
        </w:trPr>
        <w:tc>
          <w:tcPr>
            <w:tcW w:w="3360" w:type="dxa"/>
            <w:vAlign w:val="bottom"/>
            <w:tcBorders>
              <w:left w:val="single" w:sz="8" w:color="auto"/>
            </w:tcBorders>
            <w:vMerge w:val="continue"/>
            <w:shd w:val="clear" w:color="auto" w:fill="E5E5E5"/>
          </w:tcPr>
          <w:p>
            <w:pPr>
              <w:spacing w:after="0"/>
              <w:rPr>
                <w:sz w:val="12"/>
                <w:szCs w:val="12"/>
                <w:color w:val="auto"/>
              </w:rPr>
            </w:pPr>
          </w:p>
        </w:tc>
        <w:tc>
          <w:tcPr>
            <w:tcW w:w="7680" w:type="dxa"/>
            <w:vAlign w:val="bottom"/>
            <w:tcBorders>
              <w:right w:val="single" w:sz="8" w:color="auto"/>
            </w:tcBorders>
            <w:vMerge w:val="restart"/>
            <w:shd w:val="clear" w:color="auto" w:fill="E5E5E5"/>
          </w:tcPr>
          <w:p>
            <w:pPr>
              <w:jc w:val="center"/>
              <w:ind w:left="2430"/>
              <w:spacing w:after="0"/>
              <w:rPr>
                <w:sz w:val="20"/>
                <w:szCs w:val="20"/>
                <w:color w:val="auto"/>
              </w:rPr>
            </w:pPr>
            <w:r>
              <w:rPr>
                <w:rFonts w:ascii="Arial" w:cs="Arial" w:eastAsia="Arial" w:hAnsi="Arial"/>
                <w:sz w:val="18"/>
                <w:szCs w:val="18"/>
                <w:color w:val="auto"/>
                <w:w w:val="99"/>
              </w:rPr>
              <w:t>annual performance</w:t>
            </w:r>
          </w:p>
        </w:tc>
        <w:tc>
          <w:tcPr>
            <w:tcW w:w="0" w:type="dxa"/>
            <w:vAlign w:val="bottom"/>
          </w:tcPr>
          <w:p>
            <w:pPr>
              <w:spacing w:after="0"/>
              <w:rPr>
                <w:sz w:val="1"/>
                <w:szCs w:val="1"/>
                <w:color w:val="auto"/>
              </w:rPr>
            </w:pPr>
          </w:p>
        </w:tc>
      </w:tr>
      <w:tr>
        <w:trPr>
          <w:trHeight w:val="100"/>
        </w:trPr>
        <w:tc>
          <w:tcPr>
            <w:tcW w:w="3360" w:type="dxa"/>
            <w:vAlign w:val="bottom"/>
            <w:tcBorders>
              <w:left w:val="single" w:sz="8" w:color="auto"/>
            </w:tcBorders>
            <w:shd w:val="clear" w:color="auto" w:fill="E5E5E5"/>
          </w:tcPr>
          <w:p>
            <w:pPr>
              <w:spacing w:after="0"/>
              <w:rPr>
                <w:sz w:val="8"/>
                <w:szCs w:val="8"/>
                <w:color w:val="auto"/>
              </w:rPr>
            </w:pPr>
          </w:p>
        </w:tc>
        <w:tc>
          <w:tcPr>
            <w:tcW w:w="7680" w:type="dxa"/>
            <w:vAlign w:val="bottom"/>
            <w:tcBorders>
              <w:right w:val="single" w:sz="8" w:color="auto"/>
            </w:tcBorders>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60" w:type="dxa"/>
            <w:vAlign w:val="bottom"/>
            <w:tcBorders>
              <w:left w:val="single" w:sz="8" w:color="auto"/>
            </w:tcBorders>
            <w:shd w:val="clear" w:color="auto" w:fill="E5E5E5"/>
          </w:tcPr>
          <w:p>
            <w:pPr>
              <w:spacing w:after="0"/>
              <w:rPr>
                <w:sz w:val="5"/>
                <w:szCs w:val="5"/>
                <w:color w:val="auto"/>
              </w:rPr>
            </w:pPr>
          </w:p>
        </w:tc>
        <w:tc>
          <w:tcPr>
            <w:tcW w:w="7680" w:type="dxa"/>
            <w:vAlign w:val="bottom"/>
            <w:tcBorders>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60" w:type="dxa"/>
            <w:vAlign w:val="bottom"/>
            <w:tcBorders>
              <w:left w:val="single" w:sz="8" w:color="auto"/>
            </w:tcBorders>
          </w:tcPr>
          <w:p>
            <w:pPr>
              <w:spacing w:after="0"/>
              <w:rPr>
                <w:sz w:val="21"/>
                <w:szCs w:val="21"/>
                <w:color w:val="auto"/>
              </w:rPr>
            </w:pPr>
          </w:p>
        </w:tc>
        <w:tc>
          <w:tcPr>
            <w:tcW w:w="7680" w:type="dxa"/>
            <w:vAlign w:val="bottom"/>
            <w:tcBorders>
              <w:right w:val="single" w:sz="8" w:color="auto"/>
            </w:tcBorders>
          </w:tcPr>
          <w:p>
            <w:pPr>
              <w:jc w:val="center"/>
              <w:ind w:left="2430"/>
              <w:spacing w:after="0"/>
              <w:rPr>
                <w:sz w:val="20"/>
                <w:szCs w:val="20"/>
                <w:color w:val="auto"/>
              </w:rPr>
            </w:pPr>
            <w:r>
              <w:rPr>
                <w:rFonts w:ascii="Arial" w:cs="Arial" w:eastAsia="Arial" w:hAnsi="Arial"/>
                <w:sz w:val="18"/>
                <w:szCs w:val="18"/>
                <w:color w:val="auto"/>
              </w:rPr>
              <w:t>Provides long-term equity incentives to align the interests</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Equity Compensation</w:t>
            </w:r>
          </w:p>
        </w:tc>
        <w:tc>
          <w:tcPr>
            <w:tcW w:w="7680" w:type="dxa"/>
            <w:vAlign w:val="bottom"/>
            <w:tcBorders>
              <w:right w:val="single" w:sz="8" w:color="auto"/>
            </w:tcBorders>
          </w:tcPr>
          <w:p>
            <w:pPr>
              <w:jc w:val="center"/>
              <w:ind w:left="2410"/>
              <w:spacing w:after="0"/>
              <w:rPr>
                <w:sz w:val="20"/>
                <w:szCs w:val="20"/>
                <w:color w:val="auto"/>
              </w:rPr>
            </w:pPr>
            <w:r>
              <w:rPr>
                <w:rFonts w:ascii="Arial" w:cs="Arial" w:eastAsia="Arial" w:hAnsi="Arial"/>
                <w:sz w:val="18"/>
                <w:szCs w:val="18"/>
                <w:color w:val="auto"/>
                <w:w w:val="99"/>
              </w:rPr>
              <w:t>of our named executive officers and stockholders and to</w:t>
            </w:r>
          </w:p>
        </w:tc>
        <w:tc>
          <w:tcPr>
            <w:tcW w:w="0" w:type="dxa"/>
            <w:vAlign w:val="bottom"/>
          </w:tcPr>
          <w:p>
            <w:pPr>
              <w:spacing w:after="0"/>
              <w:rPr>
                <w:sz w:val="1"/>
                <w:szCs w:val="1"/>
                <w:color w:val="auto"/>
              </w:rPr>
            </w:pPr>
          </w:p>
        </w:tc>
      </w:tr>
      <w:tr>
        <w:trPr>
          <w:trHeight w:val="239"/>
        </w:trPr>
        <w:tc>
          <w:tcPr>
            <w:tcW w:w="33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jc w:val="center"/>
              <w:ind w:left="2430"/>
              <w:spacing w:after="0"/>
              <w:rPr>
                <w:sz w:val="20"/>
                <w:szCs w:val="20"/>
                <w:color w:val="auto"/>
              </w:rPr>
            </w:pPr>
            <w:r>
              <w:rPr>
                <w:rFonts w:ascii="Arial" w:cs="Arial" w:eastAsia="Arial" w:hAnsi="Arial"/>
                <w:sz w:val="18"/>
                <w:szCs w:val="18"/>
                <w:color w:val="auto"/>
              </w:rPr>
              <w:t>retain key talent</w:t>
            </w:r>
          </w:p>
        </w:tc>
        <w:tc>
          <w:tcPr>
            <w:tcW w:w="0" w:type="dxa"/>
            <w:vAlign w:val="bottom"/>
          </w:tcPr>
          <w:p>
            <w:pPr>
              <w:spacing w:after="0"/>
              <w:rPr>
                <w:sz w:val="1"/>
                <w:szCs w:val="1"/>
                <w:color w:val="auto"/>
              </w:rPr>
            </w:pPr>
          </w:p>
        </w:tc>
      </w:tr>
      <w:tr>
        <w:trPr>
          <w:trHeight w:val="64"/>
        </w:trPr>
        <w:tc>
          <w:tcPr>
            <w:tcW w:w="3360" w:type="dxa"/>
            <w:vAlign w:val="bottom"/>
            <w:tcBorders>
              <w:left w:val="single" w:sz="8" w:color="auto"/>
            </w:tcBorders>
          </w:tcPr>
          <w:p>
            <w:pPr>
              <w:spacing w:after="0"/>
              <w:rPr>
                <w:sz w:val="5"/>
                <w:szCs w:val="5"/>
                <w:color w:val="auto"/>
              </w:rPr>
            </w:pPr>
          </w:p>
        </w:tc>
        <w:tc>
          <w:tcPr>
            <w:tcW w:w="7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60" w:type="dxa"/>
            <w:vAlign w:val="bottom"/>
            <w:tcBorders>
              <w:left w:val="single" w:sz="8" w:color="auto"/>
            </w:tcBorders>
            <w:shd w:val="clear" w:color="auto" w:fill="E5E5E5"/>
          </w:tcPr>
          <w:p>
            <w:pPr>
              <w:jc w:val="center"/>
              <w:ind w:left="70"/>
              <w:spacing w:after="0"/>
              <w:rPr>
                <w:sz w:val="20"/>
                <w:szCs w:val="20"/>
                <w:color w:val="auto"/>
              </w:rPr>
            </w:pPr>
            <w:r>
              <w:rPr>
                <w:rFonts w:ascii="Arial" w:cs="Arial" w:eastAsia="Arial" w:hAnsi="Arial"/>
                <w:sz w:val="18"/>
                <w:szCs w:val="18"/>
                <w:b w:val="1"/>
                <w:bCs w:val="1"/>
                <w:color w:val="auto"/>
                <w:w w:val="99"/>
              </w:rPr>
              <w:t>Severance and Other Benefits</w:t>
            </w:r>
          </w:p>
        </w:tc>
        <w:tc>
          <w:tcPr>
            <w:tcW w:w="7680" w:type="dxa"/>
            <w:vAlign w:val="bottom"/>
            <w:tcBorders>
              <w:right w:val="single" w:sz="8" w:color="auto"/>
            </w:tcBorders>
            <w:vMerge w:val="restart"/>
            <w:shd w:val="clear" w:color="auto" w:fill="E5E5E5"/>
          </w:tcPr>
          <w:p>
            <w:pPr>
              <w:jc w:val="center"/>
              <w:ind w:left="2430"/>
              <w:spacing w:after="0"/>
              <w:rPr>
                <w:sz w:val="20"/>
                <w:szCs w:val="20"/>
                <w:color w:val="auto"/>
              </w:rPr>
            </w:pPr>
            <w:r>
              <w:rPr>
                <w:rFonts w:ascii="Arial" w:cs="Arial" w:eastAsia="Arial" w:hAnsi="Arial"/>
                <w:sz w:val="18"/>
                <w:szCs w:val="18"/>
                <w:color w:val="auto"/>
                <w:w w:val="99"/>
              </w:rPr>
              <w:t>Creates clarity around termination or change in control</w:t>
            </w: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tcBorders>
            <w:vMerge w:val="restart"/>
            <w:shd w:val="clear" w:color="auto" w:fill="E5E5E5"/>
          </w:tcPr>
          <w:p>
            <w:pPr>
              <w:jc w:val="center"/>
              <w:ind w:left="70"/>
              <w:spacing w:after="0"/>
              <w:rPr>
                <w:sz w:val="20"/>
                <w:szCs w:val="20"/>
                <w:color w:val="auto"/>
              </w:rPr>
            </w:pPr>
            <w:r>
              <w:rPr>
                <w:rFonts w:ascii="Arial" w:cs="Arial" w:eastAsia="Arial" w:hAnsi="Arial"/>
                <w:sz w:val="18"/>
                <w:szCs w:val="18"/>
                <w:b w:val="1"/>
                <w:bCs w:val="1"/>
                <w:color w:val="auto"/>
                <w:w w:val="99"/>
              </w:rPr>
              <w:t>Potentially Payable upon Termination</w:t>
            </w:r>
          </w:p>
        </w:tc>
        <w:tc>
          <w:tcPr>
            <w:tcW w:w="7680" w:type="dxa"/>
            <w:vAlign w:val="bottom"/>
            <w:tcBorders>
              <w:right w:val="single" w:sz="8" w:color="auto"/>
            </w:tcBorders>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tcBorders>
            <w:vMerge w:val="continue"/>
            <w:shd w:val="clear" w:color="auto" w:fill="E5E5E5"/>
          </w:tcPr>
          <w:p>
            <w:pPr>
              <w:spacing w:after="0"/>
              <w:rPr>
                <w:sz w:val="9"/>
                <w:szCs w:val="9"/>
                <w:color w:val="auto"/>
              </w:rPr>
            </w:pPr>
          </w:p>
        </w:tc>
        <w:tc>
          <w:tcPr>
            <w:tcW w:w="7680" w:type="dxa"/>
            <w:vAlign w:val="bottom"/>
            <w:tcBorders>
              <w:right w:val="single" w:sz="8" w:color="auto"/>
            </w:tcBorders>
            <w:vMerge w:val="restart"/>
            <w:shd w:val="clear" w:color="auto" w:fill="E5E5E5"/>
          </w:tcPr>
          <w:p>
            <w:pPr>
              <w:jc w:val="center"/>
              <w:ind w:left="2430"/>
              <w:spacing w:after="0"/>
              <w:rPr>
                <w:sz w:val="20"/>
                <w:szCs w:val="20"/>
                <w:color w:val="auto"/>
              </w:rPr>
            </w:pPr>
            <w:r>
              <w:rPr>
                <w:rFonts w:ascii="Arial" w:cs="Arial" w:eastAsia="Arial" w:hAnsi="Arial"/>
                <w:sz w:val="18"/>
                <w:szCs w:val="18"/>
                <w:color w:val="auto"/>
                <w:w w:val="99"/>
              </w:rPr>
              <w:t>events and provides for retention of executives</w:t>
            </w: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tcBorders>
            <w:vMerge w:val="restart"/>
            <w:shd w:val="clear" w:color="auto" w:fill="E5E5E5"/>
          </w:tcPr>
          <w:p>
            <w:pPr>
              <w:jc w:val="center"/>
              <w:ind w:left="50"/>
              <w:spacing w:after="0"/>
              <w:rPr>
                <w:sz w:val="20"/>
                <w:szCs w:val="20"/>
                <w:color w:val="auto"/>
              </w:rPr>
            </w:pPr>
            <w:r>
              <w:rPr>
                <w:rFonts w:ascii="Arial" w:cs="Arial" w:eastAsia="Arial" w:hAnsi="Arial"/>
                <w:sz w:val="18"/>
                <w:szCs w:val="18"/>
                <w:b w:val="1"/>
                <w:bCs w:val="1"/>
                <w:color w:val="auto"/>
                <w:w w:val="99"/>
              </w:rPr>
              <w:t>of Employment or Change in Control</w:t>
            </w:r>
          </w:p>
        </w:tc>
        <w:tc>
          <w:tcPr>
            <w:tcW w:w="7680" w:type="dxa"/>
            <w:vAlign w:val="bottom"/>
            <w:tcBorders>
              <w:right w:val="single" w:sz="8" w:color="auto"/>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60" w:type="dxa"/>
            <w:vAlign w:val="bottom"/>
            <w:tcBorders>
              <w:left w:val="single" w:sz="8" w:color="auto"/>
              <w:bottom w:val="single" w:sz="8" w:color="E5E5E5"/>
            </w:tcBorders>
            <w:vMerge w:val="continue"/>
            <w:shd w:val="clear" w:color="auto" w:fill="E5E5E5"/>
          </w:tcPr>
          <w:p>
            <w:pPr>
              <w:spacing w:after="0"/>
              <w:rPr>
                <w:sz w:val="13"/>
                <w:szCs w:val="13"/>
                <w:color w:val="auto"/>
              </w:rPr>
            </w:pPr>
          </w:p>
        </w:tc>
        <w:tc>
          <w:tcPr>
            <w:tcW w:w="7680" w:type="dxa"/>
            <w:vAlign w:val="bottom"/>
            <w:tcBorders>
              <w:bottom w:val="single" w:sz="8" w:color="E5E5E5"/>
              <w:right w:val="single" w:sz="8" w:color="auto"/>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33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Health and Welfare Benefits</w:t>
            </w:r>
          </w:p>
        </w:tc>
        <w:tc>
          <w:tcPr>
            <w:tcW w:w="7680" w:type="dxa"/>
            <w:vAlign w:val="bottom"/>
            <w:tcBorders>
              <w:right w:val="single" w:sz="8" w:color="auto"/>
            </w:tcBorders>
          </w:tcPr>
          <w:p>
            <w:pPr>
              <w:jc w:val="center"/>
              <w:ind w:left="2410"/>
              <w:spacing w:after="0"/>
              <w:rPr>
                <w:sz w:val="20"/>
                <w:szCs w:val="20"/>
                <w:color w:val="auto"/>
              </w:rPr>
            </w:pPr>
            <w:r>
              <w:rPr>
                <w:rFonts w:ascii="Arial" w:cs="Arial" w:eastAsia="Arial" w:hAnsi="Arial"/>
                <w:sz w:val="18"/>
                <w:szCs w:val="18"/>
                <w:color w:val="auto"/>
                <w:w w:val="99"/>
              </w:rPr>
              <w:t>Offers market-competitive benefits</w:t>
            </w:r>
          </w:p>
        </w:tc>
        <w:tc>
          <w:tcPr>
            <w:tcW w:w="0" w:type="dxa"/>
            <w:vAlign w:val="bottom"/>
          </w:tcPr>
          <w:p>
            <w:pPr>
              <w:spacing w:after="0"/>
              <w:rPr>
                <w:sz w:val="1"/>
                <w:szCs w:val="1"/>
                <w:color w:val="auto"/>
              </w:rPr>
            </w:pPr>
          </w:p>
        </w:tc>
      </w:tr>
      <w:tr>
        <w:trPr>
          <w:trHeight w:val="55"/>
        </w:trPr>
        <w:tc>
          <w:tcPr>
            <w:tcW w:w="3360" w:type="dxa"/>
            <w:vAlign w:val="bottom"/>
            <w:tcBorders>
              <w:left w:val="single" w:sz="8" w:color="auto"/>
              <w:bottom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Base Salaries</w:t>
      </w:r>
    </w:p>
    <w:p>
      <w:pPr>
        <w:spacing w:after="0" w:line="94" w:lineRule="exact"/>
        <w:rPr>
          <w:sz w:val="20"/>
          <w:szCs w:val="20"/>
          <w:color w:val="auto"/>
        </w:rPr>
      </w:pPr>
    </w:p>
    <w:p>
      <w:pPr>
        <w:ind w:left="120" w:right="120" w:firstLine="881"/>
        <w:spacing w:after="0" w:line="233" w:lineRule="auto"/>
        <w:rPr>
          <w:sz w:val="20"/>
          <w:szCs w:val="20"/>
          <w:color w:val="auto"/>
        </w:rPr>
      </w:pPr>
      <w:r>
        <w:rPr>
          <w:rFonts w:ascii="Arial" w:cs="Arial" w:eastAsia="Arial" w:hAnsi="Arial"/>
          <w:sz w:val="20"/>
          <w:szCs w:val="20"/>
          <w:color w:val="auto"/>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are reviewed annually by the Compensation Committee. The Compensation Committee considers (i) competitive market data provided by the Compensation Consultant for base salary, annual incentive targets and long-term incentive awards, (ii) the recommendations of the CEO, and (iii) the experience, tenure, and performance of each executive.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The following table sets forth the base salary and adjustments for fiscal year 2024 for each named executive officer:</w:t>
      </w:r>
    </w:p>
    <w:p>
      <w:pPr>
        <w:spacing w:after="0" w:line="242"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50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  Named Executive Officer</w:t>
            </w:r>
          </w:p>
        </w:tc>
        <w:tc>
          <w:tcPr>
            <w:tcW w:w="220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 Base Salary </w:t>
            </w:r>
          </w:p>
        </w:tc>
        <w:tc>
          <w:tcPr>
            <w:tcW w:w="220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 Base Salary </w:t>
            </w:r>
          </w:p>
        </w:tc>
        <w:tc>
          <w:tcPr>
            <w:tcW w:w="150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Increase </w:t>
            </w:r>
          </w:p>
        </w:tc>
      </w:tr>
      <w:tr>
        <w:trPr>
          <w:trHeight w:val="302"/>
        </w:trPr>
        <w:tc>
          <w:tcPr>
            <w:tcW w:w="502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John Reed</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$1,499,680 </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$1,456,000 </w:t>
            </w:r>
          </w:p>
        </w:tc>
        <w:tc>
          <w:tcPr>
            <w:tcW w:w="1500" w:type="dxa"/>
            <w:vAlign w:val="bottom"/>
            <w:tcBorders>
              <w:bottom w:val="single" w:sz="8" w:color="F2F2F2"/>
              <w:right w:val="single" w:sz="8" w:color="auto"/>
            </w:tcBorders>
            <w:shd w:val="clear" w:color="auto" w:fill="F2F2F2"/>
          </w:tcPr>
          <w:p>
            <w:pPr>
              <w:jc w:val="right"/>
              <w:ind w:right="70"/>
              <w:spacing w:after="0"/>
              <w:rPr>
                <w:sz w:val="20"/>
                <w:szCs w:val="20"/>
                <w:color w:val="auto"/>
              </w:rPr>
            </w:pPr>
            <w:r>
              <w:rPr>
                <w:rFonts w:ascii="Arial" w:cs="Arial" w:eastAsia="Arial" w:hAnsi="Arial"/>
                <w:sz w:val="18"/>
                <w:szCs w:val="18"/>
                <w:color w:val="auto"/>
              </w:rPr>
              <w:t>3.0% </w:t>
            </w:r>
          </w:p>
        </w:tc>
      </w:tr>
      <w:tr>
        <w:trPr>
          <w:trHeight w:val="241"/>
        </w:trPr>
        <w:tc>
          <w:tcPr>
            <w:tcW w:w="50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Dawn Phillipson</w:t>
            </w:r>
          </w:p>
        </w:tc>
        <w:tc>
          <w:tcPr>
            <w:tcW w:w="22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$492,752 </w:t>
            </w:r>
          </w:p>
        </w:tc>
        <w:tc>
          <w:tcPr>
            <w:tcW w:w="22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$478,400 </w:t>
            </w:r>
          </w:p>
        </w:tc>
        <w:tc>
          <w:tcPr>
            <w:tcW w:w="15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3.0% </w:t>
            </w:r>
          </w:p>
        </w:tc>
      </w:tr>
      <w:tr>
        <w:trPr>
          <w:trHeight w:val="50"/>
        </w:trPr>
        <w:tc>
          <w:tcPr>
            <w:tcW w:w="5020" w:type="dxa"/>
            <w:vAlign w:val="bottom"/>
            <w:tcBorders>
              <w:left w:val="single" w:sz="8" w:color="auto"/>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96"/>
        </w:trPr>
        <w:tc>
          <w:tcPr>
            <w:tcW w:w="502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Kathy Veltri</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$492,752 </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$478,400 </w:t>
            </w:r>
          </w:p>
        </w:tc>
        <w:tc>
          <w:tcPr>
            <w:tcW w:w="1500" w:type="dxa"/>
            <w:vAlign w:val="bottom"/>
            <w:tcBorders>
              <w:bottom w:val="single" w:sz="8" w:color="F2F2F2"/>
              <w:right w:val="single" w:sz="8" w:color="auto"/>
            </w:tcBorders>
            <w:shd w:val="clear" w:color="auto" w:fill="F2F2F2"/>
          </w:tcPr>
          <w:p>
            <w:pPr>
              <w:jc w:val="right"/>
              <w:ind w:right="70"/>
              <w:spacing w:after="0"/>
              <w:rPr>
                <w:sz w:val="20"/>
                <w:szCs w:val="20"/>
                <w:color w:val="auto"/>
              </w:rPr>
            </w:pPr>
            <w:r>
              <w:rPr>
                <w:rFonts w:ascii="Arial" w:cs="Arial" w:eastAsia="Arial" w:hAnsi="Arial"/>
                <w:sz w:val="18"/>
                <w:szCs w:val="18"/>
                <w:color w:val="auto"/>
              </w:rPr>
              <w:t>3.0% </w:t>
            </w:r>
          </w:p>
        </w:tc>
      </w:tr>
      <w:tr>
        <w:trPr>
          <w:trHeight w:val="241"/>
        </w:trPr>
        <w:tc>
          <w:tcPr>
            <w:tcW w:w="50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Jennifer Porter</w:t>
            </w:r>
          </w:p>
        </w:tc>
        <w:tc>
          <w:tcPr>
            <w:tcW w:w="22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$482,040 </w:t>
            </w:r>
          </w:p>
        </w:tc>
        <w:tc>
          <w:tcPr>
            <w:tcW w:w="22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$468,000 </w:t>
            </w:r>
          </w:p>
        </w:tc>
        <w:tc>
          <w:tcPr>
            <w:tcW w:w="15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3.0% </w:t>
            </w:r>
          </w:p>
        </w:tc>
      </w:tr>
      <w:tr>
        <w:trPr>
          <w:trHeight w:val="50"/>
        </w:trPr>
        <w:tc>
          <w:tcPr>
            <w:tcW w:w="5020" w:type="dxa"/>
            <w:vAlign w:val="bottom"/>
            <w:tcBorders>
              <w:left w:val="single" w:sz="8" w:color="auto"/>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r>
      <w:tr>
        <w:trPr>
          <w:trHeight w:val="271"/>
        </w:trPr>
        <w:tc>
          <w:tcPr>
            <w:tcW w:w="502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Lisa Chi</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$449,904 </w:t>
            </w:r>
          </w:p>
        </w:tc>
        <w:tc>
          <w:tcPr>
            <w:tcW w:w="2200" w:type="dxa"/>
            <w:vAlign w:val="bottom"/>
            <w:tcBorders>
              <w:bottom w:val="single" w:sz="8" w:color="F2F2F2"/>
              <w:right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$436,800 </w:t>
            </w:r>
          </w:p>
        </w:tc>
        <w:tc>
          <w:tcPr>
            <w:tcW w:w="1500" w:type="dxa"/>
            <w:vAlign w:val="bottom"/>
            <w:tcBorders>
              <w:bottom w:val="single" w:sz="8" w:color="F2F2F2"/>
              <w:right w:val="single" w:sz="8" w:color="auto"/>
            </w:tcBorders>
            <w:shd w:val="clear" w:color="auto" w:fill="F2F2F2"/>
          </w:tcPr>
          <w:p>
            <w:pPr>
              <w:jc w:val="right"/>
              <w:ind w:right="70"/>
              <w:spacing w:after="0"/>
              <w:rPr>
                <w:sz w:val="20"/>
                <w:szCs w:val="20"/>
                <w:color w:val="auto"/>
              </w:rPr>
            </w:pPr>
            <w:r>
              <w:rPr>
                <w:rFonts w:ascii="Arial" w:cs="Arial" w:eastAsia="Arial" w:hAnsi="Arial"/>
                <w:sz w:val="18"/>
                <w:szCs w:val="18"/>
                <w:color w:val="auto"/>
              </w:rPr>
              <w:t>3.0% </w:t>
            </w:r>
          </w:p>
        </w:tc>
      </w:tr>
      <w:tr>
        <w:trPr>
          <w:trHeight w:val="20"/>
        </w:trPr>
        <w:tc>
          <w:tcPr>
            <w:tcW w:w="5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Cash-Based Incentive Compensation</w:t>
      </w:r>
    </w:p>
    <w:p>
      <w:pPr>
        <w:spacing w:after="0" w:line="202" w:lineRule="exact"/>
        <w:rPr>
          <w:sz w:val="20"/>
          <w:szCs w:val="20"/>
          <w:color w:val="auto"/>
        </w:rPr>
      </w:pPr>
    </w:p>
    <w:p>
      <w:pPr>
        <w:ind w:left="120" w:right="460" w:firstLine="881"/>
        <w:spacing w:after="0" w:line="450" w:lineRule="auto"/>
        <w:rPr>
          <w:sz w:val="20"/>
          <w:szCs w:val="20"/>
          <w:color w:val="auto"/>
        </w:rPr>
      </w:pPr>
      <w:r>
        <w:rPr>
          <w:rFonts w:ascii="Arial" w:cs="Arial" w:eastAsia="Arial" w:hAnsi="Arial"/>
          <w:sz w:val="20"/>
          <w:szCs w:val="20"/>
          <w:color w:val="auto"/>
        </w:rPr>
        <w:t xml:space="preserve">We consider annual cash incentive bonuses to be an important component of our total compensation program. </w:t>
      </w:r>
      <w:r>
        <w:rPr>
          <w:rFonts w:ascii="Arial" w:cs="Arial" w:eastAsia="Arial" w:hAnsi="Arial"/>
          <w:sz w:val="20"/>
          <w:szCs w:val="20"/>
          <w:i w:val="1"/>
          <w:iCs w:val="1"/>
          <w:color w:val="auto"/>
        </w:rPr>
        <w:t>Annual Incentive Plan</w:t>
      </w:r>
    </w:p>
    <w:p>
      <w:pPr>
        <w:spacing w:after="0" w:line="2" w:lineRule="exact"/>
        <w:rPr>
          <w:sz w:val="20"/>
          <w:szCs w:val="20"/>
          <w:color w:val="auto"/>
        </w:rPr>
      </w:pPr>
    </w:p>
    <w:p>
      <w:pPr>
        <w:ind w:left="120" w:firstLine="881"/>
        <w:spacing w:after="0" w:line="237" w:lineRule="auto"/>
        <w:rPr>
          <w:sz w:val="20"/>
          <w:szCs w:val="20"/>
          <w:color w:val="auto"/>
        </w:rPr>
      </w:pPr>
      <w:r>
        <w:rPr>
          <w:rFonts w:ascii="Arial" w:cs="Arial" w:eastAsia="Arial" w:hAnsi="Arial"/>
          <w:sz w:val="20"/>
          <w:szCs w:val="20"/>
          <w:color w:val="auto"/>
        </w:rPr>
        <w:t>For fiscal year 2024, the Compensation Committee adopted a cash-based incentive plan, the Arhaus Incentive Plan (“AIP”), in which certain team members, including our named executive officers, participated. Each participant had a target incentive amount based on a percentage of base salary for 2024 (“Target Incentive”). In fiscal year 2024, the Target Incentives for our named executive officers were as follows:</w:t>
      </w:r>
    </w:p>
    <w:p>
      <w:pPr>
        <w:spacing w:after="0" w:line="200" w:lineRule="exact"/>
        <w:rPr>
          <w:sz w:val="20"/>
          <w:szCs w:val="20"/>
          <w:color w:val="auto"/>
        </w:rPr>
      </w:pPr>
    </w:p>
    <w:tbl>
      <w:tblPr>
        <w:tblLayout w:type="fixed"/>
        <w:tblInd w:w="2330" w:type="dxa"/>
        <w:tblCellMar>
          <w:top w:w="0" w:type="dxa"/>
          <w:left w:w="0" w:type="dxa"/>
          <w:bottom w:w="0" w:type="dxa"/>
          <w:right w:w="0" w:type="dxa"/>
        </w:tblCellMar>
      </w:tblPr>
      <w:tr>
        <w:trPr>
          <w:trHeight w:val="197"/>
        </w:trPr>
        <w:tc>
          <w:tcPr>
            <w:tcW w:w="4240" w:type="dxa"/>
            <w:vAlign w:val="bottom"/>
            <w:tcBorders>
              <w:top w:val="single" w:sz="8" w:color="auto"/>
              <w:left w:val="single" w:sz="8" w:color="auto"/>
              <w:right w:val="single" w:sz="8" w:color="auto"/>
            </w:tcBorders>
            <w:vMerge w:val="restart"/>
          </w:tcPr>
          <w:p>
            <w:pPr>
              <w:ind w:left="1440"/>
              <w:spacing w:after="0"/>
              <w:rPr>
                <w:sz w:val="20"/>
                <w:szCs w:val="20"/>
                <w:color w:val="auto"/>
              </w:rPr>
            </w:pPr>
            <w:r>
              <w:rPr>
                <w:rFonts w:ascii="Arial" w:cs="Arial" w:eastAsia="Arial" w:hAnsi="Arial"/>
                <w:sz w:val="18"/>
                <w:szCs w:val="18"/>
                <w:b w:val="1"/>
                <w:bCs w:val="1"/>
                <w:color w:val="auto"/>
              </w:rPr>
              <w:t>Named Executive</w:t>
            </w:r>
          </w:p>
        </w:tc>
        <w:tc>
          <w:tcPr>
            <w:tcW w:w="400" w:type="dxa"/>
            <w:vAlign w:val="bottom"/>
            <w:tcBorders>
              <w:top w:val="single" w:sz="8" w:color="auto"/>
            </w:tcBorders>
          </w:tcPr>
          <w:p>
            <w:pPr>
              <w:spacing w:after="0"/>
              <w:rPr>
                <w:sz w:val="17"/>
                <w:szCs w:val="17"/>
                <w:color w:val="auto"/>
              </w:rPr>
            </w:pPr>
          </w:p>
        </w:tc>
        <w:tc>
          <w:tcPr>
            <w:tcW w:w="2000" w:type="dxa"/>
            <w:vAlign w:val="bottom"/>
            <w:tcBorders>
              <w:top w:val="single" w:sz="8" w:color="auto"/>
              <w:right w:val="single" w:sz="8" w:color="auto"/>
            </w:tcBorders>
          </w:tcPr>
          <w:p>
            <w:pPr>
              <w:jc w:val="center"/>
              <w:ind w:right="350"/>
              <w:spacing w:after="0" w:line="197" w:lineRule="exact"/>
              <w:rPr>
                <w:sz w:val="20"/>
                <w:szCs w:val="20"/>
                <w:color w:val="auto"/>
              </w:rPr>
            </w:pPr>
            <w:r>
              <w:rPr>
                <w:rFonts w:ascii="Arial" w:cs="Arial" w:eastAsia="Arial" w:hAnsi="Arial"/>
                <w:sz w:val="18"/>
                <w:szCs w:val="18"/>
                <w:b w:val="1"/>
                <w:bCs w:val="1"/>
                <w:color w:val="auto"/>
                <w:w w:val="98"/>
              </w:rPr>
              <w:t>Target Incentive</w:t>
            </w:r>
          </w:p>
        </w:tc>
        <w:tc>
          <w:tcPr>
            <w:tcW w:w="0" w:type="dxa"/>
            <w:vAlign w:val="bottom"/>
          </w:tcPr>
          <w:p>
            <w:pPr>
              <w:spacing w:after="0"/>
              <w:rPr>
                <w:sz w:val="1"/>
                <w:szCs w:val="1"/>
                <w:color w:val="auto"/>
              </w:rPr>
            </w:pPr>
          </w:p>
        </w:tc>
      </w:tr>
      <w:tr>
        <w:trPr>
          <w:trHeight w:val="122"/>
        </w:trPr>
        <w:tc>
          <w:tcPr>
            <w:tcW w:w="4240" w:type="dxa"/>
            <w:vAlign w:val="bottom"/>
            <w:tcBorders>
              <w:left w:val="single" w:sz="8" w:color="auto"/>
              <w:right w:val="single" w:sz="8" w:color="auto"/>
            </w:tcBorders>
            <w:vMerge w:val="continue"/>
          </w:tcPr>
          <w:p>
            <w:pPr>
              <w:spacing w:after="0"/>
              <w:rPr>
                <w:sz w:val="10"/>
                <w:szCs w:val="10"/>
                <w:color w:val="auto"/>
              </w:rPr>
            </w:pPr>
          </w:p>
        </w:tc>
        <w:tc>
          <w:tcPr>
            <w:tcW w:w="400" w:type="dxa"/>
            <w:vAlign w:val="bottom"/>
            <w:vMerge w:val="restart"/>
          </w:tcPr>
          <w:p>
            <w:pPr>
              <w:ind w:left="280"/>
              <w:spacing w:after="0"/>
              <w:rPr>
                <w:sz w:val="20"/>
                <w:szCs w:val="20"/>
                <w:color w:val="auto"/>
              </w:rPr>
            </w:pPr>
            <w:r>
              <w:rPr>
                <w:rFonts w:ascii="Arial" w:cs="Arial" w:eastAsia="Arial" w:hAnsi="Arial"/>
                <w:sz w:val="13"/>
                <w:szCs w:val="13"/>
                <w:b w:val="1"/>
                <w:bCs w:val="1"/>
                <w:color w:val="auto"/>
                <w:w w:val="76"/>
              </w:rPr>
              <w:t> </w:t>
            </w:r>
          </w:p>
        </w:tc>
        <w:tc>
          <w:tcPr>
            <w:tcW w:w="2000" w:type="dxa"/>
            <w:vAlign w:val="bottom"/>
            <w:tcBorders>
              <w:right w:val="single" w:sz="8" w:color="auto"/>
            </w:tcBorders>
            <w:vMerge w:val="restart"/>
          </w:tcPr>
          <w:p>
            <w:pPr>
              <w:jc w:val="center"/>
              <w:ind w:right="350"/>
              <w:spacing w:after="0" w:line="202" w:lineRule="exact"/>
              <w:rPr>
                <w:sz w:val="20"/>
                <w:szCs w:val="20"/>
                <w:color w:val="auto"/>
              </w:rPr>
            </w:pPr>
            <w:r>
              <w:rPr>
                <w:rFonts w:ascii="Arial" w:cs="Arial" w:eastAsia="Arial" w:hAnsi="Arial"/>
                <w:sz w:val="18"/>
                <w:szCs w:val="18"/>
                <w:b w:val="1"/>
                <w:bCs w:val="1"/>
                <w:color w:val="auto"/>
                <w:w w:val="99"/>
              </w:rPr>
              <w:t>as Percentage of</w:t>
            </w:r>
          </w:p>
        </w:tc>
        <w:tc>
          <w:tcPr>
            <w:tcW w:w="0" w:type="dxa"/>
            <w:vAlign w:val="bottom"/>
          </w:tcPr>
          <w:p>
            <w:pPr>
              <w:spacing w:after="0"/>
              <w:rPr>
                <w:sz w:val="1"/>
                <w:szCs w:val="1"/>
                <w:color w:val="auto"/>
              </w:rPr>
            </w:pPr>
          </w:p>
        </w:tc>
      </w:tr>
      <w:tr>
        <w:trPr>
          <w:trHeight w:val="81"/>
        </w:trPr>
        <w:tc>
          <w:tcPr>
            <w:tcW w:w="4240" w:type="dxa"/>
            <w:vAlign w:val="bottom"/>
            <w:tcBorders>
              <w:left w:val="single" w:sz="8" w:color="auto"/>
              <w:right w:val="single" w:sz="8" w:color="auto"/>
            </w:tcBorders>
            <w:vMerge w:val="restart"/>
          </w:tcPr>
          <w:p>
            <w:pPr>
              <w:ind w:left="1900"/>
              <w:spacing w:after="0"/>
              <w:rPr>
                <w:sz w:val="20"/>
                <w:szCs w:val="20"/>
                <w:color w:val="auto"/>
              </w:rPr>
            </w:pPr>
            <w:r>
              <w:rPr>
                <w:rFonts w:ascii="Arial" w:cs="Arial" w:eastAsia="Arial" w:hAnsi="Arial"/>
                <w:sz w:val="18"/>
                <w:szCs w:val="18"/>
                <w:b w:val="1"/>
                <w:bCs w:val="1"/>
                <w:color w:val="auto"/>
              </w:rPr>
              <w:t>Officer</w:t>
            </w:r>
          </w:p>
        </w:tc>
        <w:tc>
          <w:tcPr>
            <w:tcW w:w="400" w:type="dxa"/>
            <w:vAlign w:val="bottom"/>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24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b w:val="1"/>
                <w:bCs w:val="1"/>
                <w:color w:val="auto"/>
                <w:w w:val="99"/>
              </w:rPr>
              <w:t>Salary</w:t>
            </w:r>
          </w:p>
        </w:tc>
        <w:tc>
          <w:tcPr>
            <w:tcW w:w="0" w:type="dxa"/>
            <w:vAlign w:val="bottom"/>
          </w:tcPr>
          <w:p>
            <w:pPr>
              <w:spacing w:after="0"/>
              <w:rPr>
                <w:sz w:val="1"/>
                <w:szCs w:val="1"/>
                <w:color w:val="auto"/>
              </w:rPr>
            </w:pPr>
          </w:p>
        </w:tc>
      </w:tr>
      <w:tr>
        <w:trPr>
          <w:trHeight w:val="81"/>
        </w:trPr>
        <w:tc>
          <w:tcPr>
            <w:tcW w:w="4240" w:type="dxa"/>
            <w:vAlign w:val="bottom"/>
            <w:tcBorders>
              <w:left w:val="single" w:sz="8" w:color="auto"/>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Borders>
              <w:left w:val="single" w:sz="8" w:color="auto"/>
              <w:bottom w:val="single" w:sz="8" w:color="auto"/>
              <w:right w:val="single" w:sz="8" w:color="auto"/>
            </w:tcBorders>
            <w:shd w:val="clear" w:color="auto" w:fill="F2F2F2"/>
          </w:tcPr>
          <w:p>
            <w:pPr>
              <w:ind w:left="160"/>
              <w:spacing w:after="0" w:line="196" w:lineRule="exact"/>
              <w:rPr>
                <w:sz w:val="20"/>
                <w:szCs w:val="20"/>
                <w:color w:val="auto"/>
              </w:rPr>
            </w:pPr>
            <w:r>
              <w:rPr>
                <w:rFonts w:ascii="Arial" w:cs="Arial" w:eastAsia="Arial" w:hAnsi="Arial"/>
                <w:sz w:val="18"/>
                <w:szCs w:val="18"/>
                <w:color w:val="auto"/>
              </w:rPr>
              <w:t>  John Reed</w:t>
            </w:r>
          </w:p>
        </w:tc>
        <w:tc>
          <w:tcPr>
            <w:tcW w:w="400" w:type="dxa"/>
            <w:vAlign w:val="bottom"/>
            <w:tcBorders>
              <w:bottom w:val="single" w:sz="8" w:color="auto"/>
            </w:tcBorders>
            <w:shd w:val="clear" w:color="auto" w:fill="F2F2F2"/>
          </w:tcPr>
          <w:p>
            <w:pPr>
              <w:spacing w:after="0"/>
              <w:rPr>
                <w:sz w:val="17"/>
                <w:szCs w:val="17"/>
                <w:color w:val="auto"/>
              </w:rPr>
            </w:pPr>
          </w:p>
        </w:tc>
        <w:tc>
          <w:tcPr>
            <w:tcW w:w="2000" w:type="dxa"/>
            <w:vAlign w:val="bottom"/>
            <w:tcBorders>
              <w:bottom w:val="single" w:sz="8" w:color="auto"/>
              <w:right w:val="single" w:sz="8" w:color="auto"/>
            </w:tcBorders>
            <w:shd w:val="clear" w:color="auto" w:fill="F2F2F2"/>
          </w:tcPr>
          <w:p>
            <w:pPr>
              <w:jc w:val="right"/>
              <w:ind w:right="81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2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  Dawn Phillipson</w:t>
            </w: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240" w:type="dxa"/>
            <w:vAlign w:val="bottom"/>
            <w:tcBorders>
              <w:left w:val="single" w:sz="8" w:color="auto"/>
              <w:bottom w:val="single" w:sz="8" w:color="auto"/>
              <w:right w:val="single" w:sz="8" w:color="auto"/>
            </w:tcBorders>
            <w:shd w:val="clear" w:color="auto" w:fill="F2F2F2"/>
          </w:tcPr>
          <w:p>
            <w:pPr>
              <w:ind w:left="160"/>
              <w:spacing w:after="0" w:line="196" w:lineRule="exact"/>
              <w:rPr>
                <w:sz w:val="20"/>
                <w:szCs w:val="20"/>
                <w:color w:val="auto"/>
              </w:rPr>
            </w:pPr>
            <w:r>
              <w:rPr>
                <w:rFonts w:ascii="Arial" w:cs="Arial" w:eastAsia="Arial" w:hAnsi="Arial"/>
                <w:sz w:val="18"/>
                <w:szCs w:val="18"/>
                <w:color w:val="auto"/>
              </w:rPr>
              <w:t>  Kathy Veltri</w:t>
            </w:r>
          </w:p>
        </w:tc>
        <w:tc>
          <w:tcPr>
            <w:tcW w:w="400" w:type="dxa"/>
            <w:vAlign w:val="bottom"/>
            <w:tcBorders>
              <w:bottom w:val="single" w:sz="8" w:color="auto"/>
            </w:tcBorders>
            <w:shd w:val="clear" w:color="auto" w:fill="F2F2F2"/>
          </w:tcPr>
          <w:p>
            <w:pPr>
              <w:spacing w:after="0"/>
              <w:rPr>
                <w:sz w:val="17"/>
                <w:szCs w:val="17"/>
                <w:color w:val="auto"/>
              </w:rPr>
            </w:pPr>
          </w:p>
        </w:tc>
        <w:tc>
          <w:tcPr>
            <w:tcW w:w="2000" w:type="dxa"/>
            <w:vAlign w:val="bottom"/>
            <w:tcBorders>
              <w:bottom w:val="single" w:sz="8" w:color="auto"/>
              <w:right w:val="single" w:sz="8" w:color="auto"/>
            </w:tcBorders>
            <w:shd w:val="clear" w:color="auto" w:fill="F2F2F2"/>
          </w:tcPr>
          <w:p>
            <w:pPr>
              <w:jc w:val="right"/>
              <w:ind w:right="81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24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  Jennifer Porter</w:t>
            </w: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240" w:type="dxa"/>
            <w:vAlign w:val="bottom"/>
            <w:tcBorders>
              <w:left w:val="single" w:sz="8" w:color="auto"/>
              <w:bottom w:val="single" w:sz="8" w:color="auto"/>
              <w:right w:val="single" w:sz="8" w:color="auto"/>
            </w:tcBorders>
            <w:shd w:val="clear" w:color="auto" w:fill="F2F2F2"/>
          </w:tcPr>
          <w:p>
            <w:pPr>
              <w:ind w:left="160"/>
              <w:spacing w:after="0" w:line="196" w:lineRule="exact"/>
              <w:rPr>
                <w:sz w:val="20"/>
                <w:szCs w:val="20"/>
                <w:color w:val="auto"/>
              </w:rPr>
            </w:pPr>
            <w:r>
              <w:rPr>
                <w:rFonts w:ascii="Arial" w:cs="Arial" w:eastAsia="Arial" w:hAnsi="Arial"/>
                <w:sz w:val="18"/>
                <w:szCs w:val="18"/>
                <w:color w:val="auto"/>
              </w:rPr>
              <w:t>  Lisa Chi</w:t>
            </w:r>
          </w:p>
        </w:tc>
        <w:tc>
          <w:tcPr>
            <w:tcW w:w="400" w:type="dxa"/>
            <w:vAlign w:val="bottom"/>
            <w:tcBorders>
              <w:bottom w:val="single" w:sz="8" w:color="auto"/>
            </w:tcBorders>
            <w:shd w:val="clear" w:color="auto" w:fill="F2F2F2"/>
          </w:tcPr>
          <w:p>
            <w:pPr>
              <w:spacing w:after="0"/>
              <w:rPr>
                <w:sz w:val="17"/>
                <w:szCs w:val="17"/>
                <w:color w:val="auto"/>
              </w:rPr>
            </w:pPr>
          </w:p>
        </w:tc>
        <w:tc>
          <w:tcPr>
            <w:tcW w:w="2000" w:type="dxa"/>
            <w:vAlign w:val="bottom"/>
            <w:tcBorders>
              <w:bottom w:val="single" w:sz="8" w:color="auto"/>
              <w:right w:val="single" w:sz="8" w:color="auto"/>
            </w:tcBorders>
            <w:shd w:val="clear" w:color="auto" w:fill="F2F2F2"/>
          </w:tcPr>
          <w:p>
            <w:pPr>
              <w:jc w:val="right"/>
              <w:ind w:right="81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00" w:firstLine="881"/>
        <w:spacing w:after="0" w:line="231" w:lineRule="auto"/>
        <w:rPr>
          <w:sz w:val="20"/>
          <w:szCs w:val="20"/>
          <w:color w:val="auto"/>
        </w:rPr>
      </w:pPr>
      <w:r>
        <w:rPr>
          <w:rFonts w:ascii="Arial" w:cs="Arial" w:eastAsia="Arial" w:hAnsi="Arial"/>
          <w:sz w:val="20"/>
          <w:szCs w:val="20"/>
          <w:color w:val="auto"/>
        </w:rPr>
        <w:t>Awards under the AIP were based on the Company’s achievement towards goals established for two metrics: (a) 2024 Adjusted EBITDA (before bonus) and (b) 2024 demand. Adjusted EBITDA is defined on the same basis and using the same criteria that were applied in connection with establishing the 2024 budget and was calculated before giving effect to payments under the AIP. Adjusted EBITDA is defined as EBITDA (net income before depreciation and amortization, interest expense and taxes) further adjusted for equity based compensation expense, annual corporate bonus expense and other expenses. Demand is an operating metric that we use to measure the dollar value of orders (based on purchase price) at the time the order is placed, net of the dollar value of cancellations and returns (based on unpaid purchase price and amount credited to client).</w:t>
      </w:r>
    </w:p>
    <w:p>
      <w:pPr>
        <w:spacing w:after="0" w:line="173" w:lineRule="exact"/>
        <w:rPr>
          <w:sz w:val="20"/>
          <w:szCs w:val="20"/>
          <w:color w:val="auto"/>
        </w:rPr>
      </w:pPr>
    </w:p>
    <w:p>
      <w:pPr>
        <w:jc w:val="both"/>
        <w:ind w:left="120" w:right="40" w:firstLine="881"/>
        <w:spacing w:after="0" w:line="241" w:lineRule="auto"/>
        <w:rPr>
          <w:sz w:val="20"/>
          <w:szCs w:val="20"/>
          <w:color w:val="auto"/>
        </w:rPr>
      </w:pPr>
      <w:r>
        <w:rPr>
          <w:rFonts w:ascii="Arial" w:cs="Arial" w:eastAsia="Arial" w:hAnsi="Arial"/>
          <w:sz w:val="20"/>
          <w:szCs w:val="20"/>
          <w:color w:val="auto"/>
        </w:rPr>
        <w:t>In establishing the levels of Adjusted EBITDA and demand that would earn payouts, the Compensation Committee used a matrix of potential results based on business expectations. The Compensation Committee determined a threshold AIP payout of 25% of Target Incentive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40"/>
        <w:spacing w:after="0" w:line="257" w:lineRule="auto"/>
        <w:rPr>
          <w:sz w:val="20"/>
          <w:szCs w:val="20"/>
          <w:color w:val="auto"/>
        </w:rPr>
      </w:pPr>
      <w:r>
        <w:rPr>
          <w:rFonts w:ascii="Arial" w:cs="Arial" w:eastAsia="Arial" w:hAnsi="Arial"/>
          <w:sz w:val="20"/>
          <w:szCs w:val="20"/>
          <w:color w:val="auto"/>
        </w:rPr>
        <w:t>and a maximum AIP payout of 200% of Target Incentive. For fiscal year 2024, although demand was achieved at target, Adjusted EBITDA was below the threshold amount established resulting in no payout under the program.</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Equity Compensation</w:t>
      </w:r>
    </w:p>
    <w:p>
      <w:pPr>
        <w:spacing w:after="0" w:line="202"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The Company adopted the 2021 Equity Incentive Plan in order to facilitate the grant of cash and equity incentives to Directors, team members (including our named executive officers), and consultants of the Company and certain of its affiliates and to enable the Company and certain of its affiliates to obtain and retain the services of these individuals, which is essential to our long-term success. A substantial portion of compensation for our executive officers (other than John Reed) is in the form of long-term equity compensation. In granting equity compensation, the Committee uses a combination of restricted stock units (“RSUs”) and performance stock units (“PSUs”). The Committee believes this design ensures that the majority of compensation opportunity is linked to the Company’s financial performance.</w:t>
      </w:r>
    </w:p>
    <w:p>
      <w:pPr>
        <w:spacing w:after="0" w:line="172" w:lineRule="exact"/>
        <w:rPr>
          <w:sz w:val="20"/>
          <w:szCs w:val="20"/>
          <w:color w:val="auto"/>
        </w:rPr>
      </w:pPr>
    </w:p>
    <w:p>
      <w:pPr>
        <w:ind w:left="120" w:right="280" w:firstLine="881"/>
        <w:spacing w:after="0" w:line="234" w:lineRule="auto"/>
        <w:rPr>
          <w:sz w:val="20"/>
          <w:szCs w:val="20"/>
          <w:color w:val="auto"/>
        </w:rPr>
      </w:pPr>
      <w:r>
        <w:rPr>
          <w:rFonts w:ascii="Arial" w:cs="Arial" w:eastAsia="Arial" w:hAnsi="Arial"/>
          <w:sz w:val="20"/>
          <w:szCs w:val="20"/>
          <w:color w:val="auto"/>
        </w:rPr>
        <w:t>Each RSU represents a contingent right to receive one share of the Company’s Class A common stock upon vesting. The RSUs generally vest in one-third increments on each of the first, second and third anniversary of the date of grant, provided that the executive officer continues to serve the Company through the applicable vesting date (“Continuous Service”). The Committee has from time-to-time made additional grants of RSUs for retention purposes to one or more executive officers.</w:t>
      </w:r>
    </w:p>
    <w:p>
      <w:pPr>
        <w:spacing w:after="0" w:line="175" w:lineRule="exact"/>
        <w:rPr>
          <w:sz w:val="20"/>
          <w:szCs w:val="20"/>
          <w:color w:val="auto"/>
        </w:rPr>
      </w:pPr>
    </w:p>
    <w:p>
      <w:pPr>
        <w:ind w:left="120" w:right="220" w:firstLine="881"/>
        <w:spacing w:after="0" w:line="241" w:lineRule="auto"/>
        <w:rPr>
          <w:sz w:val="20"/>
          <w:szCs w:val="20"/>
          <w:color w:val="auto"/>
        </w:rPr>
      </w:pPr>
      <w:r>
        <w:rPr>
          <w:rFonts w:ascii="Arial" w:cs="Arial" w:eastAsia="Arial" w:hAnsi="Arial"/>
          <w:sz w:val="20"/>
          <w:szCs w:val="20"/>
          <w:color w:val="auto"/>
        </w:rPr>
        <w:t>Each PSU represents a contingent right to receive one share of the Company’s Class A common stock. The number of shares earned upon vesting of the PSUs is based on the Company’s financial performance as measured against pre-established target goals over a multi-year period, generally three.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2024 Equity Grants.</w:t>
      </w:r>
    </w:p>
    <w:p>
      <w:pPr>
        <w:spacing w:after="0" w:line="202" w:lineRule="exact"/>
        <w:rPr>
          <w:sz w:val="20"/>
          <w:szCs w:val="20"/>
          <w:color w:val="auto"/>
        </w:rPr>
      </w:pPr>
    </w:p>
    <w:p>
      <w:pPr>
        <w:ind w:left="120" w:right="20" w:firstLine="881"/>
        <w:spacing w:after="0" w:line="218" w:lineRule="auto"/>
        <w:rPr>
          <w:sz w:val="20"/>
          <w:szCs w:val="20"/>
          <w:color w:val="auto"/>
        </w:rPr>
      </w:pPr>
      <w:r>
        <w:rPr>
          <w:rFonts w:ascii="Arial" w:cs="Arial" w:eastAsia="Arial" w:hAnsi="Arial"/>
          <w:sz w:val="20"/>
          <w:szCs w:val="20"/>
          <w:color w:val="auto"/>
        </w:rPr>
        <w:t>The RSUs granted in 2024 have terms similar to prior year grants. For PSUs granted in 2024, the number of shares earned will be based on (1) cumulative demand revenue</w:t>
      </w:r>
      <w:r>
        <w:rPr>
          <w:rFonts w:ascii="Arial" w:cs="Arial" w:eastAsia="Arial" w:hAnsi="Arial"/>
          <w:sz w:val="29"/>
          <w:szCs w:val="29"/>
          <w:color w:val="auto"/>
          <w:vertAlign w:val="superscript"/>
        </w:rPr>
        <w:t>4</w:t>
      </w:r>
      <w:r>
        <w:rPr>
          <w:rFonts w:ascii="Arial" w:cs="Arial" w:eastAsia="Arial" w:hAnsi="Arial"/>
          <w:sz w:val="20"/>
          <w:szCs w:val="20"/>
          <w:color w:val="auto"/>
        </w:rPr>
        <w:t xml:space="preserve"> (50% of PSUs) and (2) cumulative adjusted EBITDA</w:t>
      </w:r>
      <w:r>
        <w:rPr>
          <w:rFonts w:ascii="Arial" w:cs="Arial" w:eastAsia="Arial" w:hAnsi="Arial"/>
          <w:sz w:val="29"/>
          <w:szCs w:val="29"/>
          <w:color w:val="auto"/>
          <w:vertAlign w:val="superscript"/>
        </w:rPr>
        <w:t>5</w:t>
      </w:r>
      <w:r>
        <w:rPr>
          <w:rFonts w:ascii="Arial" w:cs="Arial" w:eastAsia="Arial" w:hAnsi="Arial"/>
          <w:sz w:val="20"/>
          <w:szCs w:val="20"/>
          <w:color w:val="auto"/>
        </w:rPr>
        <w:t xml:space="preserve"> (50% of PSUs) over the performance period beginning on January 1, 2024 and ending on December 31, 2026 (the “Performance Period”). PSUs will vest as of the end of the Performance Period subject to the executive officer’s Continuous Service, but awards will not settle and shares will not be issued until results are certified by the Compensation Committee. The executive officer may earn shares representing between 0% and 200% of the PSU target award based on the Company’s achievement of each of the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2237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2" w:lineRule="exact"/>
        <w:rPr>
          <w:sz w:val="20"/>
          <w:szCs w:val="20"/>
          <w:color w:val="auto"/>
        </w:rPr>
      </w:pPr>
    </w:p>
    <w:p>
      <w:pPr>
        <w:ind w:left="220" w:hanging="104"/>
        <w:spacing w:after="0"/>
        <w:tabs>
          <w:tab w:leader="none" w:pos="22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Demand revenue is defined as the dollar value of orders at the time the order is placed, net of the dollar value of cancellations and returns.</w:t>
      </w:r>
    </w:p>
    <w:p>
      <w:pPr>
        <w:ind w:left="120" w:right="300" w:hanging="4"/>
        <w:spacing w:after="0" w:line="200"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Adjusted EBITDA is defined as EBITDA (net income before depreciation and amortization, interest expense and taxes) further adjusted for incentive unit compensation expense, annual corporate bonus expense and other expenses.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On April 12, 2024, the Compensation Committee granted the equity awards set forth in the table below.</w:t>
      </w:r>
    </w:p>
    <w:p>
      <w:pPr>
        <w:spacing w:after="0" w:line="231" w:lineRule="exact"/>
        <w:rPr>
          <w:sz w:val="20"/>
          <w:szCs w:val="20"/>
          <w:color w:val="auto"/>
        </w:rPr>
      </w:pPr>
    </w:p>
    <w:tbl>
      <w:tblPr>
        <w:tblLayout w:type="fixed"/>
        <w:tblInd w:w="1890" w:type="dxa"/>
        <w:tblCellMar>
          <w:top w:w="0" w:type="dxa"/>
          <w:left w:w="0" w:type="dxa"/>
          <w:bottom w:w="0" w:type="dxa"/>
          <w:right w:w="0" w:type="dxa"/>
        </w:tblCellMar>
      </w:tblPr>
      <w:tr>
        <w:trPr>
          <w:trHeight w:val="197"/>
        </w:trPr>
        <w:tc>
          <w:tcPr>
            <w:tcW w:w="3160" w:type="dxa"/>
            <w:vAlign w:val="bottom"/>
            <w:tcBorders>
              <w:top w:val="single" w:sz="8" w:color="auto"/>
              <w:left w:val="single" w:sz="8" w:color="auto"/>
              <w:right w:val="single" w:sz="8" w:color="auto"/>
            </w:tcBorders>
            <w:vMerge w:val="restart"/>
          </w:tcPr>
          <w:p>
            <w:pPr>
              <w:ind w:left="1340"/>
              <w:spacing w:after="0"/>
              <w:rPr>
                <w:sz w:val="20"/>
                <w:szCs w:val="20"/>
                <w:color w:val="auto"/>
              </w:rPr>
            </w:pPr>
            <w:r>
              <w:rPr>
                <w:rFonts w:ascii="Arial" w:cs="Arial" w:eastAsia="Arial" w:hAnsi="Arial"/>
                <w:sz w:val="18"/>
                <w:szCs w:val="18"/>
                <w:b w:val="1"/>
                <w:bCs w:val="1"/>
                <w:color w:val="auto"/>
              </w:rPr>
              <w:t>Named</w:t>
            </w:r>
          </w:p>
        </w:tc>
        <w:tc>
          <w:tcPr>
            <w:tcW w:w="640" w:type="dxa"/>
            <w:vAlign w:val="bottom"/>
            <w:tcBorders>
              <w:top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2460" w:type="dxa"/>
            <w:vAlign w:val="bottom"/>
            <w:tcBorders>
              <w:top w:val="single" w:sz="8" w:color="auto"/>
              <w:right w:val="single" w:sz="8" w:color="auto"/>
            </w:tcBorders>
          </w:tcPr>
          <w:p>
            <w:pPr>
              <w:jc w:val="right"/>
              <w:ind w:right="910"/>
              <w:spacing w:after="0" w:line="197" w:lineRule="exact"/>
              <w:rPr>
                <w:sz w:val="20"/>
                <w:szCs w:val="20"/>
                <w:color w:val="auto"/>
              </w:rPr>
            </w:pPr>
            <w:r>
              <w:rPr>
                <w:rFonts w:ascii="Arial" w:cs="Arial" w:eastAsia="Arial" w:hAnsi="Arial"/>
                <w:sz w:val="18"/>
                <w:szCs w:val="18"/>
                <w:b w:val="1"/>
                <w:bCs w:val="1"/>
                <w:color w:val="auto"/>
              </w:rPr>
              <w:t>PSUs</w:t>
            </w:r>
          </w:p>
        </w:tc>
        <w:tc>
          <w:tcPr>
            <w:tcW w:w="0" w:type="dxa"/>
            <w:vAlign w:val="bottom"/>
          </w:tcPr>
          <w:p>
            <w:pPr>
              <w:spacing w:after="0"/>
              <w:rPr>
                <w:sz w:val="1"/>
                <w:szCs w:val="1"/>
                <w:color w:val="auto"/>
              </w:rPr>
            </w:pPr>
          </w:p>
        </w:tc>
      </w:tr>
      <w:tr>
        <w:trPr>
          <w:trHeight w:val="122"/>
        </w:trPr>
        <w:tc>
          <w:tcPr>
            <w:tcW w:w="3160" w:type="dxa"/>
            <w:vAlign w:val="bottom"/>
            <w:tcBorders>
              <w:left w:val="single" w:sz="8" w:color="auto"/>
              <w:right w:val="single" w:sz="8" w:color="auto"/>
            </w:tcBorders>
            <w:vMerge w:val="continue"/>
          </w:tcPr>
          <w:p>
            <w:pPr>
              <w:spacing w:after="0"/>
              <w:rPr>
                <w:sz w:val="10"/>
                <w:szCs w:val="10"/>
                <w:color w:val="auto"/>
              </w:rPr>
            </w:pPr>
          </w:p>
        </w:tc>
        <w:tc>
          <w:tcPr>
            <w:tcW w:w="640" w:type="dxa"/>
            <w:vAlign w:val="bottom"/>
            <w:vMerge w:val="restart"/>
          </w:tcPr>
          <w:p>
            <w:pPr>
              <w:ind w:left="340"/>
              <w:spacing w:after="0" w:line="202" w:lineRule="exact"/>
              <w:rPr>
                <w:sz w:val="20"/>
                <w:szCs w:val="20"/>
                <w:color w:val="auto"/>
              </w:rPr>
            </w:pPr>
            <w:r>
              <w:rPr>
                <w:rFonts w:ascii="Arial" w:cs="Arial" w:eastAsia="Arial" w:hAnsi="Arial"/>
                <w:sz w:val="18"/>
                <w:szCs w:val="18"/>
                <w:b w:val="1"/>
                <w:bCs w:val="1"/>
                <w:color w:val="auto"/>
              </w:rPr>
              <w:t xml:space="preserve">   </w:t>
            </w:r>
          </w:p>
        </w:tc>
        <w:tc>
          <w:tcPr>
            <w:tcW w:w="1240" w:type="dxa"/>
            <w:vAlign w:val="bottom"/>
            <w:tcBorders>
              <w:right w:val="single" w:sz="8" w:color="auto"/>
            </w:tcBorders>
            <w:vMerge w:val="restart"/>
          </w:tcPr>
          <w:p>
            <w:pPr>
              <w:jc w:val="right"/>
              <w:ind w:right="390"/>
              <w:spacing w:after="0" w:line="202" w:lineRule="exact"/>
              <w:rPr>
                <w:sz w:val="20"/>
                <w:szCs w:val="20"/>
                <w:color w:val="auto"/>
              </w:rPr>
            </w:pPr>
            <w:r>
              <w:rPr>
                <w:rFonts w:ascii="Arial" w:cs="Arial" w:eastAsia="Arial" w:hAnsi="Arial"/>
                <w:sz w:val="18"/>
                <w:szCs w:val="18"/>
                <w:b w:val="1"/>
                <w:bCs w:val="1"/>
                <w:color w:val="auto"/>
              </w:rPr>
              <w:t xml:space="preserve">RSUs   </w:t>
            </w:r>
          </w:p>
        </w:tc>
        <w:tc>
          <w:tcPr>
            <w:tcW w:w="2460" w:type="dxa"/>
            <w:vAlign w:val="bottom"/>
            <w:tcBorders>
              <w:right w:val="single" w:sz="8" w:color="auto"/>
            </w:tcBorders>
            <w:vMerge w:val="restart"/>
          </w:tcPr>
          <w:p>
            <w:pPr>
              <w:jc w:val="right"/>
              <w:ind w:right="510"/>
              <w:spacing w:after="0" w:line="202" w:lineRule="exact"/>
              <w:rPr>
                <w:sz w:val="20"/>
                <w:szCs w:val="20"/>
                <w:color w:val="auto"/>
              </w:rPr>
            </w:pPr>
            <w:r>
              <w:rPr>
                <w:rFonts w:ascii="Arial" w:cs="Arial" w:eastAsia="Arial" w:hAnsi="Arial"/>
                <w:sz w:val="18"/>
                <w:szCs w:val="18"/>
                <w:b w:val="1"/>
                <w:bCs w:val="1"/>
                <w:color w:val="auto"/>
              </w:rPr>
              <w:t>  Target Award  </w:t>
            </w:r>
          </w:p>
        </w:tc>
        <w:tc>
          <w:tcPr>
            <w:tcW w:w="0" w:type="dxa"/>
            <w:vAlign w:val="bottom"/>
          </w:tcPr>
          <w:p>
            <w:pPr>
              <w:spacing w:after="0"/>
              <w:rPr>
                <w:sz w:val="1"/>
                <w:szCs w:val="1"/>
                <w:color w:val="auto"/>
              </w:rPr>
            </w:pPr>
          </w:p>
        </w:tc>
      </w:tr>
      <w:tr>
        <w:trPr>
          <w:trHeight w:val="81"/>
        </w:trPr>
        <w:tc>
          <w:tcPr>
            <w:tcW w:w="316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8"/>
                <w:szCs w:val="18"/>
                <w:b w:val="1"/>
                <w:bCs w:val="1"/>
                <w:color w:val="auto"/>
              </w:rPr>
              <w:t>Executive Officer</w:t>
            </w:r>
          </w:p>
        </w:tc>
        <w:tc>
          <w:tcPr>
            <w:tcW w:w="640" w:type="dxa"/>
            <w:vAlign w:val="bottom"/>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16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right w:val="single" w:sz="8" w:color="auto"/>
            </w:tcBorders>
            <w:vMerge w:val="restart"/>
          </w:tcPr>
          <w:p>
            <w:pPr>
              <w:jc w:val="right"/>
              <w:ind w:right="10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3160" w:type="dxa"/>
            <w:vAlign w:val="bottom"/>
            <w:tcBorders>
              <w:left w:val="single" w:sz="8" w:color="auto"/>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316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John Reed</w:t>
            </w:r>
          </w:p>
        </w:tc>
        <w:tc>
          <w:tcPr>
            <w:tcW w:w="640" w:type="dxa"/>
            <w:vAlign w:val="bottom"/>
            <w:tcBorders>
              <w:bottom w:val="single" w:sz="8" w:color="F2F2F2"/>
            </w:tcBorders>
            <w:shd w:val="clear" w:color="auto" w:fill="F2F2F2"/>
          </w:tcPr>
          <w:p>
            <w:pPr>
              <w:spacing w:after="0"/>
              <w:rPr>
                <w:sz w:val="24"/>
                <w:szCs w:val="24"/>
                <w:color w:val="auto"/>
              </w:rPr>
            </w:pPr>
          </w:p>
        </w:tc>
        <w:tc>
          <w:tcPr>
            <w:tcW w:w="124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— </w:t>
            </w:r>
          </w:p>
        </w:tc>
        <w:tc>
          <w:tcPr>
            <w:tcW w:w="246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1"/>
        </w:trPr>
        <w:tc>
          <w:tcPr>
            <w:tcW w:w="31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Dawn Phillipson</w:t>
            </w:r>
          </w:p>
        </w:tc>
        <w:tc>
          <w:tcPr>
            <w:tcW w:w="64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4,538 </w:t>
            </w:r>
          </w:p>
        </w:tc>
        <w:tc>
          <w:tcPr>
            <w:tcW w:w="24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13,613 </w:t>
            </w:r>
          </w:p>
        </w:tc>
        <w:tc>
          <w:tcPr>
            <w:tcW w:w="0" w:type="dxa"/>
            <w:vAlign w:val="bottom"/>
          </w:tcPr>
          <w:p>
            <w:pPr>
              <w:spacing w:after="0"/>
              <w:rPr>
                <w:sz w:val="1"/>
                <w:szCs w:val="1"/>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316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Kathy Veltri</w:t>
            </w:r>
          </w:p>
        </w:tc>
        <w:tc>
          <w:tcPr>
            <w:tcW w:w="640" w:type="dxa"/>
            <w:vAlign w:val="bottom"/>
            <w:tcBorders>
              <w:bottom w:val="single" w:sz="8" w:color="F2F2F2"/>
            </w:tcBorders>
            <w:shd w:val="clear" w:color="auto" w:fill="F2F2F2"/>
          </w:tcPr>
          <w:p>
            <w:pPr>
              <w:spacing w:after="0"/>
              <w:rPr>
                <w:sz w:val="24"/>
                <w:szCs w:val="24"/>
                <w:color w:val="auto"/>
              </w:rPr>
            </w:pPr>
          </w:p>
        </w:tc>
        <w:tc>
          <w:tcPr>
            <w:tcW w:w="124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4,538 </w:t>
            </w:r>
          </w:p>
        </w:tc>
        <w:tc>
          <w:tcPr>
            <w:tcW w:w="246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13,613 </w:t>
            </w:r>
          </w:p>
        </w:tc>
        <w:tc>
          <w:tcPr>
            <w:tcW w:w="0" w:type="dxa"/>
            <w:vAlign w:val="bottom"/>
          </w:tcPr>
          <w:p>
            <w:pPr>
              <w:spacing w:after="0"/>
              <w:rPr>
                <w:sz w:val="1"/>
                <w:szCs w:val="1"/>
                <w:color w:val="auto"/>
              </w:rPr>
            </w:pPr>
          </w:p>
        </w:tc>
      </w:tr>
      <w:tr>
        <w:trPr>
          <w:trHeight w:val="240"/>
        </w:trPr>
        <w:tc>
          <w:tcPr>
            <w:tcW w:w="31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Jennifer Porter</w:t>
            </w:r>
          </w:p>
        </w:tc>
        <w:tc>
          <w:tcPr>
            <w:tcW w:w="64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4,538 </w:t>
            </w:r>
          </w:p>
        </w:tc>
        <w:tc>
          <w:tcPr>
            <w:tcW w:w="24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13,613 </w:t>
            </w:r>
          </w:p>
        </w:tc>
        <w:tc>
          <w:tcPr>
            <w:tcW w:w="0" w:type="dxa"/>
            <w:vAlign w:val="bottom"/>
          </w:tcPr>
          <w:p>
            <w:pPr>
              <w:spacing w:after="0"/>
              <w:rPr>
                <w:sz w:val="1"/>
                <w:szCs w:val="1"/>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316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Lisa Chi</w:t>
            </w:r>
          </w:p>
        </w:tc>
        <w:tc>
          <w:tcPr>
            <w:tcW w:w="640" w:type="dxa"/>
            <w:vAlign w:val="bottom"/>
            <w:tcBorders>
              <w:bottom w:val="single" w:sz="8" w:color="F2F2F2"/>
            </w:tcBorders>
            <w:shd w:val="clear" w:color="auto" w:fill="F2F2F2"/>
          </w:tcPr>
          <w:p>
            <w:pPr>
              <w:spacing w:after="0"/>
              <w:rPr>
                <w:sz w:val="23"/>
                <w:szCs w:val="23"/>
                <w:color w:val="auto"/>
              </w:rPr>
            </w:pPr>
          </w:p>
        </w:tc>
        <w:tc>
          <w:tcPr>
            <w:tcW w:w="124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4,538 </w:t>
            </w:r>
          </w:p>
        </w:tc>
        <w:tc>
          <w:tcPr>
            <w:tcW w:w="246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13,613 </w:t>
            </w:r>
          </w:p>
        </w:tc>
        <w:tc>
          <w:tcPr>
            <w:tcW w:w="0" w:type="dxa"/>
            <w:vAlign w:val="bottom"/>
          </w:tcPr>
          <w:p>
            <w:pPr>
              <w:spacing w:after="0"/>
              <w:rPr>
                <w:sz w:val="1"/>
                <w:szCs w:val="1"/>
                <w:color w:val="auto"/>
              </w:rPr>
            </w:pPr>
          </w:p>
        </w:tc>
      </w:tr>
      <w:tr>
        <w:trPr>
          <w:trHeight w:val="20"/>
        </w:trPr>
        <w:tc>
          <w:tcPr>
            <w:tcW w:w="3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Settlement of 2022-24 PSUs (Granted in 2022).</w:t>
      </w:r>
    </w:p>
    <w:p>
      <w:pPr>
        <w:spacing w:after="0" w:line="202" w:lineRule="exact"/>
        <w:rPr>
          <w:sz w:val="20"/>
          <w:szCs w:val="20"/>
          <w:color w:val="auto"/>
        </w:rPr>
      </w:pPr>
    </w:p>
    <w:p>
      <w:pPr>
        <w:ind w:left="120" w:firstLine="881"/>
        <w:spacing w:after="0" w:line="232" w:lineRule="auto"/>
        <w:rPr>
          <w:sz w:val="20"/>
          <w:szCs w:val="20"/>
          <w:color w:val="auto"/>
        </w:rPr>
      </w:pPr>
      <w:r>
        <w:rPr>
          <w:rFonts w:ascii="Arial" w:cs="Arial" w:eastAsia="Arial" w:hAnsi="Arial"/>
          <w:sz w:val="20"/>
          <w:szCs w:val="20"/>
          <w:color w:val="auto"/>
        </w:rPr>
        <w:t>The Committee reviewed the Company’s (1) cumulative demand revenue (50% of PSUs) and (2) cumulative adjusted EBITDA (50% of PSUs) results over the three-year performance period beginning January 1, 2022 and ending December 31, 2024 to determine the payout with respect to the 2022 PSUs. The total number of shares earned was 110.27% of the PSU target award. This payout was based on achievement of cumulative demand revenue at 102.14% of target performance (resulting in 108.55% of the target award of PSUs associated with cumulative demand revenue vesting), and cumulative adjusted EBITDA at 103% of target performance (resulting in 111.98% of the target award of PSUs associated with adjusted EBITDA vesting).</w:t>
      </w:r>
    </w:p>
    <w:p>
      <w:pPr>
        <w:spacing w:after="0" w:line="200" w:lineRule="exact"/>
        <w:rPr>
          <w:sz w:val="20"/>
          <w:szCs w:val="20"/>
          <w:color w:val="auto"/>
        </w:rPr>
      </w:pPr>
    </w:p>
    <w:tbl>
      <w:tblPr>
        <w:tblLayout w:type="fixed"/>
        <w:tblInd w:w="1890" w:type="dxa"/>
        <w:tblCellMar>
          <w:top w:w="0" w:type="dxa"/>
          <w:left w:w="0" w:type="dxa"/>
          <w:bottom w:w="0" w:type="dxa"/>
          <w:right w:w="0" w:type="dxa"/>
        </w:tblCellMar>
      </w:tblPr>
      <w:tr>
        <w:trPr>
          <w:trHeight w:val="197"/>
        </w:trPr>
        <w:tc>
          <w:tcPr>
            <w:tcW w:w="3600" w:type="dxa"/>
            <w:vAlign w:val="bottom"/>
            <w:tcBorders>
              <w:top w:val="single" w:sz="8" w:color="auto"/>
              <w:left w:val="single" w:sz="8" w:color="auto"/>
              <w:right w:val="single" w:sz="8" w:color="auto"/>
            </w:tcBorders>
            <w:vMerge w:val="restart"/>
          </w:tcPr>
          <w:p>
            <w:pPr>
              <w:ind w:left="1580"/>
              <w:spacing w:after="0"/>
              <w:rPr>
                <w:sz w:val="20"/>
                <w:szCs w:val="20"/>
                <w:color w:val="auto"/>
              </w:rPr>
            </w:pPr>
            <w:r>
              <w:rPr>
                <w:rFonts w:ascii="Arial" w:cs="Arial" w:eastAsia="Arial" w:hAnsi="Arial"/>
                <w:sz w:val="18"/>
                <w:szCs w:val="18"/>
                <w:b w:val="1"/>
                <w:bCs w:val="1"/>
                <w:color w:val="auto"/>
              </w:rPr>
              <w:t>Named</w:t>
            </w:r>
          </w:p>
        </w:tc>
        <w:tc>
          <w:tcPr>
            <w:tcW w:w="32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tcPr>
          <w:p>
            <w:pPr>
              <w:jc w:val="center"/>
              <w:ind w:right="250"/>
              <w:spacing w:after="0" w:line="197" w:lineRule="exact"/>
              <w:rPr>
                <w:sz w:val="20"/>
                <w:szCs w:val="20"/>
                <w:color w:val="auto"/>
              </w:rPr>
            </w:pPr>
            <w:r>
              <w:rPr>
                <w:rFonts w:ascii="Arial" w:cs="Arial" w:eastAsia="Arial" w:hAnsi="Arial"/>
                <w:sz w:val="18"/>
                <w:szCs w:val="18"/>
                <w:b w:val="1"/>
                <w:bCs w:val="1"/>
                <w:color w:val="auto"/>
              </w:rPr>
              <w:t>PSUs</w:t>
            </w:r>
          </w:p>
        </w:tc>
        <w:tc>
          <w:tcPr>
            <w:tcW w:w="1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600" w:type="dxa"/>
            <w:vAlign w:val="bottom"/>
            <w:tcBorders>
              <w:left w:val="single" w:sz="8" w:color="auto"/>
              <w:right w:val="single" w:sz="8" w:color="auto"/>
            </w:tcBorders>
            <w:vMerge w:val="continue"/>
          </w:tcPr>
          <w:p>
            <w:pPr>
              <w:spacing w:after="0"/>
              <w:rPr>
                <w:sz w:val="8"/>
                <w:szCs w:val="8"/>
                <w:color w:val="auto"/>
              </w:rPr>
            </w:pPr>
          </w:p>
        </w:tc>
        <w:tc>
          <w:tcPr>
            <w:tcW w:w="320" w:type="dxa"/>
            <w:vAlign w:val="bottom"/>
            <w:vMerge w:val="restart"/>
          </w:tcPr>
          <w:p>
            <w:pPr>
              <w:ind w:left="220"/>
              <w:spacing w:after="0"/>
              <w:rPr>
                <w:sz w:val="20"/>
                <w:szCs w:val="20"/>
                <w:color w:val="auto"/>
              </w:rPr>
            </w:pPr>
            <w:r>
              <w:rPr>
                <w:rFonts w:ascii="Arial" w:cs="Arial" w:eastAsia="Arial" w:hAnsi="Arial"/>
                <w:sz w:val="11"/>
                <w:szCs w:val="11"/>
                <w:b w:val="1"/>
                <w:bCs w:val="1"/>
                <w:color w:val="auto"/>
                <w:w w:val="72"/>
              </w:rPr>
              <w:t> </w:t>
            </w:r>
          </w:p>
        </w:tc>
        <w:tc>
          <w:tcPr>
            <w:tcW w:w="1660" w:type="dxa"/>
            <w:vAlign w:val="bottom"/>
            <w:tcBorders>
              <w:right w:val="single" w:sz="8" w:color="auto"/>
            </w:tcBorders>
            <w:vMerge w:val="restart"/>
          </w:tcPr>
          <w:p>
            <w:pPr>
              <w:jc w:val="center"/>
              <w:ind w:right="190"/>
              <w:spacing w:after="0" w:line="202" w:lineRule="exact"/>
              <w:rPr>
                <w:sz w:val="20"/>
                <w:szCs w:val="20"/>
                <w:color w:val="auto"/>
              </w:rPr>
            </w:pPr>
            <w:r>
              <w:rPr>
                <w:rFonts w:ascii="Arial" w:cs="Arial" w:eastAsia="Arial" w:hAnsi="Arial"/>
                <w:sz w:val="18"/>
                <w:szCs w:val="18"/>
                <w:b w:val="1"/>
                <w:bCs w:val="1"/>
                <w:color w:val="auto"/>
                <w:w w:val="88"/>
              </w:rPr>
              <w:t>Target Award  </w:t>
            </w:r>
          </w:p>
        </w:tc>
        <w:tc>
          <w:tcPr>
            <w:tcW w:w="1920" w:type="dxa"/>
            <w:vAlign w:val="bottom"/>
            <w:tcBorders>
              <w:right w:val="single" w:sz="8" w:color="auto"/>
            </w:tcBorders>
            <w:vMerge w:val="restart"/>
          </w:tcPr>
          <w:p>
            <w:pPr>
              <w:jc w:val="right"/>
              <w:ind w:right="270"/>
              <w:spacing w:after="0" w:line="202" w:lineRule="exact"/>
              <w:rPr>
                <w:sz w:val="20"/>
                <w:szCs w:val="20"/>
                <w:color w:val="auto"/>
              </w:rPr>
            </w:pPr>
            <w:r>
              <w:rPr>
                <w:rFonts w:ascii="Arial" w:cs="Arial" w:eastAsia="Arial" w:hAnsi="Arial"/>
                <w:sz w:val="18"/>
                <w:szCs w:val="18"/>
                <w:b w:val="1"/>
                <w:bCs w:val="1"/>
                <w:color w:val="auto"/>
              </w:rPr>
              <w:t>  PSUs Vested </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restart"/>
          </w:tcPr>
          <w:p>
            <w:pPr>
              <w:ind w:left="1140"/>
              <w:spacing w:after="0"/>
              <w:rPr>
                <w:sz w:val="20"/>
                <w:szCs w:val="20"/>
                <w:color w:val="auto"/>
              </w:rPr>
            </w:pPr>
            <w:r>
              <w:rPr>
                <w:rFonts w:ascii="Arial" w:cs="Arial" w:eastAsia="Arial" w:hAnsi="Arial"/>
                <w:sz w:val="18"/>
                <w:szCs w:val="18"/>
                <w:b w:val="1"/>
                <w:bCs w:val="1"/>
                <w:color w:val="auto"/>
              </w:rPr>
              <w:t>Executive Officer</w:t>
            </w:r>
          </w:p>
        </w:tc>
        <w:tc>
          <w:tcPr>
            <w:tcW w:w="320" w:type="dxa"/>
            <w:vAlign w:val="bottom"/>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600" w:type="dxa"/>
            <w:vAlign w:val="bottom"/>
            <w:tcBorders>
              <w:left w:val="single" w:sz="8" w:color="auto"/>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vMerge w:val="restart"/>
          </w:tcPr>
          <w:p>
            <w:pPr>
              <w:jc w:val="right"/>
              <w:ind w:right="7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3600" w:type="dxa"/>
            <w:vAlign w:val="bottom"/>
            <w:tcBorders>
              <w:left w:val="single" w:sz="8" w:color="auto"/>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60" w:type="dxa"/>
            <w:vAlign w:val="bottom"/>
            <w:tcBorders>
              <w:bottom w:val="single" w:sz="8" w:color="auto"/>
              <w:right w:val="single" w:sz="8" w:color="auto"/>
            </w:tcBorders>
            <w:vMerge w:val="continue"/>
          </w:tcPr>
          <w:p>
            <w:pPr>
              <w:spacing w:after="0"/>
              <w:rPr>
                <w:sz w:val="8"/>
                <w:szCs w:val="8"/>
                <w:color w:val="auto"/>
              </w:rPr>
            </w:pPr>
          </w:p>
        </w:tc>
        <w:tc>
          <w:tcPr>
            <w:tcW w:w="19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60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John Reed</w:t>
            </w:r>
          </w:p>
        </w:tc>
        <w:tc>
          <w:tcPr>
            <w:tcW w:w="320" w:type="dxa"/>
            <w:vAlign w:val="bottom"/>
            <w:tcBorders>
              <w:bottom w:val="single" w:sz="8" w:color="F2F2F2"/>
            </w:tcBorders>
            <w:shd w:val="clear" w:color="auto" w:fill="F2F2F2"/>
          </w:tcPr>
          <w:p>
            <w:pPr>
              <w:spacing w:after="0"/>
              <w:rPr>
                <w:sz w:val="24"/>
                <w:szCs w:val="24"/>
                <w:color w:val="auto"/>
              </w:rPr>
            </w:pPr>
          </w:p>
        </w:tc>
        <w:tc>
          <w:tcPr>
            <w:tcW w:w="166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— </w:t>
            </w:r>
          </w:p>
        </w:tc>
        <w:tc>
          <w:tcPr>
            <w:tcW w:w="192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0"/>
        </w:trPr>
        <w:tc>
          <w:tcPr>
            <w:tcW w:w="3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Dawn Phillipson</w:t>
            </w: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37,500 </w:t>
            </w:r>
          </w:p>
        </w:tc>
        <w:tc>
          <w:tcPr>
            <w:tcW w:w="19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41,352 </w:t>
            </w:r>
          </w:p>
        </w:tc>
        <w:tc>
          <w:tcPr>
            <w:tcW w:w="0" w:type="dxa"/>
            <w:vAlign w:val="bottom"/>
          </w:tcPr>
          <w:p>
            <w:pPr>
              <w:spacing w:after="0"/>
              <w:rPr>
                <w:sz w:val="1"/>
                <w:szCs w:val="1"/>
                <w:color w:val="auto"/>
              </w:rPr>
            </w:pPr>
          </w:p>
        </w:tc>
      </w:tr>
      <w:tr>
        <w:trPr>
          <w:trHeight w:val="50"/>
        </w:trPr>
        <w:tc>
          <w:tcPr>
            <w:tcW w:w="3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360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Kathy Veltri</w:t>
            </w:r>
          </w:p>
        </w:tc>
        <w:tc>
          <w:tcPr>
            <w:tcW w:w="320" w:type="dxa"/>
            <w:vAlign w:val="bottom"/>
            <w:tcBorders>
              <w:bottom w:val="single" w:sz="8" w:color="F2F2F2"/>
            </w:tcBorders>
            <w:shd w:val="clear" w:color="auto" w:fill="F2F2F2"/>
          </w:tcPr>
          <w:p>
            <w:pPr>
              <w:spacing w:after="0"/>
              <w:rPr>
                <w:sz w:val="24"/>
                <w:szCs w:val="24"/>
                <w:color w:val="auto"/>
              </w:rPr>
            </w:pPr>
          </w:p>
        </w:tc>
        <w:tc>
          <w:tcPr>
            <w:tcW w:w="166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37,500 </w:t>
            </w:r>
          </w:p>
        </w:tc>
        <w:tc>
          <w:tcPr>
            <w:tcW w:w="192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41,352 </w:t>
            </w:r>
          </w:p>
        </w:tc>
        <w:tc>
          <w:tcPr>
            <w:tcW w:w="0" w:type="dxa"/>
            <w:vAlign w:val="bottom"/>
          </w:tcPr>
          <w:p>
            <w:pPr>
              <w:spacing w:after="0"/>
              <w:rPr>
                <w:sz w:val="1"/>
                <w:szCs w:val="1"/>
                <w:color w:val="auto"/>
              </w:rPr>
            </w:pPr>
          </w:p>
        </w:tc>
      </w:tr>
      <w:tr>
        <w:trPr>
          <w:trHeight w:val="240"/>
        </w:trPr>
        <w:tc>
          <w:tcPr>
            <w:tcW w:w="3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Jennifer Porter</w:t>
            </w: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37,500 </w:t>
            </w:r>
          </w:p>
        </w:tc>
        <w:tc>
          <w:tcPr>
            <w:tcW w:w="19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41,352 </w:t>
            </w:r>
          </w:p>
        </w:tc>
        <w:tc>
          <w:tcPr>
            <w:tcW w:w="0" w:type="dxa"/>
            <w:vAlign w:val="bottom"/>
          </w:tcPr>
          <w:p>
            <w:pPr>
              <w:spacing w:after="0"/>
              <w:rPr>
                <w:sz w:val="1"/>
                <w:szCs w:val="1"/>
                <w:color w:val="auto"/>
              </w:rPr>
            </w:pPr>
          </w:p>
        </w:tc>
      </w:tr>
      <w:tr>
        <w:trPr>
          <w:trHeight w:val="50"/>
        </w:trPr>
        <w:tc>
          <w:tcPr>
            <w:tcW w:w="3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00" w:type="dxa"/>
            <w:vAlign w:val="bottom"/>
            <w:tcBorders>
              <w:left w:val="single" w:sz="8" w:color="auto"/>
              <w:bottom w:val="single" w:sz="8" w:color="F2F2F2"/>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  Lisa Chi</w:t>
            </w:r>
          </w:p>
        </w:tc>
        <w:tc>
          <w:tcPr>
            <w:tcW w:w="320" w:type="dxa"/>
            <w:vAlign w:val="bottom"/>
            <w:tcBorders>
              <w:bottom w:val="single" w:sz="8" w:color="F2F2F2"/>
            </w:tcBorders>
            <w:shd w:val="clear" w:color="auto" w:fill="F2F2F2"/>
          </w:tcPr>
          <w:p>
            <w:pPr>
              <w:spacing w:after="0"/>
              <w:rPr>
                <w:sz w:val="23"/>
                <w:szCs w:val="23"/>
                <w:color w:val="auto"/>
              </w:rPr>
            </w:pPr>
          </w:p>
        </w:tc>
        <w:tc>
          <w:tcPr>
            <w:tcW w:w="166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37,500 </w:t>
            </w:r>
          </w:p>
        </w:tc>
        <w:tc>
          <w:tcPr>
            <w:tcW w:w="1920" w:type="dxa"/>
            <w:vAlign w:val="bottom"/>
            <w:tcBorders>
              <w:bottom w:val="single" w:sz="8" w:color="F2F2F2"/>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41,352 </w:t>
            </w:r>
          </w:p>
        </w:tc>
        <w:tc>
          <w:tcPr>
            <w:tcW w:w="0" w:type="dxa"/>
            <w:vAlign w:val="bottom"/>
          </w:tcPr>
          <w:p>
            <w:pPr>
              <w:spacing w:after="0"/>
              <w:rPr>
                <w:sz w:val="1"/>
                <w:szCs w:val="1"/>
                <w:color w:val="auto"/>
              </w:rPr>
            </w:pPr>
          </w:p>
        </w:tc>
      </w:tr>
      <w:tr>
        <w:trPr>
          <w:trHeight w:val="20"/>
        </w:trPr>
        <w:tc>
          <w:tcPr>
            <w:tcW w:w="3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Perquisites and Other Benefits</w:t>
      </w:r>
    </w:p>
    <w:p>
      <w:pPr>
        <w:spacing w:after="0" w:line="202" w:lineRule="exact"/>
        <w:rPr>
          <w:sz w:val="20"/>
          <w:szCs w:val="20"/>
          <w:color w:val="auto"/>
        </w:rPr>
      </w:pPr>
    </w:p>
    <w:p>
      <w:pPr>
        <w:ind w:left="120" w:right="280" w:firstLine="881"/>
        <w:spacing w:after="0" w:line="248" w:lineRule="auto"/>
        <w:rPr>
          <w:sz w:val="20"/>
          <w:szCs w:val="20"/>
          <w:color w:val="auto"/>
        </w:rPr>
      </w:pPr>
      <w:r>
        <w:rPr>
          <w:rFonts w:ascii="Arial" w:cs="Arial" w:eastAsia="Arial" w:hAnsi="Arial"/>
          <w:sz w:val="19"/>
          <w:szCs w:val="19"/>
          <w:color w:val="auto"/>
        </w:rPr>
        <w:t>We provide select perquisites to aid in the performance of the named executive officers’ respective duties and to provide competitive compensation with executives with similar positions and levels of responsibilities. For example, during fiscal year 2024, Mr. Reed was permitted to use the company aircraft for personal use, and Mr. Reed also received an employee discount for Arhaus merchandise in excess of the discount provided to employees generally. For additional information regarding perquisites provided to our named executive officers, see “Summary Compensation Table” below.</w:t>
      </w:r>
    </w:p>
    <w:p>
      <w:pPr>
        <w:spacing w:after="0" w:line="167" w:lineRule="exact"/>
        <w:rPr>
          <w:sz w:val="20"/>
          <w:szCs w:val="20"/>
          <w:color w:val="auto"/>
        </w:rPr>
      </w:pPr>
    </w:p>
    <w:p>
      <w:pPr>
        <w:ind w:left="120" w:right="120" w:firstLine="881"/>
        <w:spacing w:after="0" w:line="237" w:lineRule="auto"/>
        <w:rPr>
          <w:sz w:val="20"/>
          <w:szCs w:val="20"/>
          <w:color w:val="auto"/>
        </w:rPr>
      </w:pPr>
      <w:r>
        <w:rPr>
          <w:rFonts w:ascii="Arial" w:cs="Arial" w:eastAsia="Arial" w:hAnsi="Arial"/>
          <w:sz w:val="20"/>
          <w:szCs w:val="20"/>
          <w:color w:val="auto"/>
        </w:rPr>
        <w:t>We maintain a corporate aircraft used primarily for business travel by our executive officers. As noted above, we permit Mr. Reed to use this aircraft for personal use. We determine the incremental cost of the personal use of our corporate aircraft based on the variable operating costs to us in connection with such personal use. Because our aircraft is used primarily for business travel, this methodology excludes fixed costs that do not change based on usage.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Health and Welfare Benefits</w:t>
      </w:r>
    </w:p>
    <w:p>
      <w:pPr>
        <w:spacing w:after="0" w:line="202" w:lineRule="exact"/>
        <w:rPr>
          <w:sz w:val="20"/>
          <w:szCs w:val="20"/>
          <w:color w:val="auto"/>
        </w:rPr>
      </w:pPr>
    </w:p>
    <w:p>
      <w:pPr>
        <w:ind w:left="120" w:right="500" w:firstLine="881"/>
        <w:spacing w:after="0" w:line="257" w:lineRule="auto"/>
        <w:rPr>
          <w:sz w:val="20"/>
          <w:szCs w:val="20"/>
          <w:color w:val="auto"/>
        </w:rPr>
      </w:pPr>
      <w:r>
        <w:rPr>
          <w:rFonts w:ascii="Arial" w:cs="Arial" w:eastAsia="Arial" w:hAnsi="Arial"/>
          <w:sz w:val="20"/>
          <w:szCs w:val="20"/>
          <w:color w:val="auto"/>
        </w:rPr>
        <w:t>All of our full-time time team members, including our named executive officers, are eligible to participate in our health and welfare plans, including:</w:t>
      </w:r>
    </w:p>
    <w:p>
      <w:pPr>
        <w:spacing w:after="0" w:line="110" w:lineRule="exact"/>
        <w:rPr>
          <w:sz w:val="20"/>
          <w:szCs w:val="20"/>
          <w:color w:val="auto"/>
        </w:rPr>
      </w:pPr>
    </w:p>
    <w:p>
      <w:pPr>
        <w:ind w:left="1420" w:hanging="427"/>
        <w:spacing w:after="0"/>
        <w:tabs>
          <w:tab w:leader="none" w:pos="1420" w:val="left"/>
        </w:tabs>
        <w:numPr>
          <w:ilvl w:val="0"/>
          <w:numId w:val="22"/>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medical, dental and vision benefits;</w:t>
      </w:r>
    </w:p>
    <w:p>
      <w:pPr>
        <w:spacing w:after="0" w:line="94" w:lineRule="exact"/>
        <w:rPr>
          <w:rFonts w:ascii="Times New Roman" w:cs="Times New Roman" w:eastAsia="Times New Roman" w:hAnsi="Times New Roman"/>
          <w:sz w:val="29"/>
          <w:szCs w:val="29"/>
          <w:color w:val="auto"/>
          <w:vertAlign w:val="superscript"/>
        </w:rPr>
      </w:pPr>
    </w:p>
    <w:p>
      <w:pPr>
        <w:ind w:left="1420" w:hanging="427"/>
        <w:spacing w:after="0" w:line="181" w:lineRule="auto"/>
        <w:tabs>
          <w:tab w:leader="none" w:pos="1420" w:val="left"/>
        </w:tabs>
        <w:numPr>
          <w:ilvl w:val="0"/>
          <w:numId w:val="22"/>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medical and dependent care flexible spending accounts;</w:t>
      </w:r>
    </w:p>
    <w:p>
      <w:pPr>
        <w:spacing w:after="0" w:line="94" w:lineRule="exact"/>
        <w:rPr>
          <w:rFonts w:ascii="Times New Roman" w:cs="Times New Roman" w:eastAsia="Times New Roman" w:hAnsi="Times New Roman"/>
          <w:sz w:val="28"/>
          <w:szCs w:val="28"/>
          <w:color w:val="auto"/>
          <w:vertAlign w:val="superscript"/>
        </w:rPr>
      </w:pPr>
    </w:p>
    <w:p>
      <w:pPr>
        <w:ind w:left="1420" w:hanging="427"/>
        <w:spacing w:after="0" w:line="181" w:lineRule="auto"/>
        <w:tabs>
          <w:tab w:leader="none" w:pos="1420" w:val="left"/>
        </w:tabs>
        <w:numPr>
          <w:ilvl w:val="0"/>
          <w:numId w:val="22"/>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health savings account;</w:t>
      </w:r>
    </w:p>
    <w:p>
      <w:pPr>
        <w:spacing w:after="0" w:line="94" w:lineRule="exact"/>
        <w:rPr>
          <w:rFonts w:ascii="Times New Roman" w:cs="Times New Roman" w:eastAsia="Times New Roman" w:hAnsi="Times New Roman"/>
          <w:sz w:val="28"/>
          <w:szCs w:val="28"/>
          <w:color w:val="auto"/>
          <w:vertAlign w:val="superscript"/>
        </w:rPr>
      </w:pPr>
    </w:p>
    <w:p>
      <w:pPr>
        <w:ind w:left="1420" w:hanging="427"/>
        <w:spacing w:after="0" w:line="181" w:lineRule="auto"/>
        <w:tabs>
          <w:tab w:leader="none" w:pos="1420" w:val="left"/>
        </w:tabs>
        <w:numPr>
          <w:ilvl w:val="0"/>
          <w:numId w:val="22"/>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short-term and long-term disability insurance; and</w:t>
      </w:r>
    </w:p>
    <w:p>
      <w:pPr>
        <w:spacing w:after="0" w:line="94" w:lineRule="exact"/>
        <w:rPr>
          <w:rFonts w:ascii="Times New Roman" w:cs="Times New Roman" w:eastAsia="Times New Roman" w:hAnsi="Times New Roman"/>
          <w:sz w:val="28"/>
          <w:szCs w:val="28"/>
          <w:color w:val="auto"/>
          <w:vertAlign w:val="superscript"/>
        </w:rPr>
      </w:pPr>
    </w:p>
    <w:p>
      <w:pPr>
        <w:ind w:left="1420" w:hanging="427"/>
        <w:spacing w:after="0" w:line="181" w:lineRule="auto"/>
        <w:tabs>
          <w:tab w:leader="none" w:pos="1420" w:val="left"/>
        </w:tabs>
        <w:numPr>
          <w:ilvl w:val="0"/>
          <w:numId w:val="22"/>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basic, supplemental, spousal, and dependent life insurance.</w:t>
      </w:r>
    </w:p>
    <w:p>
      <w:pPr>
        <w:spacing w:after="0" w:line="171" w:lineRule="exact"/>
        <w:rPr>
          <w:sz w:val="20"/>
          <w:szCs w:val="20"/>
          <w:color w:val="auto"/>
        </w:rPr>
      </w:pPr>
    </w:p>
    <w:p>
      <w:pPr>
        <w:ind w:left="120" w:right="380" w:firstLine="881"/>
        <w:spacing w:after="0" w:line="257" w:lineRule="auto"/>
        <w:rPr>
          <w:sz w:val="20"/>
          <w:szCs w:val="20"/>
          <w:color w:val="auto"/>
        </w:rPr>
      </w:pPr>
      <w:r>
        <w:rPr>
          <w:rFonts w:ascii="Arial" w:cs="Arial" w:eastAsia="Arial" w:hAnsi="Arial"/>
          <w:sz w:val="20"/>
          <w:szCs w:val="20"/>
          <w:color w:val="auto"/>
        </w:rPr>
        <w:t>We believe the benefits described above are necessary and appropriate to provide a competitive compensation package to our named executive officers.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Clawback Policy</w:t>
      </w:r>
    </w:p>
    <w:p>
      <w:pPr>
        <w:spacing w:after="0" w:line="202" w:lineRule="exact"/>
        <w:rPr>
          <w:sz w:val="20"/>
          <w:szCs w:val="20"/>
          <w:color w:val="auto"/>
        </w:rPr>
      </w:pPr>
    </w:p>
    <w:p>
      <w:pPr>
        <w:ind w:left="120" w:right="120" w:firstLine="881"/>
        <w:spacing w:after="0" w:line="234" w:lineRule="auto"/>
        <w:rPr>
          <w:sz w:val="20"/>
          <w:szCs w:val="20"/>
          <w:color w:val="auto"/>
        </w:rPr>
      </w:pPr>
      <w:r>
        <w:rPr>
          <w:rFonts w:ascii="Arial" w:cs="Arial" w:eastAsia="Arial" w:hAnsi="Arial"/>
          <w:sz w:val="20"/>
          <w:szCs w:val="20"/>
          <w:color w:val="auto"/>
        </w:rPr>
        <w:t>We have adopted a Dodd-Frank Wall Street Reform and Consumer Protection Act-compliant compensation recoupment policy in accordance with SEC and listing exchange requirements (the “Clawback Policy”). In the event we are required to prepare an accounting restatement, the policy provides for the recovery by the Company of any compensation received after the effective date of the policy, October 3, 2023, by any current or former executive officer that is based wholly or in part upon the attainment of a restated financial reporting measure.</w:t>
      </w:r>
    </w:p>
    <w:p>
      <w:pPr>
        <w:spacing w:after="0" w:line="175" w:lineRule="exact"/>
        <w:rPr>
          <w:sz w:val="20"/>
          <w:szCs w:val="20"/>
          <w:color w:val="auto"/>
        </w:rPr>
      </w:pPr>
    </w:p>
    <w:p>
      <w:pPr>
        <w:jc w:val="both"/>
        <w:ind w:left="120" w:right="120" w:firstLine="881"/>
        <w:spacing w:after="0" w:line="243" w:lineRule="auto"/>
        <w:rPr>
          <w:sz w:val="20"/>
          <w:szCs w:val="20"/>
          <w:color w:val="auto"/>
        </w:rPr>
      </w:pPr>
      <w:r>
        <w:rPr>
          <w:rFonts w:ascii="Arial" w:cs="Arial" w:eastAsia="Arial" w:hAnsi="Arial"/>
          <w:sz w:val="19"/>
          <w:szCs w:val="19"/>
          <w:color w:val="auto"/>
        </w:rPr>
        <w:t>As previously disclosed, on March 11, 2024, the Company filed Amendment No. 1 on Form 10-Q/A to its Quarterly Report on Form 10-Q for the period ended September 30, 2023 (the “Q3 Form 10-Q” and such period, the “Affected Period”) to amend and restate its previously issued unaudited condensed consolidated financial statements for the Affected Period.</w:t>
      </w:r>
    </w:p>
    <w:p>
      <w:pPr>
        <w:spacing w:after="0" w:line="2" w:lineRule="exact"/>
        <w:rPr>
          <w:sz w:val="20"/>
          <w:szCs w:val="20"/>
          <w:color w:val="auto"/>
        </w:rPr>
      </w:pPr>
    </w:p>
    <w:p>
      <w:pPr>
        <w:ind w:left="120" w:right="100"/>
        <w:spacing w:after="0" w:line="241" w:lineRule="auto"/>
        <w:rPr>
          <w:sz w:val="20"/>
          <w:szCs w:val="20"/>
          <w:color w:val="auto"/>
        </w:rPr>
      </w:pPr>
      <w:r>
        <w:rPr>
          <w:rFonts w:ascii="Arial" w:cs="Arial" w:eastAsia="Arial" w:hAnsi="Arial"/>
          <w:sz w:val="19"/>
          <w:szCs w:val="19"/>
          <w:color w:val="auto"/>
        </w:rPr>
        <w:t>The identified error was within the unaudited condensed consolidated balance sheet as of September 30, 2023 and resulted in inaccurate cash flows ascribed to operating and investing activities in the unaudited condensed consolidated statement of cash flows for the nine months ended September 30, 2023. In preparation of the March 31, 2024 unaudited condensed consolidated financial statements, the Company identified additional errors within the unaudited condensed consolidated balance sheet as of September 30, 2023, and on May 10, 2024 filed Amendment No. 2 on Form 10-Q/A to its Q3 Form 10-Q for the Affected Period. The errors resulted in inaccurate cash flows ascribed to operating and investing activities in the unaudited condensed consolidated statement of cash flows for the nine months ended September 30, 2023.</w:t>
      </w:r>
    </w:p>
    <w:p>
      <w:pPr>
        <w:spacing w:after="0" w:line="174" w:lineRule="exact"/>
        <w:rPr>
          <w:sz w:val="20"/>
          <w:szCs w:val="20"/>
          <w:color w:val="auto"/>
        </w:rPr>
      </w:pPr>
    </w:p>
    <w:p>
      <w:pPr>
        <w:ind w:left="120" w:firstLine="881"/>
        <w:spacing w:after="0" w:line="237" w:lineRule="auto"/>
        <w:rPr>
          <w:sz w:val="20"/>
          <w:szCs w:val="20"/>
          <w:color w:val="auto"/>
        </w:rPr>
      </w:pPr>
      <w:r>
        <w:rPr>
          <w:rFonts w:ascii="Arial" w:cs="Arial" w:eastAsia="Arial" w:hAnsi="Arial"/>
          <w:sz w:val="20"/>
          <w:szCs w:val="20"/>
          <w:color w:val="auto"/>
        </w:rPr>
        <w:t>The Compensation Committee considered whether the restatements required recovery of erroneously awarded incentive-based compensation pursuant to the Clawback Policy. The Committee concluded that the restatements did not impact the performance metrics used for executive compensation and therefore no recovery of incentive-based compensation was required.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401(k) Plan</w:t>
      </w:r>
    </w:p>
    <w:p>
      <w:pPr>
        <w:spacing w:after="0" w:line="202" w:lineRule="exact"/>
        <w:rPr>
          <w:sz w:val="20"/>
          <w:szCs w:val="20"/>
          <w:color w:val="auto"/>
        </w:rPr>
      </w:pPr>
    </w:p>
    <w:p>
      <w:pPr>
        <w:ind w:left="120" w:right="520" w:firstLine="881"/>
        <w:spacing w:after="0" w:line="257" w:lineRule="auto"/>
        <w:rPr>
          <w:sz w:val="20"/>
          <w:szCs w:val="20"/>
          <w:color w:val="auto"/>
        </w:rPr>
      </w:pPr>
      <w:r>
        <w:rPr>
          <w:rFonts w:ascii="Arial" w:cs="Arial" w:eastAsia="Arial" w:hAnsi="Arial"/>
          <w:sz w:val="20"/>
          <w:szCs w:val="20"/>
          <w:color w:val="auto"/>
        </w:rPr>
        <w:t>We currently maintain a 401(k) retirement savings plan for our team members, including our named executive officers, who satisfy certain eligibility requirements. Our named executive</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32" w:lineRule="auto"/>
        <w:rPr>
          <w:sz w:val="20"/>
          <w:szCs w:val="20"/>
          <w:color w:val="auto"/>
        </w:rPr>
      </w:pPr>
      <w:r>
        <w:rPr>
          <w:rFonts w:ascii="Arial" w:cs="Arial" w:eastAsia="Arial" w:hAnsi="Arial"/>
          <w:sz w:val="20"/>
          <w:szCs w:val="20"/>
          <w:color w:val="auto"/>
        </w:rPr>
        <w:t>officers are eligible to participate in the 401(k) plan on the terms as defined by the IRS. They are eligible to contribute on a pre-tax basis through contributions to the 401(k) plan, subject to applicable annual Code limits. All participants’ interests in their deferrals are 100% vested when contributed. The 401(k) plan permits us to make matching contributions to eligible participants. We match up to 4% of the employee contributions in the 401(k) plan if the employee contributes 4%. Company matching contributions vest immediately. We believe that providing a vehicle for tax-deferred retirement savings though our 401(k) plan adds to the overall desirability of our executive compensation package and further incentivizes our team members, including our named executive officers, in accordance with our compensation philosophy.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Compensation Policies and Practices as Related to Risk Management</w:t>
      </w:r>
    </w:p>
    <w:p>
      <w:pPr>
        <w:spacing w:after="0" w:line="202" w:lineRule="exact"/>
        <w:rPr>
          <w:sz w:val="20"/>
          <w:szCs w:val="20"/>
          <w:color w:val="auto"/>
        </w:rPr>
      </w:pPr>
    </w:p>
    <w:p>
      <w:pPr>
        <w:ind w:left="120" w:right="180" w:firstLine="881"/>
        <w:spacing w:after="0" w:line="234" w:lineRule="auto"/>
        <w:rPr>
          <w:sz w:val="20"/>
          <w:szCs w:val="20"/>
          <w:color w:val="auto"/>
        </w:rPr>
      </w:pPr>
      <w:r>
        <w:rPr>
          <w:rFonts w:ascii="Arial" w:cs="Arial" w:eastAsia="Arial" w:hAnsi="Arial"/>
          <w:sz w:val="20"/>
          <w:szCs w:val="20"/>
          <w:color w:val="auto"/>
        </w:rPr>
        <w:t>The Compensation Committee evaluated the levels of risk-taking to determine whether they are appropriate in the context of long-term value creation and viability, the overall compensation arrangements, and the Company’s overall risk profile. The Compensation Committee concluded that the Company has a balanced pay for performance executive compensation program that does not encourage excessive risk-taking and the Company does not maintain compensation policies and practices that are reasonably likely to have a material adverse effect on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Severance and Other Benefits Payable upon Termination of Employment or Change in Control</w:t>
      </w:r>
    </w:p>
    <w:p>
      <w:pPr>
        <w:spacing w:after="0" w:line="202" w:lineRule="exact"/>
        <w:rPr>
          <w:sz w:val="20"/>
          <w:szCs w:val="20"/>
          <w:color w:val="auto"/>
        </w:rPr>
      </w:pPr>
    </w:p>
    <w:p>
      <w:pPr>
        <w:jc w:val="both"/>
        <w:ind w:left="120" w:right="500" w:firstLine="881"/>
        <w:spacing w:after="0" w:line="241" w:lineRule="auto"/>
        <w:rPr>
          <w:sz w:val="20"/>
          <w:szCs w:val="20"/>
          <w:color w:val="auto"/>
        </w:rPr>
      </w:pPr>
      <w:r>
        <w:rPr>
          <w:rFonts w:ascii="Arial" w:cs="Arial" w:eastAsia="Arial" w:hAnsi="Arial"/>
          <w:sz w:val="20"/>
          <w:szCs w:val="20"/>
          <w:color w:val="auto"/>
        </w:rPr>
        <w:t>Our named executive officers, except Mr. Reed, have employment agreements with the Company, pursuant to which they are entitled to receive certain benefits upon qualifying termination. See the section “Potential Payments upon Termination or Change in Control” below for additional information regarding these benefits.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CEO Pay Relative to Median Pay of Our Team Members</w:t>
      </w:r>
    </w:p>
    <w:p>
      <w:pPr>
        <w:spacing w:after="0" w:line="202" w:lineRule="exact"/>
        <w:rPr>
          <w:sz w:val="20"/>
          <w:szCs w:val="20"/>
          <w:color w:val="auto"/>
        </w:rPr>
      </w:pPr>
    </w:p>
    <w:p>
      <w:pPr>
        <w:ind w:left="120" w:firstLine="881"/>
        <w:spacing w:after="0" w:line="229" w:lineRule="auto"/>
        <w:rPr>
          <w:sz w:val="20"/>
          <w:szCs w:val="20"/>
          <w:color w:val="auto"/>
        </w:rPr>
      </w:pPr>
      <w:r>
        <w:rPr>
          <w:rFonts w:ascii="Arial" w:cs="Arial" w:eastAsia="Arial" w:hAnsi="Arial"/>
          <w:sz w:val="20"/>
          <w:szCs w:val="20"/>
          <w:color w:val="auto"/>
        </w:rPr>
        <w:t>The annual total compensation for our CEO in fiscal year 2024 of $2,257,528, as disclosed in the Summary Compensation Table below, was approximately 41 times the median annual total compensation of $55,735 for all employees of the Company, excluding the CEO. Annual total compensation includes base salary, bonus compensation, equity awards and other perquisites and benefits. We believe our CEO to median team members pay ratio represents a reasonable estimate calculated in accordance with SEC regulations and guidance. We identified the median team member by examining the gross wages reflected in our payroll records as reported to the IRS on Form W-2 for all individuals, excluding our CEO, who were employed by the Company on December 31, 2024. We included all team members, whether employed on a full-time, part-time or temporary basis, but we excluded all contractors and consultants. We did not make any assumptions, adjustments, or estimates with respect to payroll compensation amounts. As such, some employees had not yet received wages even though they were included in our payroll records. After identifying the median team member based on total W-2 payroll compensation, we calculated annual total compensation for such team member using the same methodology we use for our named executive officers as set forth in the Summary Compensation Table.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COMPENSATION COMMITTEE REPORT</w:t>
      </w:r>
    </w:p>
    <w:p>
      <w:pPr>
        <w:spacing w:after="0" w:line="204" w:lineRule="exact"/>
        <w:rPr>
          <w:sz w:val="20"/>
          <w:szCs w:val="20"/>
          <w:color w:val="auto"/>
        </w:rPr>
      </w:pPr>
    </w:p>
    <w:p>
      <w:pPr>
        <w:ind w:left="120" w:firstLine="881"/>
        <w:spacing w:after="0" w:line="237" w:lineRule="auto"/>
        <w:rPr>
          <w:sz w:val="20"/>
          <w:szCs w:val="20"/>
          <w:color w:val="auto"/>
        </w:rPr>
      </w:pPr>
      <w:r>
        <w:rPr>
          <w:rFonts w:ascii="Arial" w:cs="Arial" w:eastAsia="Arial" w:hAnsi="Arial"/>
          <w:sz w:val="20"/>
          <w:szCs w:val="20"/>
          <w:color w:val="auto"/>
        </w:rPr>
        <w:t>The Compensation Committee has reviewed and discussed with management the above Compensation Discussion and Analysis. Based on their review and discussions, the Compensation Committee recommended to the Board of Directors that the Compensation Discussion and Analysis be included in this proxy statement and in the Company’s Annual Report on Form 10-K for the year ended December 31, 2024.</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Compensation Committee of the Board of Directors:</w:t>
      </w:r>
    </w:p>
    <w:p>
      <w:pPr>
        <w:ind w:left="120"/>
        <w:spacing w:after="0" w:line="229" w:lineRule="auto"/>
        <w:rPr>
          <w:sz w:val="20"/>
          <w:szCs w:val="20"/>
          <w:color w:val="auto"/>
        </w:rPr>
      </w:pPr>
      <w:r>
        <w:rPr>
          <w:rFonts w:ascii="Arial" w:cs="Arial" w:eastAsia="Arial" w:hAnsi="Arial"/>
          <w:sz w:val="20"/>
          <w:szCs w:val="20"/>
          <w:color w:val="auto"/>
        </w:rPr>
        <w:t>Al Adams, Chairman</w:t>
      </w:r>
    </w:p>
    <w:p>
      <w:pPr>
        <w:ind w:left="120"/>
        <w:spacing w:after="0" w:line="226" w:lineRule="auto"/>
        <w:rPr>
          <w:sz w:val="20"/>
          <w:szCs w:val="20"/>
          <w:color w:val="auto"/>
        </w:rPr>
      </w:pPr>
      <w:r>
        <w:rPr>
          <w:rFonts w:ascii="Arial" w:cs="Arial" w:eastAsia="Arial" w:hAnsi="Arial"/>
          <w:sz w:val="20"/>
          <w:szCs w:val="20"/>
          <w:color w:val="auto"/>
        </w:rPr>
        <w:t>William Beargie</w:t>
      </w:r>
    </w:p>
    <w:p>
      <w:pPr>
        <w:ind w:left="120"/>
        <w:spacing w:after="0" w:line="225" w:lineRule="auto"/>
        <w:rPr>
          <w:sz w:val="20"/>
          <w:szCs w:val="20"/>
          <w:color w:val="auto"/>
        </w:rPr>
      </w:pPr>
      <w:r>
        <w:rPr>
          <w:rFonts w:ascii="Arial" w:cs="Arial" w:eastAsia="Arial" w:hAnsi="Arial"/>
          <w:sz w:val="20"/>
          <w:szCs w:val="20"/>
          <w:color w:val="auto"/>
        </w:rPr>
        <w:t>Alexis DePree</w:t>
      </w:r>
    </w:p>
    <w:p>
      <w:pPr>
        <w:ind w:left="120"/>
        <w:spacing w:after="0"/>
        <w:rPr>
          <w:sz w:val="20"/>
          <w:szCs w:val="20"/>
          <w:color w:val="auto"/>
        </w:rPr>
      </w:pPr>
      <w:r>
        <w:rPr>
          <w:rFonts w:ascii="Arial" w:cs="Arial" w:eastAsia="Arial" w:hAnsi="Arial"/>
          <w:sz w:val="20"/>
          <w:szCs w:val="20"/>
          <w:color w:val="auto"/>
        </w:rPr>
        <w:t>John Roth</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80" w:firstLine="881"/>
        <w:spacing w:after="0" w:line="257" w:lineRule="auto"/>
        <w:rPr>
          <w:sz w:val="20"/>
          <w:szCs w:val="20"/>
          <w:color w:val="auto"/>
        </w:rPr>
      </w:pPr>
      <w:r>
        <w:rPr>
          <w:rFonts w:ascii="Arial" w:cs="Arial" w:eastAsia="Arial" w:hAnsi="Arial"/>
          <w:sz w:val="20"/>
          <w:szCs w:val="20"/>
          <w:color w:val="auto"/>
        </w:rPr>
        <w:t>The following table shows the elements of compensation paid or earned during fiscal years 2024, 2023 and 2022 for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SUMMARY COMPENSATION TABLE</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left="21"/>
              <w:spacing w:after="0"/>
              <w:rPr>
                <w:sz w:val="20"/>
                <w:szCs w:val="20"/>
                <w:color w:val="auto"/>
              </w:rPr>
            </w:pPr>
            <w:r>
              <w:rPr>
                <w:rFonts w:ascii="Arial" w:cs="Arial" w:eastAsia="Arial" w:hAnsi="Arial"/>
                <w:sz w:val="14"/>
                <w:szCs w:val="14"/>
                <w:b w:val="1"/>
                <w:bCs w:val="1"/>
                <w:color w:val="auto"/>
              </w:rPr>
              <w:t>Non-Equity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Incentive Plan</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Compensation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43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Salary(1)</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Bonus(2)</w:t>
            </w:r>
          </w:p>
        </w:tc>
        <w:tc>
          <w:tcPr>
            <w:tcW w:w="860" w:type="dxa"/>
            <w:vAlign w:val="bottom"/>
          </w:tcPr>
          <w:p>
            <w:pPr>
              <w:jc w:val="right"/>
              <w:ind w:right="220"/>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41"/>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41"/>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8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r>
      <w:tr>
        <w:trPr>
          <w:trHeight w:val="148"/>
        </w:trPr>
        <w:tc>
          <w:tcPr>
            <w:tcW w:w="4340" w:type="dxa"/>
            <w:vAlign w:val="bottom"/>
            <w:tcBorders>
              <w:top w:val="single" w:sz="8" w:color="E5E5E5"/>
            </w:tcBorders>
            <w:shd w:val="clear" w:color="auto" w:fill="E5E5E5"/>
          </w:tcPr>
          <w:p>
            <w:pPr>
              <w:spacing w:after="0" w:line="148" w:lineRule="exact"/>
              <w:rPr>
                <w:sz w:val="20"/>
                <w:szCs w:val="20"/>
                <w:color w:val="auto"/>
              </w:rPr>
            </w:pPr>
            <w:r>
              <w:rPr>
                <w:rFonts w:ascii="Arial" w:cs="Arial" w:eastAsia="Arial" w:hAnsi="Arial"/>
                <w:sz w:val="16"/>
                <w:szCs w:val="16"/>
                <w:b w:val="1"/>
                <w:bCs w:val="1"/>
                <w:color w:val="auto"/>
              </w:rPr>
              <w:t>John Reed</w:t>
            </w:r>
          </w:p>
        </w:tc>
        <w:tc>
          <w:tcPr>
            <w:tcW w:w="580" w:type="dxa"/>
            <w:vAlign w:val="bottom"/>
            <w:tcBorders>
              <w:top w:val="single" w:sz="8" w:color="E5E5E5"/>
            </w:tcBorders>
            <w:gridSpan w:val="2"/>
            <w:shd w:val="clear" w:color="auto" w:fill="E5E5E5"/>
          </w:tcPr>
          <w:p>
            <w:pPr>
              <w:ind w:left="60"/>
              <w:spacing w:after="0" w:line="148" w:lineRule="exact"/>
              <w:rPr>
                <w:sz w:val="20"/>
                <w:szCs w:val="20"/>
                <w:color w:val="auto"/>
              </w:rPr>
            </w:pPr>
            <w:r>
              <w:rPr>
                <w:rFonts w:ascii="Arial" w:cs="Arial" w:eastAsia="Arial" w:hAnsi="Arial"/>
                <w:sz w:val="16"/>
                <w:szCs w:val="16"/>
                <w:color w:val="auto"/>
              </w:rPr>
              <w:t>2024</w:t>
            </w:r>
          </w:p>
        </w:tc>
        <w:tc>
          <w:tcPr>
            <w:tcW w:w="780" w:type="dxa"/>
            <w:vAlign w:val="bottom"/>
            <w:tcBorders>
              <w:top w:val="single" w:sz="8" w:color="auto"/>
            </w:tcBorders>
            <w:shd w:val="clear" w:color="auto" w:fill="E5E5E5"/>
          </w:tcPr>
          <w:p>
            <w:pPr>
              <w:jc w:val="right"/>
              <w:spacing w:after="0" w:line="148" w:lineRule="exact"/>
              <w:rPr>
                <w:sz w:val="20"/>
                <w:szCs w:val="20"/>
                <w:color w:val="auto"/>
              </w:rPr>
            </w:pPr>
            <w:r>
              <w:rPr>
                <w:rFonts w:ascii="Arial" w:cs="Arial" w:eastAsia="Arial" w:hAnsi="Arial"/>
                <w:sz w:val="16"/>
                <w:szCs w:val="16"/>
                <w:color w:val="auto"/>
              </w:rPr>
              <w:t>1,491,280</w:t>
            </w:r>
          </w:p>
        </w:tc>
        <w:tc>
          <w:tcPr>
            <w:tcW w:w="160" w:type="dxa"/>
            <w:vAlign w:val="bottom"/>
            <w:tcBorders>
              <w:top w:val="single" w:sz="8" w:color="E5E5E5"/>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ind w:left="300"/>
              <w:spacing w:after="0" w:line="148" w:lineRule="exact"/>
              <w:rPr>
                <w:sz w:val="20"/>
                <w:szCs w:val="20"/>
                <w:color w:val="auto"/>
              </w:rPr>
            </w:pPr>
            <w:r>
              <w:rPr>
                <w:rFonts w:ascii="Arial" w:cs="Arial" w:eastAsia="Arial" w:hAnsi="Arial"/>
                <w:sz w:val="16"/>
                <w:szCs w:val="16"/>
                <w:color w:val="auto"/>
                <w:w w:val="87"/>
              </w:rPr>
              <w:t>— </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color w:val="auto"/>
                <w:w w:val="71"/>
              </w:rPr>
              <w:t> </w:t>
            </w:r>
          </w:p>
        </w:tc>
        <w:tc>
          <w:tcPr>
            <w:tcW w:w="160" w:type="dxa"/>
            <w:vAlign w:val="bottom"/>
            <w:tcBorders>
              <w:top w:val="single" w:sz="8" w:color="E5E5E5"/>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jc w:val="right"/>
              <w:ind w:right="40"/>
              <w:spacing w:after="0" w:line="148" w:lineRule="exact"/>
              <w:rPr>
                <w:sz w:val="20"/>
                <w:szCs w:val="20"/>
                <w:color w:val="auto"/>
              </w:rPr>
            </w:pPr>
            <w:r>
              <w:rPr>
                <w:rFonts w:ascii="Arial" w:cs="Arial" w:eastAsia="Arial" w:hAnsi="Arial"/>
                <w:sz w:val="16"/>
                <w:szCs w:val="16"/>
                <w:color w:val="auto"/>
              </w:rPr>
              <w:t xml:space="preserve">—   </w:t>
            </w:r>
          </w:p>
        </w:tc>
        <w:tc>
          <w:tcPr>
            <w:tcW w:w="80" w:type="dxa"/>
            <w:vAlign w:val="bottom"/>
            <w:tcBorders>
              <w:top w:val="single" w:sz="8" w:color="auto"/>
            </w:tcBorders>
            <w:shd w:val="clear" w:color="auto" w:fill="E5E5E5"/>
          </w:tcPr>
          <w:p>
            <w:pPr>
              <w:spacing w:after="0" w:line="148" w:lineRule="exact"/>
              <w:rPr>
                <w:sz w:val="20"/>
                <w:szCs w:val="20"/>
                <w:color w:val="auto"/>
              </w:rPr>
            </w:pPr>
            <w:r>
              <w:rPr>
                <w:rFonts w:ascii="Arial" w:cs="Arial" w:eastAsia="Arial" w:hAnsi="Arial"/>
                <w:sz w:val="16"/>
                <w:szCs w:val="16"/>
                <w:color w:val="auto"/>
                <w:w w:val="74"/>
              </w:rPr>
              <w:t> </w:t>
            </w:r>
          </w:p>
        </w:tc>
        <w:tc>
          <w:tcPr>
            <w:tcW w:w="160" w:type="dxa"/>
            <w:vAlign w:val="bottom"/>
            <w:tcBorders>
              <w:top w:val="single" w:sz="8" w:color="E5E5E5"/>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jc w:val="right"/>
              <w:ind w:right="21"/>
              <w:spacing w:after="0" w:line="148" w:lineRule="exact"/>
              <w:rPr>
                <w:sz w:val="20"/>
                <w:szCs w:val="20"/>
                <w:color w:val="auto"/>
              </w:rPr>
            </w:pPr>
            <w:r>
              <w:rPr>
                <w:rFonts w:ascii="Arial" w:cs="Arial" w:eastAsia="Arial" w:hAnsi="Arial"/>
                <w:sz w:val="16"/>
                <w:szCs w:val="16"/>
                <w:color w:val="auto"/>
              </w:rPr>
              <w:t>— </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1"/>
                <w:szCs w:val="11"/>
                <w:color w:val="auto"/>
                <w:w w:val="71"/>
              </w:rPr>
              <w:t> </w:t>
            </w:r>
          </w:p>
        </w:tc>
        <w:tc>
          <w:tcPr>
            <w:tcW w:w="160" w:type="dxa"/>
            <w:vAlign w:val="bottom"/>
            <w:tcBorders>
              <w:top w:val="single" w:sz="8" w:color="E5E5E5"/>
            </w:tcBorders>
            <w:shd w:val="clear" w:color="auto" w:fill="E5E5E5"/>
          </w:tcPr>
          <w:p>
            <w:pPr>
              <w:spacing w:after="0"/>
              <w:rPr>
                <w:sz w:val="12"/>
                <w:szCs w:val="12"/>
                <w:color w:val="auto"/>
              </w:rPr>
            </w:pPr>
          </w:p>
        </w:tc>
        <w:tc>
          <w:tcPr>
            <w:tcW w:w="1020" w:type="dxa"/>
            <w:vAlign w:val="bottom"/>
            <w:tcBorders>
              <w:top w:val="single" w:sz="8" w:color="auto"/>
            </w:tcBorders>
            <w:shd w:val="clear" w:color="auto" w:fill="E5E5E5"/>
          </w:tcPr>
          <w:p>
            <w:pPr>
              <w:jc w:val="right"/>
              <w:spacing w:after="0" w:line="148" w:lineRule="exact"/>
              <w:rPr>
                <w:sz w:val="20"/>
                <w:szCs w:val="20"/>
                <w:color w:val="auto"/>
              </w:rPr>
            </w:pPr>
            <w:r>
              <w:rPr>
                <w:rFonts w:ascii="Arial" w:cs="Arial" w:eastAsia="Arial" w:hAnsi="Arial"/>
                <w:sz w:val="16"/>
                <w:szCs w:val="16"/>
                <w:color w:val="auto"/>
              </w:rPr>
              <w:t>766,248</w:t>
            </w:r>
          </w:p>
        </w:tc>
        <w:tc>
          <w:tcPr>
            <w:tcW w:w="160" w:type="dxa"/>
            <w:vAlign w:val="bottom"/>
            <w:tcBorders>
              <w:top w:val="single" w:sz="8" w:color="E5E5E5"/>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jc w:val="right"/>
              <w:spacing w:after="0" w:line="148" w:lineRule="exact"/>
              <w:rPr>
                <w:sz w:val="20"/>
                <w:szCs w:val="20"/>
                <w:color w:val="auto"/>
              </w:rPr>
            </w:pPr>
            <w:r>
              <w:rPr>
                <w:rFonts w:ascii="Arial" w:cs="Arial" w:eastAsia="Arial" w:hAnsi="Arial"/>
                <w:sz w:val="16"/>
                <w:szCs w:val="16"/>
                <w:color w:val="auto"/>
              </w:rPr>
              <w:t>2,257,528</w:t>
            </w:r>
          </w:p>
        </w:tc>
        <w:tc>
          <w:tcPr>
            <w:tcW w:w="60" w:type="dxa"/>
            <w:vAlign w:val="bottom"/>
            <w:tcBorders>
              <w:top w:val="single" w:sz="8" w:color="E5E5E5"/>
            </w:tcBorders>
            <w:shd w:val="clear" w:color="auto" w:fill="E5E5E5"/>
          </w:tcPr>
          <w:p>
            <w:pPr>
              <w:spacing w:after="0"/>
              <w:rPr>
                <w:sz w:val="12"/>
                <w:szCs w:val="12"/>
                <w:color w:val="auto"/>
              </w:rPr>
            </w:pPr>
          </w:p>
        </w:tc>
      </w:tr>
      <w:tr>
        <w:trPr>
          <w:trHeight w:val="189"/>
        </w:trPr>
        <w:tc>
          <w:tcPr>
            <w:tcW w:w="4340" w:type="dxa"/>
            <w:vAlign w:val="bottom"/>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President and Chief Executive Officer</w:t>
            </w:r>
          </w:p>
        </w:tc>
        <w:tc>
          <w:tcPr>
            <w:tcW w:w="5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1,445,231</w:t>
            </w:r>
          </w:p>
        </w:tc>
        <w:tc>
          <w:tcPr>
            <w:tcW w:w="860" w:type="dxa"/>
            <w:vAlign w:val="bottom"/>
            <w:gridSpan w:val="3"/>
            <w:shd w:val="clear" w:color="auto" w:fill="E5E5E5"/>
          </w:tcPr>
          <w:p>
            <w:pPr>
              <w:ind w:left="80"/>
              <w:spacing w:after="0"/>
              <w:rPr>
                <w:sz w:val="20"/>
                <w:szCs w:val="20"/>
                <w:color w:val="auto"/>
              </w:rPr>
            </w:pPr>
            <w:r>
              <w:rPr>
                <w:rFonts w:ascii="Arial" w:cs="Arial" w:eastAsia="Arial" w:hAnsi="Arial"/>
                <w:sz w:val="16"/>
                <w:szCs w:val="16"/>
                <w:color w:val="auto"/>
              </w:rPr>
              <w:t> 173,428</w:t>
            </w:r>
          </w:p>
        </w:tc>
        <w:tc>
          <w:tcPr>
            <w:tcW w:w="8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 xml:space="preserve">—   </w:t>
            </w:r>
          </w:p>
        </w:tc>
        <w:tc>
          <w:tcPr>
            <w:tcW w:w="24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520,283</w:t>
            </w:r>
          </w:p>
        </w:tc>
        <w:tc>
          <w:tcPr>
            <w:tcW w:w="1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735,035</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2,873,977</w:t>
            </w:r>
          </w:p>
        </w:tc>
      </w:tr>
      <w:tr>
        <w:trPr>
          <w:trHeight w:val="230"/>
        </w:trPr>
        <w:tc>
          <w:tcPr>
            <w:tcW w:w="4340" w:type="dxa"/>
            <w:vAlign w:val="bottom"/>
            <w:shd w:val="clear" w:color="auto" w:fill="E5E5E5"/>
          </w:tcPr>
          <w:p>
            <w:pPr>
              <w:spacing w:after="0"/>
              <w:rPr>
                <w:sz w:val="20"/>
                <w:szCs w:val="20"/>
                <w:color w:val="auto"/>
              </w:rPr>
            </w:pPr>
          </w:p>
        </w:tc>
        <w:tc>
          <w:tcPr>
            <w:tcW w:w="5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1,379,953</w:t>
            </w:r>
          </w:p>
        </w:tc>
        <w:tc>
          <w:tcPr>
            <w:tcW w:w="600" w:type="dxa"/>
            <w:vAlign w:val="bottom"/>
            <w:shd w:val="clear" w:color="auto" w:fill="E5E5E5"/>
          </w:tcPr>
          <w:p>
            <w:pPr>
              <w:ind w:left="300"/>
              <w:spacing w:after="0"/>
              <w:rPr>
                <w:sz w:val="20"/>
                <w:szCs w:val="20"/>
                <w:color w:val="auto"/>
              </w:rPr>
            </w:pPr>
            <w:r>
              <w:rPr>
                <w:rFonts w:ascii="Arial" w:cs="Arial" w:eastAsia="Arial" w:hAnsi="Arial"/>
                <w:sz w:val="16"/>
                <w:szCs w:val="16"/>
                <w:color w:val="auto"/>
                <w:w w:val="87"/>
              </w:rPr>
              <w:t>— </w:t>
            </w:r>
          </w:p>
        </w:tc>
        <w:tc>
          <w:tcPr>
            <w:tcW w:w="260" w:type="dxa"/>
            <w:vAlign w:val="bottom"/>
            <w:gridSpan w:val="2"/>
            <w:shd w:val="clear" w:color="auto" w:fill="E5E5E5"/>
          </w:tcPr>
          <w:p>
            <w:pPr>
              <w:jc w:val="right"/>
              <w:ind w:right="200"/>
              <w:spacing w:after="0"/>
              <w:rPr>
                <w:sz w:val="20"/>
                <w:szCs w:val="20"/>
                <w:color w:val="auto"/>
              </w:rPr>
            </w:pPr>
            <w:r>
              <w:rPr>
                <w:rFonts w:ascii="Arial" w:cs="Arial" w:eastAsia="Arial" w:hAnsi="Arial"/>
                <w:sz w:val="11"/>
                <w:szCs w:val="11"/>
                <w:color w:val="auto"/>
                <w:w w:val="71"/>
              </w:rPr>
              <w:t> </w:t>
            </w:r>
          </w:p>
        </w:tc>
        <w:tc>
          <w:tcPr>
            <w:tcW w:w="8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 xml:space="preserve">—   </w:t>
            </w:r>
          </w:p>
        </w:tc>
        <w:tc>
          <w:tcPr>
            <w:tcW w:w="24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 </w:t>
            </w:r>
          </w:p>
        </w:tc>
        <w:tc>
          <w:tcPr>
            <w:tcW w:w="1180" w:type="dxa"/>
            <w:vAlign w:val="bottom"/>
            <w:gridSpan w:val="3"/>
            <w:shd w:val="clear" w:color="auto" w:fill="E5E5E5"/>
          </w:tcPr>
          <w:p>
            <w:pPr>
              <w:jc w:val="right"/>
              <w:ind w:right="160"/>
              <w:spacing w:after="0"/>
              <w:rPr>
                <w:sz w:val="20"/>
                <w:szCs w:val="20"/>
                <w:color w:val="auto"/>
              </w:rPr>
            </w:pPr>
            <w:r>
              <w:rPr>
                <w:rFonts w:ascii="Arial" w:cs="Arial" w:eastAsia="Arial" w:hAnsi="Arial"/>
                <w:sz w:val="16"/>
                <w:szCs w:val="16"/>
                <w:color w:val="auto"/>
              </w:rPr>
              <w:t>1,655,944</w:t>
            </w: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563,941</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3,599,838</w:t>
            </w:r>
          </w:p>
        </w:tc>
      </w:tr>
      <w:tr>
        <w:trPr>
          <w:trHeight w:val="175"/>
        </w:trPr>
        <w:tc>
          <w:tcPr>
            <w:tcW w:w="4340" w:type="dxa"/>
            <w:vAlign w:val="bottom"/>
          </w:tcPr>
          <w:p>
            <w:pPr>
              <w:spacing w:after="0" w:line="175" w:lineRule="exact"/>
              <w:rPr>
                <w:sz w:val="20"/>
                <w:szCs w:val="20"/>
                <w:color w:val="auto"/>
              </w:rPr>
            </w:pPr>
            <w:r>
              <w:rPr>
                <w:rFonts w:ascii="Arial" w:cs="Arial" w:eastAsia="Arial" w:hAnsi="Arial"/>
                <w:sz w:val="16"/>
                <w:szCs w:val="16"/>
                <w:b w:val="1"/>
                <w:bCs w:val="1"/>
                <w:color w:val="auto"/>
              </w:rPr>
              <w:t>Dawn Phillipson</w:t>
            </w:r>
          </w:p>
        </w:tc>
        <w:tc>
          <w:tcPr>
            <w:tcW w:w="5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2024</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489,992</w:t>
            </w:r>
          </w:p>
        </w:tc>
        <w:tc>
          <w:tcPr>
            <w:tcW w:w="160" w:type="dxa"/>
            <w:vAlign w:val="bottom"/>
          </w:tcPr>
          <w:p>
            <w:pPr>
              <w:spacing w:after="0"/>
              <w:rPr>
                <w:sz w:val="15"/>
                <w:szCs w:val="15"/>
                <w:color w:val="auto"/>
              </w:rPr>
            </w:pPr>
          </w:p>
        </w:tc>
        <w:tc>
          <w:tcPr>
            <w:tcW w:w="600" w:type="dxa"/>
            <w:vAlign w:val="bottom"/>
          </w:tcPr>
          <w:p>
            <w:pPr>
              <w:ind w:left="300"/>
              <w:spacing w:after="0" w:line="175" w:lineRule="exact"/>
              <w:rPr>
                <w:sz w:val="20"/>
                <w:szCs w:val="20"/>
                <w:color w:val="auto"/>
              </w:rPr>
            </w:pPr>
            <w:r>
              <w:rPr>
                <w:rFonts w:ascii="Arial" w:cs="Arial" w:eastAsia="Arial" w:hAnsi="Arial"/>
                <w:sz w:val="16"/>
                <w:szCs w:val="16"/>
                <w:color w:val="auto"/>
              </w:rPr>
              <w:t xml:space="preserve">— 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   284,789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1"/>
              <w:spacing w:after="0" w:line="175" w:lineRule="exact"/>
              <w:rPr>
                <w:sz w:val="20"/>
                <w:szCs w:val="20"/>
                <w:color w:val="auto"/>
              </w:rPr>
            </w:pPr>
            <w:r>
              <w:rPr>
                <w:rFonts w:ascii="Arial" w:cs="Arial" w:eastAsia="Arial" w:hAnsi="Arial"/>
                <w:sz w:val="16"/>
                <w:szCs w:val="16"/>
                <w:color w:val="auto"/>
              </w:rPr>
              <w:t>— </w:t>
            </w:r>
          </w:p>
        </w:tc>
        <w:tc>
          <w:tcPr>
            <w:tcW w:w="260" w:type="dxa"/>
            <w:vAlign w:val="bottom"/>
            <w:gridSpan w:val="2"/>
          </w:tcPr>
          <w:p>
            <w:pPr>
              <w:jc w:val="right"/>
              <w:ind w:right="200"/>
              <w:spacing w:after="0"/>
              <w:rPr>
                <w:sz w:val="20"/>
                <w:szCs w:val="20"/>
                <w:color w:val="auto"/>
              </w:rPr>
            </w:pPr>
            <w:r>
              <w:rPr>
                <w:rFonts w:ascii="Arial" w:cs="Arial" w:eastAsia="Arial" w:hAnsi="Arial"/>
                <w:sz w:val="11"/>
                <w:szCs w:val="11"/>
                <w:color w:val="auto"/>
                <w:w w:val="71"/>
              </w:rPr>
              <w:t> </w:t>
            </w:r>
          </w:p>
        </w:tc>
        <w:tc>
          <w:tcPr>
            <w:tcW w:w="11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121,174</w:t>
            </w: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895,955</w:t>
            </w:r>
          </w:p>
        </w:tc>
      </w:tr>
      <w:tr>
        <w:trPr>
          <w:trHeight w:val="189"/>
        </w:trPr>
        <w:tc>
          <w:tcPr>
            <w:tcW w:w="43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Chief Financial Officer</w:t>
            </w:r>
          </w:p>
        </w:tc>
        <w:tc>
          <w:tcPr>
            <w:tcW w:w="580" w:type="dxa"/>
            <w:vAlign w:val="bottom"/>
            <w:gridSpan w:val="2"/>
          </w:tcPr>
          <w:p>
            <w:pPr>
              <w:ind w:left="60"/>
              <w:spacing w:after="0"/>
              <w:rPr>
                <w:sz w:val="20"/>
                <w:szCs w:val="20"/>
                <w:color w:val="auto"/>
              </w:rPr>
            </w:pPr>
            <w:r>
              <w:rPr>
                <w:rFonts w:ascii="Arial" w:cs="Arial" w:eastAsia="Arial" w:hAnsi="Arial"/>
                <w:sz w:val="16"/>
                <w:szCs w:val="16"/>
                <w:color w:val="auto"/>
              </w:rPr>
              <w:t>2023</w:t>
            </w:r>
          </w:p>
        </w:tc>
        <w:tc>
          <w:tcPr>
            <w:tcW w:w="780" w:type="dxa"/>
            <w:vAlign w:val="bottom"/>
          </w:tcPr>
          <w:p>
            <w:pPr>
              <w:jc w:val="right"/>
              <w:spacing w:after="0"/>
              <w:rPr>
                <w:sz w:val="20"/>
                <w:szCs w:val="20"/>
                <w:color w:val="auto"/>
              </w:rPr>
            </w:pPr>
            <w:r>
              <w:rPr>
                <w:rFonts w:ascii="Arial" w:cs="Arial" w:eastAsia="Arial" w:hAnsi="Arial"/>
                <w:sz w:val="16"/>
                <w:szCs w:val="16"/>
                <w:color w:val="auto"/>
              </w:rPr>
              <w:t>474,862</w:t>
            </w:r>
          </w:p>
        </w:tc>
        <w:tc>
          <w:tcPr>
            <w:tcW w:w="16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6"/>
                <w:szCs w:val="16"/>
                <w:color w:val="auto"/>
              </w:rPr>
              <w:t>   56,983</w:t>
            </w:r>
          </w:p>
        </w:tc>
        <w:tc>
          <w:tcPr>
            <w:tcW w:w="860" w:type="dxa"/>
            <w:vAlign w:val="bottom"/>
          </w:tcPr>
          <w:p>
            <w:pPr>
              <w:jc w:val="right"/>
              <w:spacing w:after="0"/>
              <w:rPr>
                <w:sz w:val="20"/>
                <w:szCs w:val="20"/>
                <w:color w:val="auto"/>
              </w:rPr>
            </w:pPr>
            <w:r>
              <w:rPr>
                <w:rFonts w:ascii="Arial" w:cs="Arial" w:eastAsia="Arial" w:hAnsi="Arial"/>
                <w:sz w:val="16"/>
                <w:szCs w:val="16"/>
                <w:color w:val="auto"/>
              </w:rPr>
              <w:t>   673,037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170,950</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37,153</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1,412,985</w:t>
            </w:r>
          </w:p>
        </w:tc>
      </w:tr>
      <w:tr>
        <w:trPr>
          <w:trHeight w:val="216"/>
        </w:trPr>
        <w:tc>
          <w:tcPr>
            <w:tcW w:w="43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6"/>
                <w:szCs w:val="16"/>
                <w:color w:val="auto"/>
              </w:rPr>
              <w:t>2022</w:t>
            </w:r>
          </w:p>
        </w:tc>
        <w:tc>
          <w:tcPr>
            <w:tcW w:w="780" w:type="dxa"/>
            <w:vAlign w:val="bottom"/>
          </w:tcPr>
          <w:p>
            <w:pPr>
              <w:jc w:val="right"/>
              <w:spacing w:after="0"/>
              <w:rPr>
                <w:sz w:val="20"/>
                <w:szCs w:val="20"/>
                <w:color w:val="auto"/>
              </w:rPr>
            </w:pPr>
            <w:r>
              <w:rPr>
                <w:rFonts w:ascii="Arial" w:cs="Arial" w:eastAsia="Arial" w:hAnsi="Arial"/>
                <w:sz w:val="16"/>
                <w:szCs w:val="16"/>
                <w:color w:val="auto"/>
              </w:rPr>
              <w:t>448,231</w:t>
            </w:r>
          </w:p>
        </w:tc>
        <w:tc>
          <w:tcPr>
            <w:tcW w:w="16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rPr>
              <w:t xml:space="preserve">— 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287,500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537,877</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29,781</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1,303,389</w:t>
            </w:r>
          </w:p>
        </w:tc>
      </w:tr>
      <w:tr>
        <w:trPr>
          <w:trHeight w:val="176"/>
        </w:trPr>
        <w:tc>
          <w:tcPr>
            <w:tcW w:w="4340" w:type="dxa"/>
            <w:vAlign w:val="bottom"/>
            <w:shd w:val="clear" w:color="auto" w:fill="E5E5E5"/>
          </w:tcPr>
          <w:p>
            <w:pPr>
              <w:spacing w:after="0" w:line="176" w:lineRule="exact"/>
              <w:rPr>
                <w:sz w:val="20"/>
                <w:szCs w:val="20"/>
                <w:color w:val="auto"/>
              </w:rPr>
            </w:pPr>
            <w:r>
              <w:rPr>
                <w:rFonts w:ascii="Arial" w:cs="Arial" w:eastAsia="Arial" w:hAnsi="Arial"/>
                <w:sz w:val="16"/>
                <w:szCs w:val="16"/>
                <w:b w:val="1"/>
                <w:bCs w:val="1"/>
                <w:color w:val="auto"/>
              </w:rPr>
              <w:t>Kathy Veltri</w:t>
            </w:r>
          </w:p>
        </w:tc>
        <w:tc>
          <w:tcPr>
            <w:tcW w:w="580" w:type="dxa"/>
            <w:vAlign w:val="bottom"/>
            <w:gridSpan w:val="2"/>
            <w:shd w:val="clear" w:color="auto" w:fill="E5E5E5"/>
          </w:tcPr>
          <w:p>
            <w:pPr>
              <w:ind w:left="60"/>
              <w:spacing w:after="0" w:line="176" w:lineRule="exact"/>
              <w:rPr>
                <w:sz w:val="20"/>
                <w:szCs w:val="20"/>
                <w:color w:val="auto"/>
              </w:rPr>
            </w:pPr>
            <w:r>
              <w:rPr>
                <w:rFonts w:ascii="Arial" w:cs="Arial" w:eastAsia="Arial" w:hAnsi="Arial"/>
                <w:sz w:val="16"/>
                <w:szCs w:val="16"/>
                <w:color w:val="auto"/>
              </w:rPr>
              <w:t>2024</w:t>
            </w:r>
          </w:p>
        </w:tc>
        <w:tc>
          <w:tcPr>
            <w:tcW w:w="780" w:type="dxa"/>
            <w:vAlign w:val="bottom"/>
            <w:shd w:val="clear" w:color="auto" w:fill="E5E5E5"/>
          </w:tcPr>
          <w:p>
            <w:pPr>
              <w:jc w:val="right"/>
              <w:spacing w:after="0" w:line="176" w:lineRule="exact"/>
              <w:rPr>
                <w:sz w:val="20"/>
                <w:szCs w:val="20"/>
                <w:color w:val="auto"/>
              </w:rPr>
            </w:pPr>
            <w:r>
              <w:rPr>
                <w:rFonts w:ascii="Arial" w:cs="Arial" w:eastAsia="Arial" w:hAnsi="Arial"/>
                <w:sz w:val="16"/>
                <w:szCs w:val="16"/>
                <w:color w:val="auto"/>
              </w:rPr>
              <w:t>489,992</w:t>
            </w:r>
          </w:p>
        </w:tc>
        <w:tc>
          <w:tcPr>
            <w:tcW w:w="160" w:type="dxa"/>
            <w:vAlign w:val="bottom"/>
            <w:shd w:val="clear" w:color="auto" w:fill="E5E5E5"/>
          </w:tcPr>
          <w:p>
            <w:pPr>
              <w:spacing w:after="0"/>
              <w:rPr>
                <w:sz w:val="15"/>
                <w:szCs w:val="15"/>
                <w:color w:val="auto"/>
              </w:rPr>
            </w:pPr>
          </w:p>
        </w:tc>
        <w:tc>
          <w:tcPr>
            <w:tcW w:w="600" w:type="dxa"/>
            <w:vAlign w:val="bottom"/>
            <w:shd w:val="clear" w:color="auto" w:fill="E5E5E5"/>
          </w:tcPr>
          <w:p>
            <w:pPr>
              <w:ind w:left="300"/>
              <w:spacing w:after="0" w:line="176" w:lineRule="exact"/>
              <w:rPr>
                <w:sz w:val="20"/>
                <w:szCs w:val="20"/>
                <w:color w:val="auto"/>
              </w:rPr>
            </w:pPr>
            <w:r>
              <w:rPr>
                <w:rFonts w:ascii="Arial" w:cs="Arial" w:eastAsia="Arial" w:hAnsi="Arial"/>
                <w:sz w:val="16"/>
                <w:szCs w:val="16"/>
                <w:color w:val="auto"/>
                <w:w w:val="87"/>
              </w:rPr>
              <w:t>— </w:t>
            </w:r>
          </w:p>
        </w:tc>
        <w:tc>
          <w:tcPr>
            <w:tcW w:w="260" w:type="dxa"/>
            <w:vAlign w:val="bottom"/>
            <w:gridSpan w:val="2"/>
            <w:shd w:val="clear" w:color="auto" w:fill="E5E5E5"/>
          </w:tcPr>
          <w:p>
            <w:pPr>
              <w:jc w:val="right"/>
              <w:ind w:right="200"/>
              <w:spacing w:after="0"/>
              <w:rPr>
                <w:sz w:val="20"/>
                <w:szCs w:val="20"/>
                <w:color w:val="auto"/>
              </w:rPr>
            </w:pPr>
            <w:r>
              <w:rPr>
                <w:rFonts w:ascii="Arial" w:cs="Arial" w:eastAsia="Arial" w:hAnsi="Arial"/>
                <w:sz w:val="11"/>
                <w:szCs w:val="11"/>
                <w:color w:val="auto"/>
                <w:w w:val="71"/>
              </w:rPr>
              <w:t> </w:t>
            </w:r>
          </w:p>
        </w:tc>
        <w:tc>
          <w:tcPr>
            <w:tcW w:w="860" w:type="dxa"/>
            <w:vAlign w:val="bottom"/>
            <w:shd w:val="clear" w:color="auto" w:fill="E5E5E5"/>
          </w:tcPr>
          <w:p>
            <w:pPr>
              <w:jc w:val="right"/>
              <w:spacing w:after="0" w:line="176" w:lineRule="exact"/>
              <w:rPr>
                <w:sz w:val="20"/>
                <w:szCs w:val="20"/>
                <w:color w:val="auto"/>
              </w:rPr>
            </w:pPr>
            <w:r>
              <w:rPr>
                <w:rFonts w:ascii="Arial" w:cs="Arial" w:eastAsia="Arial" w:hAnsi="Arial"/>
                <w:sz w:val="16"/>
                <w:szCs w:val="16"/>
                <w:color w:val="auto"/>
              </w:rPr>
              <w:t>   284,789</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20" w:type="dxa"/>
            <w:vAlign w:val="bottom"/>
            <w:shd w:val="clear" w:color="auto" w:fill="E5E5E5"/>
          </w:tcPr>
          <w:p>
            <w:pPr>
              <w:jc w:val="right"/>
              <w:ind w:right="21"/>
              <w:spacing w:after="0" w:line="176" w:lineRule="exact"/>
              <w:rPr>
                <w:sz w:val="20"/>
                <w:szCs w:val="20"/>
                <w:color w:val="auto"/>
              </w:rPr>
            </w:pPr>
            <w:r>
              <w:rPr>
                <w:rFonts w:ascii="Arial" w:cs="Arial" w:eastAsia="Arial" w:hAnsi="Arial"/>
                <w:sz w:val="16"/>
                <w:szCs w:val="16"/>
                <w:color w:val="auto"/>
              </w:rPr>
              <w:t>— </w:t>
            </w:r>
          </w:p>
        </w:tc>
        <w:tc>
          <w:tcPr>
            <w:tcW w:w="260" w:type="dxa"/>
            <w:vAlign w:val="bottom"/>
            <w:gridSpan w:val="2"/>
            <w:shd w:val="clear" w:color="auto" w:fill="E5E5E5"/>
          </w:tcPr>
          <w:p>
            <w:pPr>
              <w:jc w:val="right"/>
              <w:ind w:right="200"/>
              <w:spacing w:after="0"/>
              <w:rPr>
                <w:sz w:val="20"/>
                <w:szCs w:val="20"/>
                <w:color w:val="auto"/>
              </w:rPr>
            </w:pPr>
            <w:r>
              <w:rPr>
                <w:rFonts w:ascii="Arial" w:cs="Arial" w:eastAsia="Arial" w:hAnsi="Arial"/>
                <w:sz w:val="11"/>
                <w:szCs w:val="11"/>
                <w:color w:val="auto"/>
                <w:w w:val="71"/>
              </w:rPr>
              <w:t> </w:t>
            </w:r>
          </w:p>
        </w:tc>
        <w:tc>
          <w:tcPr>
            <w:tcW w:w="1180" w:type="dxa"/>
            <w:vAlign w:val="bottom"/>
            <w:gridSpan w:val="2"/>
            <w:shd w:val="clear" w:color="auto" w:fill="E5E5E5"/>
          </w:tcPr>
          <w:p>
            <w:pPr>
              <w:jc w:val="right"/>
              <w:ind w:right="160"/>
              <w:spacing w:after="0" w:line="176" w:lineRule="exact"/>
              <w:rPr>
                <w:sz w:val="20"/>
                <w:szCs w:val="20"/>
                <w:color w:val="auto"/>
              </w:rPr>
            </w:pPr>
            <w:r>
              <w:rPr>
                <w:rFonts w:ascii="Arial" w:cs="Arial" w:eastAsia="Arial" w:hAnsi="Arial"/>
                <w:sz w:val="16"/>
                <w:szCs w:val="16"/>
                <w:color w:val="auto"/>
              </w:rPr>
              <w:t>90,209</w:t>
            </w:r>
          </w:p>
        </w:tc>
        <w:tc>
          <w:tcPr>
            <w:tcW w:w="840" w:type="dxa"/>
            <w:vAlign w:val="bottom"/>
            <w:gridSpan w:val="2"/>
            <w:shd w:val="clear" w:color="auto" w:fill="E5E5E5"/>
          </w:tcPr>
          <w:p>
            <w:pPr>
              <w:jc w:val="right"/>
              <w:ind w:right="60"/>
              <w:spacing w:after="0" w:line="176" w:lineRule="exact"/>
              <w:rPr>
                <w:sz w:val="20"/>
                <w:szCs w:val="20"/>
                <w:color w:val="auto"/>
              </w:rPr>
            </w:pPr>
            <w:r>
              <w:rPr>
                <w:rFonts w:ascii="Arial" w:cs="Arial" w:eastAsia="Arial" w:hAnsi="Arial"/>
                <w:sz w:val="16"/>
                <w:szCs w:val="16"/>
                <w:color w:val="auto"/>
              </w:rPr>
              <w:t>864,990</w:t>
            </w:r>
          </w:p>
        </w:tc>
      </w:tr>
      <w:tr>
        <w:trPr>
          <w:trHeight w:val="189"/>
        </w:trPr>
        <w:tc>
          <w:tcPr>
            <w:tcW w:w="4340" w:type="dxa"/>
            <w:vAlign w:val="bottom"/>
            <w:shd w:val="clear" w:color="auto" w:fill="E5E5E5"/>
          </w:tcPr>
          <w:p>
            <w:pPr>
              <w:ind w:left="160"/>
              <w:spacing w:after="0"/>
              <w:rPr>
                <w:sz w:val="20"/>
                <w:szCs w:val="20"/>
                <w:color w:val="auto"/>
              </w:rPr>
            </w:pPr>
            <w:r>
              <w:rPr>
                <w:rFonts w:ascii="Arial" w:cs="Arial" w:eastAsia="Arial" w:hAnsi="Arial"/>
                <w:sz w:val="16"/>
                <w:szCs w:val="16"/>
                <w:b w:val="1"/>
                <w:bCs w:val="1"/>
                <w:i w:val="1"/>
                <w:iCs w:val="1"/>
                <w:color w:val="auto"/>
              </w:rPr>
              <w:t>Chief Retail Officer</w:t>
            </w:r>
          </w:p>
        </w:tc>
        <w:tc>
          <w:tcPr>
            <w:tcW w:w="5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474,862</w:t>
            </w:r>
          </w:p>
        </w:tc>
        <w:tc>
          <w:tcPr>
            <w:tcW w:w="160" w:type="dxa"/>
            <w:vAlign w:val="bottom"/>
            <w:shd w:val="clear" w:color="auto" w:fill="E5E5E5"/>
          </w:tcPr>
          <w:p>
            <w:pPr>
              <w:spacing w:after="0"/>
              <w:rPr>
                <w:sz w:val="16"/>
                <w:szCs w:val="16"/>
                <w:color w:val="auto"/>
              </w:rPr>
            </w:pPr>
          </w:p>
        </w:tc>
        <w:tc>
          <w:tcPr>
            <w:tcW w:w="860" w:type="dxa"/>
            <w:vAlign w:val="bottom"/>
            <w:gridSpan w:val="3"/>
            <w:shd w:val="clear" w:color="auto" w:fill="E5E5E5"/>
          </w:tcPr>
          <w:p>
            <w:pPr>
              <w:ind w:left="80"/>
              <w:spacing w:after="0"/>
              <w:rPr>
                <w:sz w:val="20"/>
                <w:szCs w:val="20"/>
                <w:color w:val="auto"/>
              </w:rPr>
            </w:pPr>
            <w:r>
              <w:rPr>
                <w:rFonts w:ascii="Arial" w:cs="Arial" w:eastAsia="Arial" w:hAnsi="Arial"/>
                <w:sz w:val="16"/>
                <w:szCs w:val="16"/>
                <w:color w:val="auto"/>
              </w:rPr>
              <w:t>   47,486</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673,037</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142,458</w:t>
            </w:r>
          </w:p>
        </w:tc>
        <w:tc>
          <w:tcPr>
            <w:tcW w:w="1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28,081</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1,365,924</w:t>
            </w:r>
          </w:p>
        </w:tc>
      </w:tr>
      <w:tr>
        <w:trPr>
          <w:trHeight w:val="217"/>
        </w:trPr>
        <w:tc>
          <w:tcPr>
            <w:tcW w:w="4340" w:type="dxa"/>
            <w:vAlign w:val="bottom"/>
            <w:shd w:val="clear" w:color="auto" w:fill="E5E5E5"/>
          </w:tcPr>
          <w:p>
            <w:pPr>
              <w:spacing w:after="0"/>
              <w:rPr>
                <w:sz w:val="18"/>
                <w:szCs w:val="18"/>
                <w:color w:val="auto"/>
              </w:rPr>
            </w:pPr>
          </w:p>
        </w:tc>
        <w:tc>
          <w:tcPr>
            <w:tcW w:w="580" w:type="dxa"/>
            <w:vAlign w:val="bottom"/>
            <w:gridSpan w:val="2"/>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449,076</w:t>
            </w: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ind w:left="300"/>
              <w:spacing w:after="0"/>
              <w:rPr>
                <w:sz w:val="20"/>
                <w:szCs w:val="20"/>
                <w:color w:val="auto"/>
              </w:rPr>
            </w:pPr>
            <w:r>
              <w:rPr>
                <w:rFonts w:ascii="Arial" w:cs="Arial" w:eastAsia="Arial" w:hAnsi="Arial"/>
                <w:sz w:val="16"/>
                <w:szCs w:val="16"/>
                <w:color w:val="auto"/>
                <w:w w:val="87"/>
              </w:rPr>
              <w:t>— </w:t>
            </w:r>
          </w:p>
        </w:tc>
        <w:tc>
          <w:tcPr>
            <w:tcW w:w="260" w:type="dxa"/>
            <w:vAlign w:val="bottom"/>
            <w:gridSpan w:val="2"/>
            <w:shd w:val="clear" w:color="auto" w:fill="E5E5E5"/>
          </w:tcPr>
          <w:p>
            <w:pPr>
              <w:jc w:val="right"/>
              <w:ind w:right="200"/>
              <w:spacing w:after="0"/>
              <w:rPr>
                <w:sz w:val="20"/>
                <w:szCs w:val="20"/>
                <w:color w:val="auto"/>
              </w:rPr>
            </w:pPr>
            <w:r>
              <w:rPr>
                <w:rFonts w:ascii="Arial" w:cs="Arial" w:eastAsia="Arial" w:hAnsi="Arial"/>
                <w:sz w:val="11"/>
                <w:szCs w:val="11"/>
                <w:color w:val="auto"/>
                <w:w w:val="71"/>
              </w:rPr>
              <w:t> </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287,500</w:t>
            </w: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449,076</w:t>
            </w:r>
          </w:p>
        </w:tc>
        <w:tc>
          <w:tcPr>
            <w:tcW w:w="160" w:type="dxa"/>
            <w:vAlign w:val="bottom"/>
            <w:shd w:val="clear" w:color="auto" w:fill="E5E5E5"/>
          </w:tcPr>
          <w:p>
            <w:pPr>
              <w:spacing w:after="0"/>
              <w:rPr>
                <w:sz w:val="18"/>
                <w:szCs w:val="18"/>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34,932</w:t>
            </w:r>
          </w:p>
        </w:tc>
        <w:tc>
          <w:tcPr>
            <w:tcW w:w="8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1,220,584</w:t>
            </w:r>
          </w:p>
        </w:tc>
      </w:tr>
      <w:tr>
        <w:trPr>
          <w:trHeight w:val="177"/>
        </w:trPr>
        <w:tc>
          <w:tcPr>
            <w:tcW w:w="4340" w:type="dxa"/>
            <w:vAlign w:val="bottom"/>
          </w:tcPr>
          <w:p>
            <w:pPr>
              <w:spacing w:after="0" w:line="177" w:lineRule="exact"/>
              <w:rPr>
                <w:sz w:val="20"/>
                <w:szCs w:val="20"/>
                <w:color w:val="auto"/>
              </w:rPr>
            </w:pPr>
            <w:r>
              <w:rPr>
                <w:rFonts w:ascii="Arial" w:cs="Arial" w:eastAsia="Arial" w:hAnsi="Arial"/>
                <w:sz w:val="16"/>
                <w:szCs w:val="16"/>
                <w:b w:val="1"/>
                <w:bCs w:val="1"/>
                <w:color w:val="auto"/>
              </w:rPr>
              <w:t>Jennifer Porter</w:t>
            </w:r>
          </w:p>
        </w:tc>
        <w:tc>
          <w:tcPr>
            <w:tcW w:w="580" w:type="dxa"/>
            <w:vAlign w:val="bottom"/>
            <w:gridSpan w:val="2"/>
          </w:tcPr>
          <w:p>
            <w:pPr>
              <w:ind w:left="60"/>
              <w:spacing w:after="0" w:line="177" w:lineRule="exact"/>
              <w:rPr>
                <w:sz w:val="20"/>
                <w:szCs w:val="20"/>
                <w:color w:val="auto"/>
              </w:rPr>
            </w:pPr>
            <w:r>
              <w:rPr>
                <w:rFonts w:ascii="Arial" w:cs="Arial" w:eastAsia="Arial" w:hAnsi="Arial"/>
                <w:sz w:val="16"/>
                <w:szCs w:val="16"/>
                <w:color w:val="auto"/>
              </w:rPr>
              <w:t>2024</w:t>
            </w:r>
          </w:p>
        </w:tc>
        <w:tc>
          <w:tcPr>
            <w:tcW w:w="780" w:type="dxa"/>
            <w:vAlign w:val="bottom"/>
          </w:tcPr>
          <w:p>
            <w:pPr>
              <w:jc w:val="right"/>
              <w:spacing w:after="0" w:line="177" w:lineRule="exact"/>
              <w:rPr>
                <w:sz w:val="20"/>
                <w:szCs w:val="20"/>
                <w:color w:val="auto"/>
              </w:rPr>
            </w:pPr>
            <w:r>
              <w:rPr>
                <w:rFonts w:ascii="Arial" w:cs="Arial" w:eastAsia="Arial" w:hAnsi="Arial"/>
                <w:sz w:val="16"/>
                <w:szCs w:val="16"/>
                <w:color w:val="auto"/>
              </w:rPr>
              <w:t>479,340</w:t>
            </w:r>
          </w:p>
        </w:tc>
        <w:tc>
          <w:tcPr>
            <w:tcW w:w="160" w:type="dxa"/>
            <w:vAlign w:val="bottom"/>
          </w:tcPr>
          <w:p>
            <w:pPr>
              <w:spacing w:after="0"/>
              <w:rPr>
                <w:sz w:val="15"/>
                <w:szCs w:val="15"/>
                <w:color w:val="auto"/>
              </w:rPr>
            </w:pPr>
          </w:p>
        </w:tc>
        <w:tc>
          <w:tcPr>
            <w:tcW w:w="600" w:type="dxa"/>
            <w:vAlign w:val="bottom"/>
          </w:tcPr>
          <w:p>
            <w:pPr>
              <w:ind w:left="300"/>
              <w:spacing w:after="0" w:line="177" w:lineRule="exact"/>
              <w:rPr>
                <w:sz w:val="20"/>
                <w:szCs w:val="20"/>
                <w:color w:val="auto"/>
              </w:rPr>
            </w:pPr>
            <w:r>
              <w:rPr>
                <w:rFonts w:ascii="Arial" w:cs="Arial" w:eastAsia="Arial" w:hAnsi="Arial"/>
                <w:sz w:val="16"/>
                <w:szCs w:val="16"/>
                <w:color w:val="auto"/>
                <w:w w:val="87"/>
              </w:rPr>
              <w:t>— </w:t>
            </w:r>
          </w:p>
        </w:tc>
        <w:tc>
          <w:tcPr>
            <w:tcW w:w="260" w:type="dxa"/>
            <w:vAlign w:val="bottom"/>
            <w:gridSpan w:val="2"/>
          </w:tcPr>
          <w:p>
            <w:pPr>
              <w:jc w:val="right"/>
              <w:ind w:right="200"/>
              <w:spacing w:after="0"/>
              <w:rPr>
                <w:sz w:val="20"/>
                <w:szCs w:val="20"/>
                <w:color w:val="auto"/>
              </w:rPr>
            </w:pPr>
            <w:r>
              <w:rPr>
                <w:rFonts w:ascii="Arial" w:cs="Arial" w:eastAsia="Arial" w:hAnsi="Arial"/>
                <w:sz w:val="11"/>
                <w:szCs w:val="11"/>
                <w:color w:val="auto"/>
                <w:w w:val="71"/>
              </w:rPr>
              <w:t> </w:t>
            </w: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   284,789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1"/>
              <w:spacing w:after="0" w:line="177" w:lineRule="exact"/>
              <w:rPr>
                <w:sz w:val="20"/>
                <w:szCs w:val="20"/>
                <w:color w:val="auto"/>
              </w:rPr>
            </w:pPr>
            <w:r>
              <w:rPr>
                <w:rFonts w:ascii="Arial" w:cs="Arial" w:eastAsia="Arial" w:hAnsi="Arial"/>
                <w:sz w:val="16"/>
                <w:szCs w:val="16"/>
                <w:color w:val="auto"/>
              </w:rPr>
              <w:t>— </w:t>
            </w:r>
          </w:p>
        </w:tc>
        <w:tc>
          <w:tcPr>
            <w:tcW w:w="260" w:type="dxa"/>
            <w:vAlign w:val="bottom"/>
            <w:gridSpan w:val="2"/>
          </w:tcPr>
          <w:p>
            <w:pPr>
              <w:jc w:val="right"/>
              <w:ind w:right="200"/>
              <w:spacing w:after="0"/>
              <w:rPr>
                <w:sz w:val="20"/>
                <w:szCs w:val="20"/>
                <w:color w:val="auto"/>
              </w:rPr>
            </w:pPr>
            <w:r>
              <w:rPr>
                <w:rFonts w:ascii="Arial" w:cs="Arial" w:eastAsia="Arial" w:hAnsi="Arial"/>
                <w:sz w:val="11"/>
                <w:szCs w:val="11"/>
                <w:color w:val="auto"/>
                <w:w w:val="71"/>
              </w:rPr>
              <w:t> </w:t>
            </w:r>
          </w:p>
        </w:tc>
        <w:tc>
          <w:tcPr>
            <w:tcW w:w="1180" w:type="dxa"/>
            <w:vAlign w:val="bottom"/>
            <w:gridSpan w:val="2"/>
          </w:tcPr>
          <w:p>
            <w:pPr>
              <w:jc w:val="right"/>
              <w:ind w:right="160"/>
              <w:spacing w:after="0" w:line="177" w:lineRule="exact"/>
              <w:rPr>
                <w:sz w:val="20"/>
                <w:szCs w:val="20"/>
                <w:color w:val="auto"/>
              </w:rPr>
            </w:pPr>
            <w:r>
              <w:rPr>
                <w:rFonts w:ascii="Arial" w:cs="Arial" w:eastAsia="Arial" w:hAnsi="Arial"/>
                <w:sz w:val="16"/>
                <w:szCs w:val="16"/>
                <w:color w:val="auto"/>
              </w:rPr>
              <w:t>113,829</w:t>
            </w:r>
          </w:p>
        </w:tc>
        <w:tc>
          <w:tcPr>
            <w:tcW w:w="84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877,958</w:t>
            </w:r>
          </w:p>
        </w:tc>
      </w:tr>
      <w:tr>
        <w:trPr>
          <w:trHeight w:val="189"/>
        </w:trPr>
        <w:tc>
          <w:tcPr>
            <w:tcW w:w="43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Chief Marketing and</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43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eCommerce Officer</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340" w:type="dxa"/>
            <w:vAlign w:val="bottom"/>
          </w:tcPr>
          <w:p>
            <w:pPr>
              <w:spacing w:after="0"/>
              <w:rPr>
                <w:sz w:val="20"/>
                <w:szCs w:val="20"/>
                <w:color w:val="auto"/>
              </w:rPr>
            </w:pPr>
            <w:r>
              <w:rPr>
                <w:rFonts w:ascii="Arial" w:cs="Arial" w:eastAsia="Arial" w:hAnsi="Arial"/>
                <w:sz w:val="16"/>
                <w:szCs w:val="16"/>
                <w:b w:val="1"/>
                <w:bCs w:val="1"/>
                <w:color w:val="auto"/>
              </w:rPr>
              <w:t>Lisa Chi</w:t>
            </w:r>
          </w:p>
        </w:tc>
        <w:tc>
          <w:tcPr>
            <w:tcW w:w="580" w:type="dxa"/>
            <w:vAlign w:val="bottom"/>
            <w:gridSpan w:val="2"/>
          </w:tcPr>
          <w:p>
            <w:pPr>
              <w:ind w:left="60"/>
              <w:spacing w:after="0"/>
              <w:rPr>
                <w:sz w:val="20"/>
                <w:szCs w:val="20"/>
                <w:color w:val="auto"/>
              </w:rPr>
            </w:pPr>
            <w:r>
              <w:rPr>
                <w:rFonts w:ascii="Arial" w:cs="Arial" w:eastAsia="Arial" w:hAnsi="Arial"/>
                <w:sz w:val="16"/>
                <w:szCs w:val="16"/>
                <w:color w:val="auto"/>
              </w:rPr>
              <w:t>2024</w:t>
            </w:r>
          </w:p>
        </w:tc>
        <w:tc>
          <w:tcPr>
            <w:tcW w:w="780" w:type="dxa"/>
            <w:vAlign w:val="bottom"/>
          </w:tcPr>
          <w:p>
            <w:pPr>
              <w:jc w:val="right"/>
              <w:spacing w:after="0"/>
              <w:rPr>
                <w:sz w:val="20"/>
                <w:szCs w:val="20"/>
                <w:color w:val="auto"/>
              </w:rPr>
            </w:pPr>
            <w:r>
              <w:rPr>
                <w:rFonts w:ascii="Arial" w:cs="Arial" w:eastAsia="Arial" w:hAnsi="Arial"/>
                <w:sz w:val="16"/>
                <w:szCs w:val="16"/>
                <w:color w:val="auto"/>
              </w:rPr>
              <w:t>467,544</w:t>
            </w:r>
          </w:p>
        </w:tc>
        <w:tc>
          <w:tcPr>
            <w:tcW w:w="160" w:type="dxa"/>
            <w:vAlign w:val="bottom"/>
          </w:tcPr>
          <w:p>
            <w:pPr>
              <w:spacing w:after="0"/>
              <w:rPr>
                <w:sz w:val="16"/>
                <w:szCs w:val="16"/>
                <w:color w:val="auto"/>
              </w:rPr>
            </w:pPr>
          </w:p>
        </w:tc>
        <w:tc>
          <w:tcPr>
            <w:tcW w:w="600" w:type="dxa"/>
            <w:vAlign w:val="bottom"/>
          </w:tcPr>
          <w:p>
            <w:pPr>
              <w:ind w:left="300"/>
              <w:spacing w:after="0"/>
              <w:rPr>
                <w:sz w:val="20"/>
                <w:szCs w:val="20"/>
                <w:color w:val="auto"/>
              </w:rPr>
            </w:pPr>
            <w:r>
              <w:rPr>
                <w:rFonts w:ascii="Arial" w:cs="Arial" w:eastAsia="Arial" w:hAnsi="Arial"/>
                <w:sz w:val="16"/>
                <w:szCs w:val="16"/>
                <w:color w:val="auto"/>
                <w:w w:val="87"/>
              </w:rPr>
              <w:t>— </w:t>
            </w:r>
          </w:p>
        </w:tc>
        <w:tc>
          <w:tcPr>
            <w:tcW w:w="260" w:type="dxa"/>
            <w:vAlign w:val="bottom"/>
            <w:gridSpan w:val="2"/>
          </w:tcPr>
          <w:p>
            <w:pPr>
              <w:jc w:val="right"/>
              <w:ind w:right="200"/>
              <w:spacing w:after="0"/>
              <w:rPr>
                <w:sz w:val="20"/>
                <w:szCs w:val="20"/>
                <w:color w:val="auto"/>
              </w:rPr>
            </w:pPr>
            <w:r>
              <w:rPr>
                <w:rFonts w:ascii="Arial" w:cs="Arial" w:eastAsia="Arial" w:hAnsi="Arial"/>
                <w:sz w:val="11"/>
                <w:szCs w:val="11"/>
                <w:color w:val="auto"/>
                <w:w w:val="71"/>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   284,789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— </w:t>
            </w:r>
          </w:p>
        </w:tc>
        <w:tc>
          <w:tcPr>
            <w:tcW w:w="260" w:type="dxa"/>
            <w:vAlign w:val="bottom"/>
            <w:gridSpan w:val="2"/>
          </w:tcPr>
          <w:p>
            <w:pPr>
              <w:jc w:val="right"/>
              <w:ind w:right="200"/>
              <w:spacing w:after="0"/>
              <w:rPr>
                <w:sz w:val="20"/>
                <w:szCs w:val="20"/>
                <w:color w:val="auto"/>
              </w:rPr>
            </w:pPr>
            <w:r>
              <w:rPr>
                <w:rFonts w:ascii="Arial" w:cs="Arial" w:eastAsia="Arial" w:hAnsi="Arial"/>
                <w:sz w:val="11"/>
                <w:szCs w:val="11"/>
                <w:color w:val="auto"/>
                <w:w w:val="71"/>
              </w:rPr>
              <w:t> </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128,996</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881,329</w:t>
            </w:r>
          </w:p>
        </w:tc>
      </w:tr>
      <w:tr>
        <w:trPr>
          <w:trHeight w:val="216"/>
        </w:trPr>
        <w:tc>
          <w:tcPr>
            <w:tcW w:w="43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Chief Merchandising Officer</w:t>
            </w:r>
          </w:p>
        </w:tc>
        <w:tc>
          <w:tcPr>
            <w:tcW w:w="580" w:type="dxa"/>
            <w:vAlign w:val="bottom"/>
            <w:gridSpan w:val="2"/>
          </w:tcPr>
          <w:p>
            <w:pPr>
              <w:ind w:left="60"/>
              <w:spacing w:after="0"/>
              <w:rPr>
                <w:sz w:val="20"/>
                <w:szCs w:val="20"/>
                <w:color w:val="auto"/>
              </w:rPr>
            </w:pPr>
            <w:r>
              <w:rPr>
                <w:rFonts w:ascii="Arial" w:cs="Arial" w:eastAsia="Arial" w:hAnsi="Arial"/>
                <w:sz w:val="16"/>
                <w:szCs w:val="16"/>
                <w:color w:val="auto"/>
              </w:rPr>
              <w:t>2023</w:t>
            </w:r>
          </w:p>
        </w:tc>
        <w:tc>
          <w:tcPr>
            <w:tcW w:w="780" w:type="dxa"/>
            <w:vAlign w:val="bottom"/>
          </w:tcPr>
          <w:p>
            <w:pPr>
              <w:jc w:val="right"/>
              <w:spacing w:after="0"/>
              <w:rPr>
                <w:sz w:val="20"/>
                <w:szCs w:val="20"/>
                <w:color w:val="auto"/>
              </w:rPr>
            </w:pPr>
            <w:r>
              <w:rPr>
                <w:rFonts w:ascii="Arial" w:cs="Arial" w:eastAsia="Arial" w:hAnsi="Arial"/>
                <w:sz w:val="16"/>
                <w:szCs w:val="16"/>
                <w:color w:val="auto"/>
              </w:rPr>
              <w:t>456,185</w:t>
            </w:r>
          </w:p>
        </w:tc>
        <w:tc>
          <w:tcPr>
            <w:tcW w:w="1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Arial" w:cs="Arial" w:eastAsia="Arial" w:hAnsi="Arial"/>
                <w:sz w:val="16"/>
                <w:szCs w:val="16"/>
                <w:color w:val="auto"/>
              </w:rPr>
              <w:t>   43,357</w:t>
            </w:r>
          </w:p>
        </w:tc>
        <w:tc>
          <w:tcPr>
            <w:tcW w:w="860" w:type="dxa"/>
            <w:vAlign w:val="bottom"/>
          </w:tcPr>
          <w:p>
            <w:pPr>
              <w:jc w:val="right"/>
              <w:spacing w:after="0"/>
              <w:rPr>
                <w:sz w:val="20"/>
                <w:szCs w:val="20"/>
                <w:color w:val="auto"/>
              </w:rPr>
            </w:pPr>
            <w:r>
              <w:rPr>
                <w:rFonts w:ascii="Arial" w:cs="Arial" w:eastAsia="Arial" w:hAnsi="Arial"/>
                <w:sz w:val="16"/>
                <w:szCs w:val="16"/>
                <w:color w:val="auto"/>
              </w:rPr>
              <w:t>1,489,037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130,071</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11,803</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2,130,453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6995160"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ind w:left="880" w:hanging="764"/>
        <w:spacing w:after="0" w:line="23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for each named executive officer reflect the increases to the executive’s base salary made effective February 26, 2024.</w:t>
      </w:r>
    </w:p>
    <w:p>
      <w:pPr>
        <w:ind w:left="880" w:right="60" w:hanging="764"/>
        <w:spacing w:after="0" w:line="23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reflect the discretionary bonus amounts payable to each named executive officer with respect to fiscal year 2023 under the AIP Plan.</w:t>
      </w:r>
    </w:p>
    <w:p>
      <w:pPr>
        <w:spacing w:after="0" w:line="1" w:lineRule="exact"/>
        <w:rPr>
          <w:rFonts w:ascii="Arial" w:cs="Arial" w:eastAsia="Arial" w:hAnsi="Arial"/>
          <w:sz w:val="18"/>
          <w:szCs w:val="18"/>
          <w:color w:val="auto"/>
        </w:rPr>
      </w:pPr>
    </w:p>
    <w:p>
      <w:pPr>
        <w:ind w:left="880" w:right="120" w:hanging="764"/>
        <w:spacing w:after="0" w:line="23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in accordance with ASC Topic 718. The assumptions used in calculating the fair value can be found under Note 2 in the consolidated financial statements in our Annual Report on Form 10-K for the year ended December 31, 2024. The grant date fair values in the table do not necessarily correspond to the actual value that will be realized by the named executive officers.</w:t>
      </w:r>
    </w:p>
    <w:p>
      <w:pPr>
        <w:spacing w:after="0" w:line="2" w:lineRule="exact"/>
        <w:rPr>
          <w:rFonts w:ascii="Arial" w:cs="Arial" w:eastAsia="Arial" w:hAnsi="Arial"/>
          <w:sz w:val="18"/>
          <w:szCs w:val="18"/>
          <w:color w:val="auto"/>
        </w:rPr>
      </w:pPr>
    </w:p>
    <w:p>
      <w:pPr>
        <w:ind w:left="880" w:right="60" w:hanging="764"/>
        <w:spacing w:after="0" w:line="23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reflect the performance bonus amounts payable to each named executive officer with respect to fiscal year 2024 under the AIP Plan.</w:t>
      </w:r>
    </w:p>
    <w:p>
      <w:pPr>
        <w:spacing w:after="0" w:line="1" w:lineRule="exact"/>
        <w:rPr>
          <w:rFonts w:ascii="Arial" w:cs="Arial" w:eastAsia="Arial" w:hAnsi="Arial"/>
          <w:sz w:val="18"/>
          <w:szCs w:val="18"/>
          <w:color w:val="auto"/>
        </w:rPr>
      </w:pPr>
    </w:p>
    <w:p>
      <w:pPr>
        <w:ind w:left="880" w:right="20" w:hanging="764"/>
        <w:spacing w:after="0" w:line="23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reflect for 2024: for Mr. Reed, (i) long-term disability insurance premiums equal to $1,290 paid by the Company on Mr. Reed’s behalf, (ii) a discount on merchandise above the employee discount in the amount of $91,366, (iii) a $13,507 401(k) matching contribution made by the Company to the account of Mr. Reed, (iv) $639,094 for the Company’s incremental costs related to the personal use of the Company airplane, (v) $3,362 for club memberships, (vi) $16,000 for executive healthcare, and</w:t>
      </w:r>
    </w:p>
    <w:p>
      <w:pPr>
        <w:spacing w:after="0" w:line="2" w:lineRule="exact"/>
        <w:rPr>
          <w:rFonts w:ascii="Arial" w:cs="Arial" w:eastAsia="Arial" w:hAnsi="Arial"/>
          <w:sz w:val="18"/>
          <w:szCs w:val="18"/>
          <w:color w:val="auto"/>
        </w:rPr>
      </w:pPr>
    </w:p>
    <w:p>
      <w:pPr>
        <w:ind w:left="880" w:right="120" w:firstLine="5"/>
        <w:spacing w:after="0" w:line="248" w:lineRule="auto"/>
        <w:tabs>
          <w:tab w:leader="none" w:pos="12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$1,629 for incidental travel expenses; for Ms. Phillipson, (i) long-term disability insurance premiums equal to $1,290 paid by the Company on Ms. Phillipson’s behalf, (ii) a discount on merchandise above the employee discount in the amount of $6,822,</w:t>
      </w:r>
    </w:p>
    <w:p>
      <w:pPr>
        <w:spacing w:after="0" w:line="1" w:lineRule="exact"/>
        <w:rPr>
          <w:rFonts w:ascii="Arial" w:cs="Arial" w:eastAsia="Arial" w:hAnsi="Arial"/>
          <w:sz w:val="17"/>
          <w:szCs w:val="17"/>
          <w:color w:val="auto"/>
        </w:rPr>
      </w:pPr>
    </w:p>
    <w:p>
      <w:pPr>
        <w:jc w:val="both"/>
        <w:ind w:left="880" w:right="20" w:firstLine="5"/>
        <w:spacing w:after="0" w:line="248" w:lineRule="auto"/>
        <w:tabs>
          <w:tab w:leader="none" w:pos="117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$13,401 401(k) matching contribution made by the Company to the account of Ms. Phillipson, (iv) a $40 monthly cell phone allowance, and (v) $99,181 for dividend equivalents credited to the account of Ms. Phillipson; for Ms. Veltri, (i) long-term disability insurance premiums equal to $1,240 paid by the Company on Ms. Veltri’s behalf, (ii) a car allowance in the amount of $12,458,</w:t>
      </w:r>
    </w:p>
    <w:p>
      <w:pPr>
        <w:spacing w:after="0" w:line="1" w:lineRule="exact"/>
        <w:rPr>
          <w:rFonts w:ascii="Arial" w:cs="Arial" w:eastAsia="Arial" w:hAnsi="Arial"/>
          <w:sz w:val="17"/>
          <w:szCs w:val="17"/>
          <w:color w:val="auto"/>
        </w:rPr>
      </w:pPr>
    </w:p>
    <w:p>
      <w:pPr>
        <w:ind w:left="1180" w:hanging="295"/>
        <w:spacing w:after="0" w:line="23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$13,800 401(k) matching contribution made by the Company to the account of Ms. Veltri, and (iv) $62,711 for dividend</w:t>
      </w:r>
    </w:p>
    <w:p>
      <w:pPr>
        <w:ind w:left="880" w:right="140"/>
        <w:spacing w:after="0" w:line="242" w:lineRule="auto"/>
        <w:rPr>
          <w:rFonts w:ascii="Arial" w:cs="Arial" w:eastAsia="Arial" w:hAnsi="Arial"/>
          <w:sz w:val="18"/>
          <w:szCs w:val="18"/>
          <w:color w:val="auto"/>
        </w:rPr>
      </w:pPr>
      <w:r>
        <w:rPr>
          <w:rFonts w:ascii="Arial" w:cs="Arial" w:eastAsia="Arial" w:hAnsi="Arial"/>
          <w:sz w:val="18"/>
          <w:szCs w:val="18"/>
          <w:color w:val="auto"/>
        </w:rPr>
        <w:t>equivalents credited to the account of Ms. Veltri; for Ms. Porter, (i) long-term disability insurance premiums equal to $1,290 paid by the Company on Ms. Porter’s behalf, (ii) a $13,800 401(k) matching contribution made by the Company to the account of Ms. Porter, (iii) a service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award of $1,426, and (iv) $97,313 for dividend equivalents credited to the account of Ms. Porter; for Ms. Chi, (i) long-term disability insurance premiums equal to $1,290 paid by the Company on Ms. Chi’s behalf, (ii) a $2,653 401(k) matching contribution made by the Company to the account of Ms. Chi, (iii) a $40 monthly cell phone allowance, and (iv) $124,573 for dividend equivalents credited to the account of Ms. Chi. Dividend equivalents in 2024 reflect the April 2024 $0.50 special cash dividend, which was credited to the NEOs on all unvested and outstanding restricted shares, RSUs and PSUs at target level. The credited dividend amount will only be paid out to the extent, and at such time as, the underlying equity awards vest. Dividend equivalents with respect to 2022 PSU awards are reflected at actual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309245</wp:posOffset>
            </wp:positionV>
            <wp:extent cx="699516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16281C"/>
        </w:rPr>
        <w:t>GRANTS OF PLAN-BASED AWARDS</w:t>
      </w:r>
    </w:p>
    <w:p>
      <w:pPr>
        <w:spacing w:after="0" w:line="280" w:lineRule="exact"/>
        <w:rPr>
          <w:sz w:val="20"/>
          <w:szCs w:val="20"/>
          <w:color w:val="auto"/>
        </w:rPr>
      </w:pPr>
    </w:p>
    <w:p>
      <w:pPr>
        <w:ind w:left="120" w:right="80" w:firstLine="1102"/>
        <w:spacing w:after="0" w:line="257" w:lineRule="auto"/>
        <w:rPr>
          <w:sz w:val="20"/>
          <w:szCs w:val="20"/>
          <w:color w:val="auto"/>
        </w:rPr>
      </w:pPr>
      <w:r>
        <w:rPr>
          <w:rFonts w:ascii="Arial" w:cs="Arial" w:eastAsia="Arial" w:hAnsi="Arial"/>
          <w:sz w:val="20"/>
          <w:szCs w:val="20"/>
          <w:color w:val="auto"/>
        </w:rPr>
        <w:t>The following table provides information regarding grants of plan-based awards made to our named executive officers during fiscal year 2024.</w:t>
      </w:r>
    </w:p>
    <w:p>
      <w:pPr>
        <w:sectPr>
          <w:pgSz w:w="11900" w:h="16838" w:orient="portrait"/>
          <w:cols w:equalWidth="0" w:num="1">
            <w:col w:w="10880"/>
          </w:cols>
          <w:pgMar w:left="320" w:top="482" w:right="699" w:bottom="1440" w:gutter="0" w:footer="0" w:header="0"/>
        </w:sect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Estimated Future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Payouts Under Non-Equity</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171"/>
        </w:trPr>
        <w:tc>
          <w:tcPr>
            <w:tcW w:w="2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John Reed</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Awards ($)(1)</w:t>
            </w:r>
          </w:p>
        </w:tc>
        <w:tc>
          <w:tcPr>
            <w:tcW w:w="0" w:type="dxa"/>
            <w:vAlign w:val="bottom"/>
          </w:tcPr>
          <w:p>
            <w:pPr>
              <w:spacing w:after="0"/>
              <w:rPr>
                <w:sz w:val="1"/>
                <w:szCs w:val="1"/>
                <w:color w:val="auto"/>
              </w:rPr>
            </w:pPr>
          </w:p>
        </w:tc>
      </w:tr>
      <w:tr>
        <w:trPr>
          <w:trHeight w:val="155"/>
        </w:trPr>
        <w:tc>
          <w:tcPr>
            <w:tcW w:w="2380" w:type="dxa"/>
            <w:vAlign w:val="bottom"/>
            <w:gridSpan w:val="2"/>
            <w:vMerge w:val="continue"/>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Threshold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223,692</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Target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894,768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Maximum</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1,789,536</w:t>
            </w:r>
          </w:p>
        </w:tc>
        <w:tc>
          <w:tcPr>
            <w:tcW w:w="0" w:type="dxa"/>
            <w:vAlign w:val="bottom"/>
          </w:tcPr>
          <w:p>
            <w:pPr>
              <w:spacing w:after="0"/>
              <w:rPr>
                <w:sz w:val="1"/>
                <w:szCs w:val="1"/>
                <w:color w:val="auto"/>
              </w:rPr>
            </w:pPr>
          </w:p>
        </w:tc>
      </w:tr>
      <w:tr>
        <w:trPr>
          <w:trHeight w:val="189"/>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Dawn Phillipson</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Threshold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73,499</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Target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293,995</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Maximum</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4/12/2024</w:t>
            </w: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587,990</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Threshold</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Target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Maximum</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RSUs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Kathy Veltri</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Threshold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61,249</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Target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244,996</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Maximum</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4/12/2024</w:t>
            </w: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489,992</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Threshold</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Target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Maximum</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RSUs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Jennifer Porter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Threshold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59,918</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Target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239,670</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40"/>
              <w:spacing w:after="0"/>
              <w:rPr>
                <w:sz w:val="20"/>
                <w:szCs w:val="20"/>
                <w:color w:val="auto"/>
              </w:rPr>
            </w:pPr>
            <w:r>
              <w:rPr>
                <w:rFonts w:ascii="Arial" w:cs="Arial" w:eastAsia="Arial" w:hAnsi="Arial"/>
                <w:sz w:val="16"/>
                <w:szCs w:val="16"/>
                <w:color w:val="auto"/>
              </w:rPr>
              <w:t>AIP Maximum</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4/12/2024</w:t>
            </w:r>
          </w:p>
        </w:tc>
        <w:tc>
          <w:tcPr>
            <w:tcW w:w="2020" w:type="dxa"/>
            <w:vAlign w:val="bottom"/>
            <w:gridSpan w:val="2"/>
          </w:tcPr>
          <w:p>
            <w:pPr>
              <w:jc w:val="right"/>
              <w:ind w:right="168"/>
              <w:spacing w:after="0"/>
              <w:rPr>
                <w:sz w:val="20"/>
                <w:szCs w:val="20"/>
                <w:color w:val="auto"/>
              </w:rPr>
            </w:pPr>
            <w:r>
              <w:rPr>
                <w:rFonts w:ascii="Arial" w:cs="Arial" w:eastAsia="Arial" w:hAnsi="Arial"/>
                <w:sz w:val="16"/>
                <w:szCs w:val="16"/>
                <w:color w:val="auto"/>
              </w:rPr>
              <w:t>479,340</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Threshold</w:t>
            </w: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Target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PSU Maximum</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80" w:type="dxa"/>
            <w:vAlign w:val="bottom"/>
          </w:tcPr>
          <w:p>
            <w:pPr>
              <w:ind w:left="60"/>
              <w:spacing w:after="0"/>
              <w:rPr>
                <w:sz w:val="20"/>
                <w:szCs w:val="20"/>
                <w:color w:val="auto"/>
              </w:rPr>
            </w:pPr>
            <w:r>
              <w:rPr>
                <w:rFonts w:ascii="Arial" w:cs="Arial" w:eastAsia="Arial" w:hAnsi="Arial"/>
                <w:sz w:val="16"/>
                <w:szCs w:val="16"/>
                <w:color w:val="auto"/>
              </w:rPr>
              <w:t>RSUs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4/12/2024</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-1935480</wp:posOffset>
            </wp:positionV>
            <wp:extent cx="6995160" cy="968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9683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-3392805</wp:posOffset>
            </wp:positionV>
            <wp:extent cx="6995160" cy="488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2640"/>
        <w:spacing w:after="0"/>
        <w:rPr>
          <w:sz w:val="20"/>
          <w:szCs w:val="20"/>
          <w:color w:val="auto"/>
        </w:rPr>
      </w:pPr>
      <w:r>
        <w:rPr>
          <w:rFonts w:ascii="Arial" w:cs="Arial" w:eastAsia="Arial" w:hAnsi="Arial"/>
          <w:sz w:val="14"/>
          <w:szCs w:val="14"/>
          <w:b w:val="1"/>
          <w:bCs w:val="1"/>
          <w:color w:val="auto"/>
        </w:rPr>
        <w:t>Estimated Future</w:t>
      </w:r>
    </w:p>
    <w:p>
      <w:pPr>
        <w:spacing w:after="0" w:line="15" w:lineRule="exact"/>
        <w:rPr>
          <w:sz w:val="20"/>
          <w:szCs w:val="20"/>
          <w:color w:val="auto"/>
        </w:rPr>
      </w:pPr>
    </w:p>
    <w:p>
      <w:pPr>
        <w:jc w:val="center"/>
        <w:ind w:right="2640"/>
        <w:spacing w:after="0"/>
        <w:rPr>
          <w:sz w:val="20"/>
          <w:szCs w:val="20"/>
          <w:color w:val="auto"/>
        </w:rPr>
      </w:pPr>
      <w:r>
        <w:rPr>
          <w:rFonts w:ascii="Arial" w:cs="Arial" w:eastAsia="Arial" w:hAnsi="Arial"/>
          <w:sz w:val="14"/>
          <w:szCs w:val="14"/>
          <w:b w:val="1"/>
          <w:bCs w:val="1"/>
          <w:color w:val="auto"/>
        </w:rPr>
        <w:t>Payouts Under Equity</w:t>
      </w:r>
    </w:p>
    <w:p>
      <w:pPr>
        <w:spacing w:after="0" w:line="1" w:lineRule="exact"/>
        <w:rPr>
          <w:sz w:val="20"/>
          <w:szCs w:val="20"/>
          <w:color w:val="auto"/>
        </w:rPr>
      </w:pPr>
    </w:p>
    <w:p>
      <w:pPr>
        <w:jc w:val="center"/>
        <w:ind w:right="2640"/>
        <w:spacing w:after="0"/>
        <w:rPr>
          <w:sz w:val="20"/>
          <w:szCs w:val="20"/>
          <w:color w:val="auto"/>
        </w:rPr>
      </w:pPr>
      <w:r>
        <w:rPr>
          <w:rFonts w:ascii="Arial" w:cs="Arial" w:eastAsia="Arial" w:hAnsi="Arial"/>
          <w:sz w:val="14"/>
          <w:szCs w:val="14"/>
          <w:b w:val="1"/>
          <w:bCs w:val="1"/>
          <w:color w:val="auto"/>
        </w:rPr>
        <w:t>Incentive Plan Awards</w:t>
      </w:r>
    </w:p>
    <w:p>
      <w:pPr>
        <w:spacing w:after="0" w:line="1" w:lineRule="exact"/>
        <w:rPr>
          <w:sz w:val="20"/>
          <w:szCs w:val="20"/>
          <w:color w:val="auto"/>
        </w:rPr>
      </w:pPr>
    </w:p>
    <w:p>
      <w:pPr>
        <w:jc w:val="both"/>
        <w:ind w:left="900"/>
        <w:spacing w:after="0"/>
        <w:tabs>
          <w:tab w:leader="none" w:pos="30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-1905</wp:posOffset>
            </wp:positionV>
            <wp:extent cx="16116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tabs>
          <w:tab w:leader="none" w:pos="1460" w:val="left"/>
          <w:tab w:leader="none" w:pos="2980" w:val="left"/>
        </w:tabs>
        <w:rPr>
          <w:sz w:val="20"/>
          <w:szCs w:val="20"/>
          <w:color w:val="auto"/>
        </w:rPr>
      </w:pPr>
      <w:r>
        <w:rPr>
          <w:rFonts w:ascii="Arial" w:cs="Arial" w:eastAsia="Arial" w:hAnsi="Arial"/>
          <w:sz w:val="14"/>
          <w:szCs w:val="14"/>
          <w:b w:val="1"/>
          <w:bCs w:val="1"/>
          <w:color w:val="auto"/>
        </w:rPr>
        <w:t>PSUs(2)</w:t>
      </w:r>
      <w:r>
        <w:rPr>
          <w:sz w:val="20"/>
          <w:szCs w:val="20"/>
          <w:color w:val="auto"/>
        </w:rPr>
        <w:tab/>
      </w:r>
      <w:r>
        <w:rPr>
          <w:rFonts w:ascii="Arial" w:cs="Arial" w:eastAsia="Arial" w:hAnsi="Arial"/>
          <w:sz w:val="14"/>
          <w:szCs w:val="14"/>
          <w:b w:val="1"/>
          <w:bCs w:val="1"/>
          <w:color w:val="auto"/>
        </w:rPr>
        <w:t>RSUs(3)</w:t>
      </w:r>
      <w:r>
        <w:rPr>
          <w:sz w:val="20"/>
          <w:szCs w:val="20"/>
          <w:color w:val="auto"/>
        </w:rPr>
        <w:tab/>
      </w:r>
      <w:r>
        <w:rPr>
          <w:rFonts w:ascii="Arial" w:cs="Arial" w:eastAsia="Arial" w:hAnsi="Arial"/>
          <w:sz w:val="14"/>
          <w:szCs w:val="14"/>
          <w:b w:val="1"/>
          <w:bCs w:val="1"/>
          <w:color w:val="auto"/>
        </w:rPr>
        <w:t>of Equity Awards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80" w:type="dxa"/>
            <w:vAlign w:val="bottom"/>
          </w:tcPr>
          <w:p>
            <w:pPr>
              <w:jc w:val="right"/>
              <w:ind w:right="2119"/>
              <w:spacing w:after="0"/>
              <w:rPr>
                <w:sz w:val="20"/>
                <w:szCs w:val="20"/>
                <w:color w:val="auto"/>
              </w:rPr>
            </w:pPr>
            <w:r>
              <w:rPr>
                <w:rFonts w:ascii="Arial" w:cs="Arial" w:eastAsia="Arial" w:hAnsi="Arial"/>
                <w:sz w:val="16"/>
                <w:szCs w:val="16"/>
                <w:color w:val="auto"/>
              </w:rPr>
              <w:t>6,806</w:t>
            </w:r>
          </w:p>
        </w:tc>
        <w:tc>
          <w:tcPr>
            <w:tcW w:w="1340" w:type="dxa"/>
            <w:vAlign w:val="bottom"/>
          </w:tcPr>
          <w:p>
            <w:pPr>
              <w:jc w:val="right"/>
              <w:spacing w:after="0"/>
              <w:rPr>
                <w:sz w:val="20"/>
                <w:szCs w:val="20"/>
                <w:color w:val="auto"/>
              </w:rPr>
            </w:pPr>
            <w:r>
              <w:rPr>
                <w:rFonts w:ascii="Arial" w:cs="Arial" w:eastAsia="Arial" w:hAnsi="Arial"/>
                <w:sz w:val="16"/>
                <w:szCs w:val="16"/>
                <w:color w:val="auto"/>
              </w:rPr>
              <w:t>106,786</w:t>
            </w:r>
          </w:p>
        </w:tc>
      </w:tr>
      <w:tr>
        <w:trPr>
          <w:trHeight w:val="189"/>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13,613</w:t>
            </w:r>
          </w:p>
        </w:tc>
        <w:tc>
          <w:tcPr>
            <w:tcW w:w="1340" w:type="dxa"/>
            <w:vAlign w:val="bottom"/>
          </w:tcPr>
          <w:p>
            <w:pPr>
              <w:jc w:val="right"/>
              <w:spacing w:after="0"/>
              <w:rPr>
                <w:sz w:val="20"/>
                <w:szCs w:val="20"/>
                <w:color w:val="auto"/>
              </w:rPr>
            </w:pPr>
            <w:r>
              <w:rPr>
                <w:rFonts w:ascii="Arial" w:cs="Arial" w:eastAsia="Arial" w:hAnsi="Arial"/>
                <w:sz w:val="16"/>
                <w:szCs w:val="16"/>
                <w:color w:val="auto"/>
              </w:rPr>
              <w:t>213,588</w:t>
            </w:r>
          </w:p>
        </w:tc>
      </w:tr>
      <w:tr>
        <w:trPr>
          <w:trHeight w:val="215"/>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27,226</w:t>
            </w:r>
          </w:p>
        </w:tc>
        <w:tc>
          <w:tcPr>
            <w:tcW w:w="1340" w:type="dxa"/>
            <w:vAlign w:val="bottom"/>
          </w:tcPr>
          <w:p>
            <w:pPr>
              <w:jc w:val="right"/>
              <w:spacing w:after="0"/>
              <w:rPr>
                <w:sz w:val="20"/>
                <w:szCs w:val="20"/>
                <w:color w:val="auto"/>
              </w:rPr>
            </w:pPr>
            <w:r>
              <w:rPr>
                <w:rFonts w:ascii="Arial" w:cs="Arial" w:eastAsia="Arial" w:hAnsi="Arial"/>
                <w:sz w:val="16"/>
                <w:szCs w:val="16"/>
                <w:color w:val="auto"/>
              </w:rPr>
              <w:t>427,176</w:t>
            </w:r>
          </w:p>
        </w:tc>
      </w:tr>
      <w:tr>
        <w:trPr>
          <w:trHeight w:val="228"/>
        </w:trPr>
        <w:tc>
          <w:tcPr>
            <w:tcW w:w="2680" w:type="dxa"/>
            <w:vAlign w:val="bottom"/>
          </w:tcPr>
          <w:p>
            <w:pPr>
              <w:jc w:val="right"/>
              <w:ind w:right="679"/>
              <w:spacing w:after="0"/>
              <w:rPr>
                <w:sz w:val="20"/>
                <w:szCs w:val="20"/>
                <w:color w:val="auto"/>
              </w:rPr>
            </w:pPr>
            <w:r>
              <w:rPr>
                <w:rFonts w:ascii="Arial" w:cs="Arial" w:eastAsia="Arial" w:hAnsi="Arial"/>
                <w:sz w:val="16"/>
                <w:szCs w:val="16"/>
                <w:color w:val="auto"/>
              </w:rPr>
              <w:t>4,538</w:t>
            </w:r>
          </w:p>
        </w:tc>
        <w:tc>
          <w:tcPr>
            <w:tcW w:w="1340" w:type="dxa"/>
            <w:vAlign w:val="bottom"/>
          </w:tcPr>
          <w:p>
            <w:pPr>
              <w:jc w:val="right"/>
              <w:spacing w:after="0"/>
              <w:rPr>
                <w:sz w:val="20"/>
                <w:szCs w:val="20"/>
                <w:color w:val="auto"/>
              </w:rPr>
            </w:pPr>
            <w:r>
              <w:rPr>
                <w:rFonts w:ascii="Arial" w:cs="Arial" w:eastAsia="Arial" w:hAnsi="Arial"/>
                <w:sz w:val="16"/>
                <w:szCs w:val="16"/>
                <w:color w:val="auto"/>
              </w:rPr>
              <w:t>71,201</w:t>
            </w:r>
          </w:p>
        </w:tc>
      </w:tr>
      <w:tr>
        <w:trPr>
          <w:trHeight w:val="893"/>
        </w:trPr>
        <w:tc>
          <w:tcPr>
            <w:tcW w:w="2680" w:type="dxa"/>
            <w:vAlign w:val="bottom"/>
          </w:tcPr>
          <w:p>
            <w:pPr>
              <w:jc w:val="right"/>
              <w:ind w:right="2119"/>
              <w:spacing w:after="0"/>
              <w:rPr>
                <w:sz w:val="20"/>
                <w:szCs w:val="20"/>
                <w:color w:val="auto"/>
              </w:rPr>
            </w:pPr>
            <w:r>
              <w:rPr>
                <w:rFonts w:ascii="Arial" w:cs="Arial" w:eastAsia="Arial" w:hAnsi="Arial"/>
                <w:sz w:val="16"/>
                <w:szCs w:val="16"/>
                <w:color w:val="auto"/>
              </w:rPr>
              <w:t>6,806</w:t>
            </w:r>
          </w:p>
        </w:tc>
        <w:tc>
          <w:tcPr>
            <w:tcW w:w="1340" w:type="dxa"/>
            <w:vAlign w:val="bottom"/>
          </w:tcPr>
          <w:p>
            <w:pPr>
              <w:jc w:val="right"/>
              <w:spacing w:after="0"/>
              <w:rPr>
                <w:sz w:val="20"/>
                <w:szCs w:val="20"/>
                <w:color w:val="auto"/>
              </w:rPr>
            </w:pPr>
            <w:r>
              <w:rPr>
                <w:rFonts w:ascii="Arial" w:cs="Arial" w:eastAsia="Arial" w:hAnsi="Arial"/>
                <w:sz w:val="16"/>
                <w:szCs w:val="16"/>
                <w:color w:val="auto"/>
              </w:rPr>
              <w:t>106,786</w:t>
            </w:r>
          </w:p>
        </w:tc>
      </w:tr>
      <w:tr>
        <w:trPr>
          <w:trHeight w:val="189"/>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13,613</w:t>
            </w:r>
          </w:p>
        </w:tc>
        <w:tc>
          <w:tcPr>
            <w:tcW w:w="1340" w:type="dxa"/>
            <w:vAlign w:val="bottom"/>
          </w:tcPr>
          <w:p>
            <w:pPr>
              <w:jc w:val="right"/>
              <w:spacing w:after="0"/>
              <w:rPr>
                <w:sz w:val="20"/>
                <w:szCs w:val="20"/>
                <w:color w:val="auto"/>
              </w:rPr>
            </w:pPr>
            <w:r>
              <w:rPr>
                <w:rFonts w:ascii="Arial" w:cs="Arial" w:eastAsia="Arial" w:hAnsi="Arial"/>
                <w:sz w:val="16"/>
                <w:szCs w:val="16"/>
                <w:color w:val="auto"/>
              </w:rPr>
              <w:t>213,588</w:t>
            </w:r>
          </w:p>
        </w:tc>
      </w:tr>
      <w:tr>
        <w:trPr>
          <w:trHeight w:val="215"/>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27,226</w:t>
            </w:r>
          </w:p>
        </w:tc>
        <w:tc>
          <w:tcPr>
            <w:tcW w:w="1340" w:type="dxa"/>
            <w:vAlign w:val="bottom"/>
          </w:tcPr>
          <w:p>
            <w:pPr>
              <w:jc w:val="right"/>
              <w:spacing w:after="0"/>
              <w:rPr>
                <w:sz w:val="20"/>
                <w:szCs w:val="20"/>
                <w:color w:val="auto"/>
              </w:rPr>
            </w:pPr>
            <w:r>
              <w:rPr>
                <w:rFonts w:ascii="Arial" w:cs="Arial" w:eastAsia="Arial" w:hAnsi="Arial"/>
                <w:sz w:val="16"/>
                <w:szCs w:val="16"/>
                <w:color w:val="auto"/>
              </w:rPr>
              <w:t>427,176</w:t>
            </w:r>
          </w:p>
        </w:tc>
      </w:tr>
      <w:tr>
        <w:trPr>
          <w:trHeight w:val="228"/>
        </w:trPr>
        <w:tc>
          <w:tcPr>
            <w:tcW w:w="2680" w:type="dxa"/>
            <w:vAlign w:val="bottom"/>
          </w:tcPr>
          <w:p>
            <w:pPr>
              <w:jc w:val="right"/>
              <w:ind w:right="679"/>
              <w:spacing w:after="0"/>
              <w:rPr>
                <w:sz w:val="20"/>
                <w:szCs w:val="20"/>
                <w:color w:val="auto"/>
              </w:rPr>
            </w:pPr>
            <w:r>
              <w:rPr>
                <w:rFonts w:ascii="Arial" w:cs="Arial" w:eastAsia="Arial" w:hAnsi="Arial"/>
                <w:sz w:val="16"/>
                <w:szCs w:val="16"/>
                <w:color w:val="auto"/>
              </w:rPr>
              <w:t>4,538</w:t>
            </w:r>
          </w:p>
        </w:tc>
        <w:tc>
          <w:tcPr>
            <w:tcW w:w="1340" w:type="dxa"/>
            <w:vAlign w:val="bottom"/>
          </w:tcPr>
          <w:p>
            <w:pPr>
              <w:jc w:val="right"/>
              <w:spacing w:after="0"/>
              <w:rPr>
                <w:sz w:val="20"/>
                <w:szCs w:val="20"/>
                <w:color w:val="auto"/>
              </w:rPr>
            </w:pPr>
            <w:r>
              <w:rPr>
                <w:rFonts w:ascii="Arial" w:cs="Arial" w:eastAsia="Arial" w:hAnsi="Arial"/>
                <w:sz w:val="16"/>
                <w:szCs w:val="16"/>
                <w:color w:val="auto"/>
              </w:rPr>
              <w:t>71,201</w:t>
            </w:r>
          </w:p>
        </w:tc>
      </w:tr>
      <w:tr>
        <w:trPr>
          <w:trHeight w:val="893"/>
        </w:trPr>
        <w:tc>
          <w:tcPr>
            <w:tcW w:w="2680" w:type="dxa"/>
            <w:vAlign w:val="bottom"/>
          </w:tcPr>
          <w:p>
            <w:pPr>
              <w:jc w:val="right"/>
              <w:ind w:right="2119"/>
              <w:spacing w:after="0"/>
              <w:rPr>
                <w:sz w:val="20"/>
                <w:szCs w:val="20"/>
                <w:color w:val="auto"/>
              </w:rPr>
            </w:pPr>
            <w:r>
              <w:rPr>
                <w:rFonts w:ascii="Arial" w:cs="Arial" w:eastAsia="Arial" w:hAnsi="Arial"/>
                <w:sz w:val="16"/>
                <w:szCs w:val="16"/>
                <w:color w:val="auto"/>
              </w:rPr>
              <w:t>6,806</w:t>
            </w:r>
          </w:p>
        </w:tc>
        <w:tc>
          <w:tcPr>
            <w:tcW w:w="1340" w:type="dxa"/>
            <w:vAlign w:val="bottom"/>
          </w:tcPr>
          <w:p>
            <w:pPr>
              <w:jc w:val="right"/>
              <w:spacing w:after="0"/>
              <w:rPr>
                <w:sz w:val="20"/>
                <w:szCs w:val="20"/>
                <w:color w:val="auto"/>
              </w:rPr>
            </w:pPr>
            <w:r>
              <w:rPr>
                <w:rFonts w:ascii="Arial" w:cs="Arial" w:eastAsia="Arial" w:hAnsi="Arial"/>
                <w:sz w:val="16"/>
                <w:szCs w:val="16"/>
                <w:color w:val="auto"/>
              </w:rPr>
              <w:t>106,786</w:t>
            </w:r>
          </w:p>
        </w:tc>
      </w:tr>
      <w:tr>
        <w:trPr>
          <w:trHeight w:val="189"/>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13,613</w:t>
            </w:r>
          </w:p>
        </w:tc>
        <w:tc>
          <w:tcPr>
            <w:tcW w:w="1340" w:type="dxa"/>
            <w:vAlign w:val="bottom"/>
          </w:tcPr>
          <w:p>
            <w:pPr>
              <w:jc w:val="right"/>
              <w:spacing w:after="0"/>
              <w:rPr>
                <w:sz w:val="20"/>
                <w:szCs w:val="20"/>
                <w:color w:val="auto"/>
              </w:rPr>
            </w:pPr>
            <w:r>
              <w:rPr>
                <w:rFonts w:ascii="Arial" w:cs="Arial" w:eastAsia="Arial" w:hAnsi="Arial"/>
                <w:sz w:val="16"/>
                <w:szCs w:val="16"/>
                <w:color w:val="auto"/>
              </w:rPr>
              <w:t>213,588</w:t>
            </w:r>
          </w:p>
        </w:tc>
      </w:tr>
      <w:tr>
        <w:trPr>
          <w:trHeight w:val="215"/>
        </w:trPr>
        <w:tc>
          <w:tcPr>
            <w:tcW w:w="2680" w:type="dxa"/>
            <w:vAlign w:val="bottom"/>
          </w:tcPr>
          <w:p>
            <w:pPr>
              <w:jc w:val="right"/>
              <w:ind w:right="2119"/>
              <w:spacing w:after="0"/>
              <w:rPr>
                <w:sz w:val="20"/>
                <w:szCs w:val="20"/>
                <w:color w:val="auto"/>
              </w:rPr>
            </w:pPr>
            <w:r>
              <w:rPr>
                <w:rFonts w:ascii="Arial" w:cs="Arial" w:eastAsia="Arial" w:hAnsi="Arial"/>
                <w:sz w:val="16"/>
                <w:szCs w:val="16"/>
                <w:color w:val="auto"/>
                <w:w w:val="93"/>
              </w:rPr>
              <w:t>27,226</w:t>
            </w:r>
          </w:p>
        </w:tc>
        <w:tc>
          <w:tcPr>
            <w:tcW w:w="1340" w:type="dxa"/>
            <w:vAlign w:val="bottom"/>
          </w:tcPr>
          <w:p>
            <w:pPr>
              <w:jc w:val="right"/>
              <w:spacing w:after="0"/>
              <w:rPr>
                <w:sz w:val="20"/>
                <w:szCs w:val="20"/>
                <w:color w:val="auto"/>
              </w:rPr>
            </w:pPr>
            <w:r>
              <w:rPr>
                <w:rFonts w:ascii="Arial" w:cs="Arial" w:eastAsia="Arial" w:hAnsi="Arial"/>
                <w:sz w:val="16"/>
                <w:szCs w:val="16"/>
                <w:color w:val="auto"/>
              </w:rPr>
              <w:t>427,176</w:t>
            </w:r>
          </w:p>
        </w:tc>
      </w:tr>
      <w:tr>
        <w:trPr>
          <w:trHeight w:val="228"/>
        </w:trPr>
        <w:tc>
          <w:tcPr>
            <w:tcW w:w="2680" w:type="dxa"/>
            <w:vAlign w:val="bottom"/>
          </w:tcPr>
          <w:p>
            <w:pPr>
              <w:jc w:val="right"/>
              <w:ind w:right="679"/>
              <w:spacing w:after="0"/>
              <w:rPr>
                <w:sz w:val="20"/>
                <w:szCs w:val="20"/>
                <w:color w:val="auto"/>
              </w:rPr>
            </w:pPr>
            <w:r>
              <w:rPr>
                <w:rFonts w:ascii="Arial" w:cs="Arial" w:eastAsia="Arial" w:hAnsi="Arial"/>
                <w:sz w:val="16"/>
                <w:szCs w:val="16"/>
                <w:color w:val="auto"/>
              </w:rPr>
              <w:t>4,538</w:t>
            </w:r>
          </w:p>
        </w:tc>
        <w:tc>
          <w:tcPr>
            <w:tcW w:w="1340" w:type="dxa"/>
            <w:vAlign w:val="bottom"/>
          </w:tcPr>
          <w:p>
            <w:pPr>
              <w:jc w:val="right"/>
              <w:spacing w:after="0"/>
              <w:rPr>
                <w:sz w:val="20"/>
                <w:szCs w:val="20"/>
                <w:color w:val="auto"/>
              </w:rPr>
            </w:pPr>
            <w:r>
              <w:rPr>
                <w:rFonts w:ascii="Arial" w:cs="Arial" w:eastAsia="Arial" w:hAnsi="Arial"/>
                <w:sz w:val="16"/>
                <w:szCs w:val="16"/>
                <w:color w:val="auto"/>
              </w:rPr>
              <w:t>71,201</w:t>
            </w:r>
          </w:p>
        </w:tc>
      </w:tr>
    </w:tbl>
    <w:p>
      <w:pPr>
        <w:sectPr>
          <w:pgSz w:w="11900" w:h="16838" w:orient="portrait"/>
          <w:cols w:equalWidth="0" w:num="2">
            <w:col w:w="5740" w:space="520"/>
            <w:col w:w="4620"/>
          </w:cols>
          <w:pgMar w:left="320" w:top="482" w:right="6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w:t>
            </w:r>
          </w:p>
        </w:tc>
        <w:tc>
          <w:tcPr>
            <w:tcW w:w="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Estimated Future</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Payouts Under Equity</w:t>
            </w:r>
          </w:p>
        </w:tc>
        <w:tc>
          <w:tcPr>
            <w:tcW w:w="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Payouts Under Non-Equity</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Incentive Plan Awards</w:t>
            </w:r>
          </w:p>
        </w:tc>
        <w:tc>
          <w:tcPr>
            <w:tcW w:w="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Incentive Plan</w:t>
            </w: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jc w:val="right"/>
              <w:ind w:right="30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55"/>
        </w:trPr>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Lisa Chi</w:t>
            </w:r>
          </w:p>
        </w:tc>
        <w:tc>
          <w:tcPr>
            <w:tcW w:w="12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Grant Date</w:t>
            </w:r>
          </w:p>
        </w:tc>
        <w:tc>
          <w:tcPr>
            <w:tcW w:w="224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rPr>
              <w:t>Awards ($)(1)</w:t>
            </w:r>
          </w:p>
        </w:tc>
        <w:tc>
          <w:tcPr>
            <w:tcW w:w="1100" w:type="dxa"/>
            <w:vAlign w:val="bottom"/>
          </w:tcPr>
          <w:p>
            <w:pPr>
              <w:jc w:val="right"/>
              <w:ind w:right="204"/>
              <w:spacing w:after="0" w:line="155" w:lineRule="exact"/>
              <w:rPr>
                <w:sz w:val="20"/>
                <w:szCs w:val="20"/>
                <w:color w:val="auto"/>
              </w:rPr>
            </w:pPr>
            <w:r>
              <w:rPr>
                <w:rFonts w:ascii="Arial" w:cs="Arial" w:eastAsia="Arial" w:hAnsi="Arial"/>
                <w:sz w:val="14"/>
                <w:szCs w:val="14"/>
                <w:b w:val="1"/>
                <w:bCs w:val="1"/>
                <w:color w:val="auto"/>
              </w:rPr>
              <w:t>PSUs(2)</w:t>
            </w:r>
          </w:p>
        </w:tc>
        <w:tc>
          <w:tcPr>
            <w:tcW w:w="400" w:type="dxa"/>
            <w:vAlign w:val="bottom"/>
          </w:tcPr>
          <w:p>
            <w:pPr>
              <w:spacing w:after="0"/>
              <w:rPr>
                <w:sz w:val="13"/>
                <w:szCs w:val="13"/>
                <w:color w:val="auto"/>
              </w:rPr>
            </w:pPr>
          </w:p>
        </w:tc>
        <w:tc>
          <w:tcPr>
            <w:tcW w:w="102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RSUs(3)</w:t>
            </w:r>
          </w:p>
        </w:tc>
        <w:tc>
          <w:tcPr>
            <w:tcW w:w="400" w:type="dxa"/>
            <w:vAlign w:val="bottom"/>
          </w:tcPr>
          <w:p>
            <w:pPr>
              <w:spacing w:after="0"/>
              <w:rPr>
                <w:sz w:val="13"/>
                <w:szCs w:val="13"/>
                <w:color w:val="auto"/>
              </w:rPr>
            </w:pPr>
          </w:p>
        </w:tc>
        <w:tc>
          <w:tcPr>
            <w:tcW w:w="220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of Equity Awards ($)(4)</w:t>
            </w:r>
          </w:p>
        </w:tc>
        <w:tc>
          <w:tcPr>
            <w:tcW w:w="0" w:type="dxa"/>
            <w:vAlign w:val="bottom"/>
          </w:tcPr>
          <w:p>
            <w:pPr>
              <w:spacing w:after="0"/>
              <w:rPr>
                <w:sz w:val="1"/>
                <w:szCs w:val="1"/>
                <w:color w:val="auto"/>
              </w:rPr>
            </w:pPr>
          </w:p>
        </w:tc>
      </w:tr>
      <w:tr>
        <w:trPr>
          <w:trHeight w:val="155"/>
        </w:trPr>
        <w:tc>
          <w:tcPr>
            <w:tcW w:w="2420" w:type="dxa"/>
            <w:vAlign w:val="bottom"/>
            <w:gridSpan w:val="2"/>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40"/>
              <w:spacing w:after="0"/>
              <w:rPr>
                <w:sz w:val="20"/>
                <w:szCs w:val="20"/>
                <w:color w:val="auto"/>
              </w:rPr>
            </w:pPr>
            <w:r>
              <w:rPr>
                <w:rFonts w:ascii="Arial" w:cs="Arial" w:eastAsia="Arial" w:hAnsi="Arial"/>
                <w:sz w:val="16"/>
                <w:szCs w:val="16"/>
                <w:color w:val="auto"/>
              </w:rPr>
              <w:t>AIP Threshold</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jc w:val="right"/>
              <w:ind w:right="304"/>
              <w:spacing w:after="0"/>
              <w:rPr>
                <w:sz w:val="20"/>
                <w:szCs w:val="20"/>
                <w:color w:val="auto"/>
              </w:rPr>
            </w:pPr>
            <w:r>
              <w:rPr>
                <w:rFonts w:ascii="Arial" w:cs="Arial" w:eastAsia="Arial" w:hAnsi="Arial"/>
                <w:sz w:val="16"/>
                <w:szCs w:val="16"/>
                <w:color w:val="auto"/>
              </w:rPr>
              <w:t>55,923</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40"/>
              <w:spacing w:after="0"/>
              <w:rPr>
                <w:sz w:val="20"/>
                <w:szCs w:val="20"/>
                <w:color w:val="auto"/>
              </w:rPr>
            </w:pPr>
            <w:r>
              <w:rPr>
                <w:rFonts w:ascii="Arial" w:cs="Arial" w:eastAsia="Arial" w:hAnsi="Arial"/>
                <w:sz w:val="16"/>
                <w:szCs w:val="16"/>
                <w:color w:val="auto"/>
              </w:rPr>
              <w:t>AIP Target</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jc w:val="right"/>
              <w:ind w:right="304"/>
              <w:spacing w:after="0"/>
              <w:rPr>
                <w:sz w:val="20"/>
                <w:szCs w:val="20"/>
                <w:color w:val="auto"/>
              </w:rPr>
            </w:pPr>
            <w:r>
              <w:rPr>
                <w:rFonts w:ascii="Arial" w:cs="Arial" w:eastAsia="Arial" w:hAnsi="Arial"/>
                <w:sz w:val="16"/>
                <w:szCs w:val="16"/>
                <w:color w:val="auto"/>
              </w:rPr>
              <w:t>223,692</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40"/>
              <w:spacing w:after="0"/>
              <w:rPr>
                <w:sz w:val="20"/>
                <w:szCs w:val="20"/>
                <w:color w:val="auto"/>
              </w:rPr>
            </w:pPr>
            <w:r>
              <w:rPr>
                <w:rFonts w:ascii="Arial" w:cs="Arial" w:eastAsia="Arial" w:hAnsi="Arial"/>
                <w:sz w:val="16"/>
                <w:szCs w:val="16"/>
                <w:color w:val="auto"/>
              </w:rPr>
              <w:t>AIP Maximum</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4/12/2024</w:t>
            </w:r>
          </w:p>
        </w:tc>
        <w:tc>
          <w:tcPr>
            <w:tcW w:w="1840" w:type="dxa"/>
            <w:vAlign w:val="bottom"/>
          </w:tcPr>
          <w:p>
            <w:pPr>
              <w:jc w:val="right"/>
              <w:ind w:right="304"/>
              <w:spacing w:after="0"/>
              <w:rPr>
                <w:sz w:val="20"/>
                <w:szCs w:val="20"/>
                <w:color w:val="auto"/>
              </w:rPr>
            </w:pPr>
            <w:r>
              <w:rPr>
                <w:rFonts w:ascii="Arial" w:cs="Arial" w:eastAsia="Arial" w:hAnsi="Arial"/>
                <w:sz w:val="16"/>
                <w:szCs w:val="16"/>
                <w:color w:val="auto"/>
              </w:rPr>
              <w:t>447,384</w:t>
            </w:r>
          </w:p>
        </w:tc>
        <w:tc>
          <w:tcPr>
            <w:tcW w:w="400" w:type="dxa"/>
            <w:vAlign w:val="bottom"/>
          </w:tcPr>
          <w:p>
            <w:pPr>
              <w:spacing w:after="0"/>
              <w:rPr>
                <w:sz w:val="16"/>
                <w:szCs w:val="16"/>
                <w:color w:val="auto"/>
              </w:rPr>
            </w:pPr>
          </w:p>
        </w:tc>
        <w:tc>
          <w:tcPr>
            <w:tcW w:w="1100" w:type="dxa"/>
            <w:vAlign w:val="bottom"/>
            <w:vMerge w:val="restart"/>
          </w:tcPr>
          <w:p>
            <w:pPr>
              <w:jc w:val="right"/>
              <w:ind w:right="184"/>
              <w:spacing w:after="0"/>
              <w:rPr>
                <w:sz w:val="20"/>
                <w:szCs w:val="20"/>
                <w:color w:val="auto"/>
              </w:rPr>
            </w:pPr>
            <w:r>
              <w:rPr>
                <w:rFonts w:ascii="Arial" w:cs="Arial" w:eastAsia="Arial" w:hAnsi="Arial"/>
                <w:sz w:val="16"/>
                <w:szCs w:val="16"/>
                <w:color w:val="auto"/>
              </w:rPr>
              <w:t>6,806</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0" w:type="dxa"/>
            <w:vAlign w:val="bottom"/>
            <w:gridSpan w:val="2"/>
            <w:vMerge w:val="restart"/>
          </w:tcPr>
          <w:p>
            <w:pPr>
              <w:jc w:val="right"/>
              <w:ind w:right="708"/>
              <w:spacing w:after="0"/>
              <w:rPr>
                <w:sz w:val="20"/>
                <w:szCs w:val="20"/>
                <w:color w:val="auto"/>
              </w:rPr>
            </w:pPr>
            <w:r>
              <w:rPr>
                <w:rFonts w:ascii="Arial" w:cs="Arial" w:eastAsia="Arial" w:hAnsi="Arial"/>
                <w:sz w:val="16"/>
                <w:szCs w:val="16"/>
                <w:color w:val="auto"/>
              </w:rPr>
              <w:t>106,786</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60"/>
              <w:spacing w:after="0" w:line="148" w:lineRule="exact"/>
              <w:rPr>
                <w:sz w:val="20"/>
                <w:szCs w:val="20"/>
                <w:color w:val="auto"/>
              </w:rPr>
            </w:pPr>
            <w:r>
              <w:rPr>
                <w:rFonts w:ascii="Arial" w:cs="Arial" w:eastAsia="Arial" w:hAnsi="Arial"/>
                <w:sz w:val="16"/>
                <w:szCs w:val="16"/>
                <w:color w:val="auto"/>
              </w:rPr>
              <w:t>PSU Threshold</w:t>
            </w:r>
          </w:p>
        </w:tc>
        <w:tc>
          <w:tcPr>
            <w:tcW w:w="12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60"/>
              <w:spacing w:after="0"/>
              <w:rPr>
                <w:sz w:val="20"/>
                <w:szCs w:val="20"/>
                <w:color w:val="auto"/>
              </w:rPr>
            </w:pPr>
            <w:r>
              <w:rPr>
                <w:rFonts w:ascii="Arial" w:cs="Arial" w:eastAsia="Arial" w:hAnsi="Arial"/>
                <w:sz w:val="16"/>
                <w:szCs w:val="16"/>
                <w:color w:val="auto"/>
              </w:rPr>
              <w:t>PSU Target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4/12/2024</w:t>
            </w: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84"/>
              <w:spacing w:after="0"/>
              <w:rPr>
                <w:sz w:val="20"/>
                <w:szCs w:val="20"/>
                <w:color w:val="auto"/>
              </w:rPr>
            </w:pPr>
            <w:r>
              <w:rPr>
                <w:rFonts w:ascii="Arial" w:cs="Arial" w:eastAsia="Arial" w:hAnsi="Arial"/>
                <w:sz w:val="16"/>
                <w:szCs w:val="16"/>
                <w:color w:val="auto"/>
              </w:rPr>
              <w:t>13,613</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0" w:type="dxa"/>
            <w:vAlign w:val="bottom"/>
            <w:gridSpan w:val="2"/>
          </w:tcPr>
          <w:p>
            <w:pPr>
              <w:jc w:val="right"/>
              <w:ind w:right="708"/>
              <w:spacing w:after="0"/>
              <w:rPr>
                <w:sz w:val="20"/>
                <w:szCs w:val="20"/>
                <w:color w:val="auto"/>
              </w:rPr>
            </w:pPr>
            <w:r>
              <w:rPr>
                <w:rFonts w:ascii="Arial" w:cs="Arial" w:eastAsia="Arial" w:hAnsi="Arial"/>
                <w:sz w:val="16"/>
                <w:szCs w:val="16"/>
                <w:color w:val="auto"/>
              </w:rPr>
              <w:t>213,588</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60"/>
              <w:spacing w:after="0"/>
              <w:rPr>
                <w:sz w:val="20"/>
                <w:szCs w:val="20"/>
                <w:color w:val="auto"/>
              </w:rPr>
            </w:pPr>
            <w:r>
              <w:rPr>
                <w:rFonts w:ascii="Arial" w:cs="Arial" w:eastAsia="Arial" w:hAnsi="Arial"/>
                <w:sz w:val="16"/>
                <w:szCs w:val="16"/>
                <w:color w:val="auto"/>
              </w:rPr>
              <w:t>PSU Maximum</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4/12/2024</w:t>
            </w: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184"/>
              <w:spacing w:after="0"/>
              <w:rPr>
                <w:sz w:val="20"/>
                <w:szCs w:val="20"/>
                <w:color w:val="auto"/>
              </w:rPr>
            </w:pPr>
            <w:r>
              <w:rPr>
                <w:rFonts w:ascii="Arial" w:cs="Arial" w:eastAsia="Arial" w:hAnsi="Arial"/>
                <w:sz w:val="16"/>
                <w:szCs w:val="16"/>
                <w:color w:val="auto"/>
              </w:rPr>
              <w:t>27,226</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0" w:type="dxa"/>
            <w:vAlign w:val="bottom"/>
            <w:gridSpan w:val="2"/>
          </w:tcPr>
          <w:p>
            <w:pPr>
              <w:jc w:val="right"/>
              <w:ind w:right="708"/>
              <w:spacing w:after="0"/>
              <w:rPr>
                <w:sz w:val="20"/>
                <w:szCs w:val="20"/>
                <w:color w:val="auto"/>
              </w:rPr>
            </w:pPr>
            <w:r>
              <w:rPr>
                <w:rFonts w:ascii="Arial" w:cs="Arial" w:eastAsia="Arial" w:hAnsi="Arial"/>
                <w:sz w:val="16"/>
                <w:szCs w:val="16"/>
                <w:color w:val="auto"/>
              </w:rPr>
              <w:t>427,176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320" w:type="dxa"/>
            <w:vAlign w:val="bottom"/>
          </w:tcPr>
          <w:p>
            <w:pPr>
              <w:ind w:left="60"/>
              <w:spacing w:after="0"/>
              <w:rPr>
                <w:sz w:val="20"/>
                <w:szCs w:val="20"/>
                <w:color w:val="auto"/>
              </w:rPr>
            </w:pPr>
            <w:r>
              <w:rPr>
                <w:rFonts w:ascii="Arial" w:cs="Arial" w:eastAsia="Arial" w:hAnsi="Arial"/>
                <w:sz w:val="16"/>
                <w:szCs w:val="16"/>
                <w:color w:val="auto"/>
              </w:rPr>
              <w:t>RSUs</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4/12/2024</w:t>
            </w: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gridSpan w:val="2"/>
          </w:tcPr>
          <w:p>
            <w:pPr>
              <w:jc w:val="right"/>
              <w:ind w:right="188"/>
              <w:spacing w:after="0"/>
              <w:rPr>
                <w:sz w:val="20"/>
                <w:szCs w:val="20"/>
                <w:color w:val="auto"/>
              </w:rPr>
            </w:pPr>
            <w:r>
              <w:rPr>
                <w:rFonts w:ascii="Arial" w:cs="Arial" w:eastAsia="Arial" w:hAnsi="Arial"/>
                <w:sz w:val="16"/>
                <w:szCs w:val="16"/>
                <w:color w:val="auto"/>
              </w:rPr>
              <w:t>4,538</w:t>
            </w:r>
          </w:p>
        </w:tc>
        <w:tc>
          <w:tcPr>
            <w:tcW w:w="2600" w:type="dxa"/>
            <w:vAlign w:val="bottom"/>
            <w:gridSpan w:val="2"/>
          </w:tcPr>
          <w:p>
            <w:pPr>
              <w:jc w:val="right"/>
              <w:ind w:right="708"/>
              <w:spacing w:after="0"/>
              <w:rPr>
                <w:sz w:val="20"/>
                <w:szCs w:val="20"/>
                <w:color w:val="auto"/>
              </w:rPr>
            </w:pPr>
            <w:r>
              <w:rPr>
                <w:rFonts w:ascii="Arial" w:cs="Arial" w:eastAsia="Arial" w:hAnsi="Arial"/>
                <w:sz w:val="16"/>
                <w:szCs w:val="16"/>
                <w:color w:val="auto"/>
              </w:rPr>
              <w:t>71,201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-967740</wp:posOffset>
            </wp:positionV>
            <wp:extent cx="6995160" cy="9690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969010"/>
                    </a:xfrm>
                    <a:prstGeom prst="rect">
                      <a:avLst/>
                    </a:prstGeom>
                    <a:noFill/>
                  </pic:spPr>
                </pic:pic>
              </a:graphicData>
            </a:graphic>
          </wp:anchor>
        </w:drawing>
      </w:r>
    </w:p>
    <w:p>
      <w:pPr>
        <w:ind w:left="880" w:right="220" w:hanging="764"/>
        <w:spacing w:after="0" w:line="23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Awards under the AIP consist of threshold, target and maximum payouts based on the Company’s achievement towards goals established for two metrics: (a) 2024 Adjusted EBITDA (before bonus) and (b) 2024 demand.</w:t>
      </w:r>
    </w:p>
    <w:p>
      <w:pPr>
        <w:spacing w:after="0" w:line="1" w:lineRule="exact"/>
        <w:rPr>
          <w:rFonts w:ascii="Arial" w:cs="Arial" w:eastAsia="Arial" w:hAnsi="Arial"/>
          <w:sz w:val="18"/>
          <w:szCs w:val="18"/>
          <w:color w:val="auto"/>
        </w:rPr>
      </w:pPr>
    </w:p>
    <w:p>
      <w:pPr>
        <w:ind w:left="880" w:right="40" w:hanging="764"/>
        <w:spacing w:after="0" w:line="23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consist of the threshold, target and maximum PSUs that could vest based on the Company’s financial performance as measured against pre-established target goals for (1) cumulative demand revenue and (2) a cumulative adjusted EBITDA metric over the performance period beginning on January 1, 2024 and ending on December 31, 2026, subject to the named executive officer’s continuous employment through the applicable vesting date.</w:t>
      </w:r>
    </w:p>
    <w:p>
      <w:pPr>
        <w:spacing w:after="0" w:line="2" w:lineRule="exact"/>
        <w:rPr>
          <w:rFonts w:ascii="Arial" w:cs="Arial" w:eastAsia="Arial" w:hAnsi="Arial"/>
          <w:sz w:val="18"/>
          <w:szCs w:val="18"/>
          <w:color w:val="auto"/>
        </w:rPr>
      </w:pPr>
    </w:p>
    <w:p>
      <w:pPr>
        <w:ind w:left="880" w:right="260" w:hanging="764"/>
        <w:spacing w:after="0" w:line="23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RSUs vest in one-third increments on each of the first, second and third anniversary of the date of grant, subject to the named executive officer’s continuous employment through the applicable vesting date.</w:t>
      </w:r>
    </w:p>
    <w:p>
      <w:pPr>
        <w:spacing w:after="0" w:line="1" w:lineRule="exact"/>
        <w:rPr>
          <w:rFonts w:ascii="Arial" w:cs="Arial" w:eastAsia="Arial" w:hAnsi="Arial"/>
          <w:sz w:val="18"/>
          <w:szCs w:val="18"/>
          <w:color w:val="auto"/>
        </w:rPr>
      </w:pPr>
    </w:p>
    <w:p>
      <w:pPr>
        <w:ind w:left="880" w:right="20" w:hanging="764"/>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total grant date fair value of the equity awards granted during fiscal year 2024. The fair value is based on the closing price of the Company’s Class A common stock on April 12, 2024.</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OUTSTANDING EQUITY AWARDS AT 2024 YEAR END</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Stock Awards(1)</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 Awards: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Value of</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 or</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Unearned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 or</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Units of</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 Units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Units of</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 That</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or Other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 That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Have Not</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Rights That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48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Have Not</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Vested ($)</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Have Not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50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Vested (#)</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5"/>
                <w:szCs w:val="15"/>
                <w:color w:val="auto"/>
              </w:rPr>
            </w:pPr>
          </w:p>
        </w:tc>
        <w:tc>
          <w:tcPr>
            <w:tcW w:w="1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Vested (#)</w:t>
            </w: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Vested($)(2)</w:t>
            </w:r>
          </w:p>
        </w:tc>
        <w:tc>
          <w:tcPr>
            <w:tcW w:w="0" w:type="dxa"/>
            <w:vAlign w:val="bottom"/>
          </w:tcPr>
          <w:p>
            <w:pPr>
              <w:spacing w:after="0"/>
              <w:rPr>
                <w:sz w:val="1"/>
                <w:szCs w:val="1"/>
                <w:color w:val="auto"/>
              </w:rPr>
            </w:pPr>
          </w:p>
        </w:tc>
      </w:tr>
      <w:tr>
        <w:trPr>
          <w:trHeight w:val="190"/>
        </w:trPr>
        <w:tc>
          <w:tcPr>
            <w:tcW w:w="3880" w:type="dxa"/>
            <w:vAlign w:val="bottom"/>
            <w:tcBorders>
              <w:top w:val="single" w:sz="8" w:color="E5E5E5"/>
            </w:tcBorders>
            <w:gridSpan w:val="2"/>
            <w:shd w:val="clear" w:color="auto" w:fill="E5E5E5"/>
          </w:tcPr>
          <w:p>
            <w:pPr>
              <w:spacing w:after="0" w:line="189" w:lineRule="exact"/>
              <w:rPr>
                <w:sz w:val="20"/>
                <w:szCs w:val="20"/>
                <w:color w:val="auto"/>
              </w:rPr>
            </w:pPr>
            <w:r>
              <w:rPr>
                <w:rFonts w:ascii="Arial" w:cs="Arial" w:eastAsia="Arial" w:hAnsi="Arial"/>
                <w:sz w:val="18"/>
                <w:szCs w:val="18"/>
                <w:color w:val="auto"/>
              </w:rPr>
              <w:t>John Reed</w:t>
            </w:r>
          </w:p>
        </w:tc>
        <w:tc>
          <w:tcPr>
            <w:tcW w:w="1240" w:type="dxa"/>
            <w:vAlign w:val="bottom"/>
            <w:tcBorders>
              <w:top w:val="single" w:sz="8" w:color="auto"/>
            </w:tcBorders>
            <w:shd w:val="clear" w:color="auto" w:fill="E5E5E5"/>
          </w:tcPr>
          <w:p>
            <w:pPr>
              <w:jc w:val="right"/>
              <w:ind w:right="391"/>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E5E5E5"/>
            </w:tcBorders>
            <w:shd w:val="clear" w:color="auto" w:fill="E5E5E5"/>
          </w:tcPr>
          <w:p>
            <w:pPr>
              <w:spacing w:after="0"/>
              <w:rPr>
                <w:sz w:val="16"/>
                <w:szCs w:val="16"/>
                <w:color w:val="auto"/>
              </w:rPr>
            </w:pPr>
          </w:p>
        </w:tc>
        <w:tc>
          <w:tcPr>
            <w:tcW w:w="1540" w:type="dxa"/>
            <w:vAlign w:val="bottom"/>
            <w:tcBorders>
              <w:top w:val="single" w:sz="8" w:color="auto"/>
            </w:tcBorders>
            <w:shd w:val="clear" w:color="auto" w:fill="E5E5E5"/>
          </w:tcPr>
          <w:p>
            <w:pPr>
              <w:jc w:val="right"/>
              <w:ind w:right="375"/>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E5E5E5"/>
            </w:tcBorders>
            <w:shd w:val="clear" w:color="auto" w:fill="E5E5E5"/>
          </w:tcPr>
          <w:p>
            <w:pPr>
              <w:spacing w:after="0"/>
              <w:rPr>
                <w:sz w:val="16"/>
                <w:szCs w:val="16"/>
                <w:color w:val="auto"/>
              </w:rPr>
            </w:pPr>
          </w:p>
        </w:tc>
        <w:tc>
          <w:tcPr>
            <w:tcW w:w="1640" w:type="dxa"/>
            <w:vAlign w:val="bottom"/>
            <w:tcBorders>
              <w:top w:val="single" w:sz="8" w:color="auto"/>
            </w:tcBorders>
            <w:shd w:val="clear" w:color="auto" w:fill="E5E5E5"/>
          </w:tcPr>
          <w:p>
            <w:pPr>
              <w:jc w:val="right"/>
              <w:ind w:right="375"/>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80" w:type="dxa"/>
            <w:vAlign w:val="bottom"/>
            <w:gridSpan w:val="2"/>
          </w:tcPr>
          <w:p>
            <w:pPr>
              <w:spacing w:after="0" w:line="183" w:lineRule="exact"/>
              <w:rPr>
                <w:sz w:val="20"/>
                <w:szCs w:val="20"/>
                <w:color w:val="auto"/>
              </w:rPr>
            </w:pPr>
            <w:r>
              <w:rPr>
                <w:rFonts w:ascii="Arial" w:cs="Arial" w:eastAsia="Arial" w:hAnsi="Arial"/>
                <w:sz w:val="18"/>
                <w:szCs w:val="18"/>
                <w:color w:val="auto"/>
              </w:rPr>
              <w:t>Dawn Phillipson</w:t>
            </w:r>
          </w:p>
        </w:tc>
        <w:tc>
          <w:tcPr>
            <w:tcW w:w="150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5/19/2021(3)</w:t>
            </w:r>
          </w:p>
        </w:tc>
        <w:tc>
          <w:tcPr>
            <w:tcW w:w="820" w:type="dxa"/>
            <w:vAlign w:val="bottom"/>
          </w:tcPr>
          <w:p>
            <w:pPr>
              <w:jc w:val="right"/>
              <w:spacing w:after="0" w:line="183" w:lineRule="exact"/>
              <w:rPr>
                <w:sz w:val="20"/>
                <w:szCs w:val="20"/>
                <w:color w:val="auto"/>
              </w:rPr>
            </w:pPr>
            <w:r>
              <w:rPr>
                <w:rFonts w:ascii="Arial" w:cs="Arial" w:eastAsia="Arial" w:hAnsi="Arial"/>
                <w:sz w:val="18"/>
                <w:szCs w:val="18"/>
                <w:color w:val="auto"/>
              </w:rPr>
              <w:t>48,628</w:t>
            </w:r>
          </w:p>
        </w:tc>
        <w:tc>
          <w:tcPr>
            <w:tcW w:w="2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8"/>
                <w:szCs w:val="18"/>
                <w:color w:val="auto"/>
              </w:rPr>
              <w:t>457,103</w:t>
            </w:r>
          </w:p>
        </w:tc>
        <w:tc>
          <w:tcPr>
            <w:tcW w:w="260" w:type="dxa"/>
            <w:vAlign w:val="bottom"/>
          </w:tcPr>
          <w:p>
            <w:pPr>
              <w:spacing w:after="0"/>
              <w:rPr>
                <w:sz w:val="15"/>
                <w:szCs w:val="15"/>
                <w:color w:val="auto"/>
              </w:rPr>
            </w:pPr>
          </w:p>
        </w:tc>
        <w:tc>
          <w:tcPr>
            <w:tcW w:w="1820" w:type="dxa"/>
            <w:vAlign w:val="bottom"/>
            <w:gridSpan w:val="2"/>
          </w:tcPr>
          <w:p>
            <w:pPr>
              <w:jc w:val="right"/>
              <w:ind w:right="740"/>
              <w:spacing w:after="0" w:line="183"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8/2/2022(5)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39,160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3/10/2023(6)</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21,057</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197,936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4,679</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43,983</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11/9/2023(8)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33,333</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313,330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4/12/2024(9)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13,613</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127,962</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4/12/2024(10)</w:t>
            </w:r>
          </w:p>
        </w:tc>
        <w:tc>
          <w:tcPr>
            <w:tcW w:w="820" w:type="dxa"/>
            <w:vAlign w:val="bottom"/>
          </w:tcPr>
          <w:p>
            <w:pPr>
              <w:jc w:val="right"/>
              <w:spacing w:after="0"/>
              <w:rPr>
                <w:sz w:val="20"/>
                <w:szCs w:val="20"/>
                <w:color w:val="auto"/>
              </w:rPr>
            </w:pPr>
            <w:r>
              <w:rPr>
                <w:rFonts w:ascii="Arial" w:cs="Arial" w:eastAsia="Arial" w:hAnsi="Arial"/>
                <w:sz w:val="18"/>
                <w:szCs w:val="18"/>
                <w:color w:val="auto"/>
              </w:rPr>
              <w:t>4,538</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42,657</w:t>
            </w:r>
          </w:p>
        </w:tc>
        <w:tc>
          <w:tcPr>
            <w:tcW w:w="260" w:type="dxa"/>
            <w:vAlign w:val="bottom"/>
          </w:tcPr>
          <w:p>
            <w:pPr>
              <w:spacing w:after="0"/>
              <w:rPr>
                <w:sz w:val="20"/>
                <w:szCs w:val="20"/>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80" w:type="dxa"/>
            <w:vAlign w:val="bottom"/>
            <w:gridSpan w:val="2"/>
            <w:shd w:val="clear" w:color="auto" w:fill="E5E5E5"/>
          </w:tcPr>
          <w:p>
            <w:pPr>
              <w:spacing w:after="0" w:line="183" w:lineRule="exact"/>
              <w:rPr>
                <w:sz w:val="20"/>
                <w:szCs w:val="20"/>
                <w:color w:val="auto"/>
              </w:rPr>
            </w:pPr>
            <w:r>
              <w:rPr>
                <w:rFonts w:ascii="Arial" w:cs="Arial" w:eastAsia="Arial" w:hAnsi="Arial"/>
                <w:sz w:val="18"/>
                <w:szCs w:val="18"/>
                <w:color w:val="auto"/>
              </w:rPr>
              <w:t>Kathy Veltri</w:t>
            </w:r>
          </w:p>
        </w:tc>
        <w:tc>
          <w:tcPr>
            <w:tcW w:w="1500" w:type="dxa"/>
            <w:vAlign w:val="bottom"/>
            <w:gridSpan w:val="2"/>
            <w:shd w:val="clear" w:color="auto" w:fill="E5E5E5"/>
          </w:tcPr>
          <w:p>
            <w:pPr>
              <w:jc w:val="right"/>
              <w:ind w:right="260"/>
              <w:spacing w:after="0" w:line="183" w:lineRule="exact"/>
              <w:rPr>
                <w:sz w:val="20"/>
                <w:szCs w:val="20"/>
                <w:color w:val="auto"/>
              </w:rPr>
            </w:pPr>
            <w:r>
              <w:rPr>
                <w:rFonts w:ascii="Arial" w:cs="Arial" w:eastAsia="Arial" w:hAnsi="Arial"/>
                <w:sz w:val="18"/>
                <w:szCs w:val="18"/>
                <w:color w:val="auto"/>
              </w:rPr>
              <w:t>8/2/2022(5)</w:t>
            </w:r>
          </w:p>
        </w:tc>
        <w:tc>
          <w:tcPr>
            <w:tcW w:w="820" w:type="dxa"/>
            <w:vAlign w:val="bottom"/>
            <w:shd w:val="clear" w:color="auto" w:fill="E5E5E5"/>
          </w:tcPr>
          <w:p>
            <w:pPr>
              <w:jc w:val="right"/>
              <w:spacing w:after="0" w:line="183" w:lineRule="exact"/>
              <w:rPr>
                <w:sz w:val="20"/>
                <w:szCs w:val="20"/>
                <w:color w:val="auto"/>
              </w:rPr>
            </w:pPr>
            <w:r>
              <w:rPr>
                <w:rFonts w:ascii="Arial" w:cs="Arial" w:eastAsia="Arial" w:hAnsi="Arial"/>
                <w:sz w:val="18"/>
                <w:szCs w:val="18"/>
                <w:color w:val="auto"/>
              </w:rPr>
              <w:t>4,166</w:t>
            </w: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jc w:val="right"/>
              <w:spacing w:after="0" w:line="183" w:lineRule="exact"/>
              <w:rPr>
                <w:sz w:val="20"/>
                <w:szCs w:val="20"/>
                <w:color w:val="auto"/>
              </w:rPr>
            </w:pPr>
            <w:r>
              <w:rPr>
                <w:rFonts w:ascii="Arial" w:cs="Arial" w:eastAsia="Arial" w:hAnsi="Arial"/>
                <w:sz w:val="18"/>
                <w:szCs w:val="18"/>
                <w:color w:val="auto"/>
              </w:rPr>
              <w:t>39,160</w:t>
            </w:r>
          </w:p>
        </w:tc>
        <w:tc>
          <w:tcPr>
            <w:tcW w:w="260" w:type="dxa"/>
            <w:vAlign w:val="bottom"/>
            <w:shd w:val="clear" w:color="auto" w:fill="E5E5E5"/>
          </w:tcPr>
          <w:p>
            <w:pPr>
              <w:spacing w:after="0"/>
              <w:rPr>
                <w:sz w:val="15"/>
                <w:szCs w:val="15"/>
                <w:color w:val="auto"/>
              </w:rPr>
            </w:pPr>
          </w:p>
        </w:tc>
        <w:tc>
          <w:tcPr>
            <w:tcW w:w="1820" w:type="dxa"/>
            <w:vAlign w:val="bottom"/>
            <w:gridSpan w:val="2"/>
            <w:shd w:val="clear" w:color="auto" w:fill="E5E5E5"/>
          </w:tcPr>
          <w:p>
            <w:pPr>
              <w:jc w:val="right"/>
              <w:ind w:right="740"/>
              <w:spacing w:after="0" w:line="183" w:lineRule="exact"/>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5"/>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48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3/10/2023(6)</w:t>
            </w:r>
          </w:p>
        </w:tc>
        <w:tc>
          <w:tcPr>
            <w:tcW w:w="11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21,057</w:t>
            </w:r>
          </w:p>
        </w:tc>
        <w:tc>
          <w:tcPr>
            <w:tcW w:w="280" w:type="dxa"/>
            <w:vAlign w:val="bottom"/>
            <w:shd w:val="clear" w:color="auto" w:fill="E5E5E5"/>
          </w:tcPr>
          <w:p>
            <w:pPr>
              <w:spacing w:after="0"/>
              <w:rPr>
                <w:sz w:val="17"/>
                <w:szCs w:val="17"/>
                <w:color w:val="auto"/>
              </w:rPr>
            </w:pPr>
          </w:p>
        </w:tc>
        <w:tc>
          <w:tcPr>
            <w:tcW w:w="16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197,936</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48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3/10/2023(7)</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4,679</w:t>
            </w: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43,983</w:t>
            </w:r>
          </w:p>
        </w:tc>
        <w:tc>
          <w:tcPr>
            <w:tcW w:w="260" w:type="dxa"/>
            <w:vAlign w:val="bottom"/>
            <w:shd w:val="clear" w:color="auto" w:fill="E5E5E5"/>
          </w:tcPr>
          <w:p>
            <w:pPr>
              <w:spacing w:after="0"/>
              <w:rPr>
                <w:sz w:val="17"/>
                <w:szCs w:val="17"/>
                <w:color w:val="auto"/>
              </w:rPr>
            </w:pPr>
          </w:p>
        </w:tc>
        <w:tc>
          <w:tcPr>
            <w:tcW w:w="1820" w:type="dxa"/>
            <w:vAlign w:val="bottom"/>
            <w:gridSpan w:val="2"/>
            <w:shd w:val="clear" w:color="auto" w:fill="E5E5E5"/>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48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11/9/2023(8)</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33,333</w:t>
            </w: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313,330</w:t>
            </w:r>
          </w:p>
        </w:tc>
        <w:tc>
          <w:tcPr>
            <w:tcW w:w="260" w:type="dxa"/>
            <w:vAlign w:val="bottom"/>
            <w:shd w:val="clear" w:color="auto" w:fill="E5E5E5"/>
          </w:tcPr>
          <w:p>
            <w:pPr>
              <w:spacing w:after="0"/>
              <w:rPr>
                <w:sz w:val="17"/>
                <w:szCs w:val="17"/>
                <w:color w:val="auto"/>
              </w:rPr>
            </w:pPr>
          </w:p>
        </w:tc>
        <w:tc>
          <w:tcPr>
            <w:tcW w:w="1820" w:type="dxa"/>
            <w:vAlign w:val="bottom"/>
            <w:gridSpan w:val="2"/>
            <w:shd w:val="clear" w:color="auto" w:fill="E5E5E5"/>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E5E5E5"/>
          </w:tcPr>
          <w:p>
            <w:pPr>
              <w:spacing w:after="0"/>
              <w:rPr>
                <w:sz w:val="17"/>
                <w:szCs w:val="17"/>
                <w:color w:val="auto"/>
              </w:rPr>
            </w:pPr>
          </w:p>
        </w:tc>
        <w:tc>
          <w:tcPr>
            <w:tcW w:w="348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4/12/2024(9)</w:t>
            </w:r>
          </w:p>
        </w:tc>
        <w:tc>
          <w:tcPr>
            <w:tcW w:w="11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13,613</w:t>
            </w:r>
          </w:p>
        </w:tc>
        <w:tc>
          <w:tcPr>
            <w:tcW w:w="280" w:type="dxa"/>
            <w:vAlign w:val="bottom"/>
            <w:shd w:val="clear" w:color="auto" w:fill="E5E5E5"/>
          </w:tcPr>
          <w:p>
            <w:pPr>
              <w:spacing w:after="0"/>
              <w:rPr>
                <w:sz w:val="17"/>
                <w:szCs w:val="17"/>
                <w:color w:val="auto"/>
              </w:rPr>
            </w:pPr>
          </w:p>
        </w:tc>
        <w:tc>
          <w:tcPr>
            <w:tcW w:w="164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color w:val="auto"/>
              </w:rPr>
              <w:t>127,962</w:t>
            </w:r>
          </w:p>
        </w:tc>
        <w:tc>
          <w:tcPr>
            <w:tcW w:w="0" w:type="dxa"/>
            <w:vAlign w:val="bottom"/>
          </w:tcPr>
          <w:p>
            <w:pPr>
              <w:spacing w:after="0"/>
              <w:rPr>
                <w:sz w:val="1"/>
                <w:szCs w:val="1"/>
                <w:color w:val="auto"/>
              </w:rPr>
            </w:pPr>
          </w:p>
        </w:tc>
      </w:tr>
      <w:tr>
        <w:trPr>
          <w:trHeight w:val="235"/>
        </w:trPr>
        <w:tc>
          <w:tcPr>
            <w:tcW w:w="400" w:type="dxa"/>
            <w:vAlign w:val="bottom"/>
            <w:shd w:val="clear" w:color="auto" w:fill="E5E5E5"/>
          </w:tcPr>
          <w:p>
            <w:pPr>
              <w:spacing w:after="0"/>
              <w:rPr>
                <w:sz w:val="20"/>
                <w:szCs w:val="20"/>
                <w:color w:val="auto"/>
              </w:rPr>
            </w:pPr>
          </w:p>
        </w:tc>
        <w:tc>
          <w:tcPr>
            <w:tcW w:w="3480" w:type="dxa"/>
            <w:vAlign w:val="bottom"/>
            <w:shd w:val="clear" w:color="auto" w:fill="E5E5E5"/>
          </w:tcPr>
          <w:p>
            <w:pPr>
              <w:spacing w:after="0"/>
              <w:rPr>
                <w:sz w:val="20"/>
                <w:szCs w:val="20"/>
                <w:color w:val="auto"/>
              </w:rPr>
            </w:pPr>
          </w:p>
        </w:tc>
        <w:tc>
          <w:tcPr>
            <w:tcW w:w="15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4/12/2024(10)</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4,538</w:t>
            </w:r>
          </w:p>
        </w:tc>
        <w:tc>
          <w:tcPr>
            <w:tcW w:w="28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42,657</w:t>
            </w:r>
          </w:p>
        </w:tc>
        <w:tc>
          <w:tcPr>
            <w:tcW w:w="260" w:type="dxa"/>
            <w:vAlign w:val="bottom"/>
            <w:shd w:val="clear" w:color="auto" w:fill="E5E5E5"/>
          </w:tcPr>
          <w:p>
            <w:pPr>
              <w:spacing w:after="0"/>
              <w:rPr>
                <w:sz w:val="20"/>
                <w:szCs w:val="20"/>
                <w:color w:val="auto"/>
              </w:rPr>
            </w:pPr>
          </w:p>
        </w:tc>
        <w:tc>
          <w:tcPr>
            <w:tcW w:w="1820" w:type="dxa"/>
            <w:vAlign w:val="bottom"/>
            <w:gridSpan w:val="2"/>
            <w:shd w:val="clear" w:color="auto" w:fill="E5E5E5"/>
          </w:tcPr>
          <w:p>
            <w:pPr>
              <w:jc w:val="right"/>
              <w:ind w:right="7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80" w:type="dxa"/>
            <w:vAlign w:val="bottom"/>
            <w:gridSpan w:val="2"/>
          </w:tcPr>
          <w:p>
            <w:pPr>
              <w:spacing w:after="0" w:line="183" w:lineRule="exact"/>
              <w:rPr>
                <w:sz w:val="20"/>
                <w:szCs w:val="20"/>
                <w:color w:val="auto"/>
              </w:rPr>
            </w:pPr>
            <w:r>
              <w:rPr>
                <w:rFonts w:ascii="Arial" w:cs="Arial" w:eastAsia="Arial" w:hAnsi="Arial"/>
                <w:sz w:val="18"/>
                <w:szCs w:val="18"/>
                <w:color w:val="auto"/>
              </w:rPr>
              <w:t>Jennifer Porter</w:t>
            </w:r>
          </w:p>
        </w:tc>
        <w:tc>
          <w:tcPr>
            <w:tcW w:w="150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8/2/2022(5)</w:t>
            </w:r>
          </w:p>
        </w:tc>
        <w:tc>
          <w:tcPr>
            <w:tcW w:w="820" w:type="dxa"/>
            <w:vAlign w:val="bottom"/>
          </w:tcPr>
          <w:p>
            <w:pPr>
              <w:jc w:val="right"/>
              <w:spacing w:after="0" w:line="183" w:lineRule="exact"/>
              <w:rPr>
                <w:sz w:val="20"/>
                <w:szCs w:val="20"/>
                <w:color w:val="auto"/>
              </w:rPr>
            </w:pPr>
            <w:r>
              <w:rPr>
                <w:rFonts w:ascii="Arial" w:cs="Arial" w:eastAsia="Arial" w:hAnsi="Arial"/>
                <w:sz w:val="18"/>
                <w:szCs w:val="18"/>
                <w:color w:val="auto"/>
              </w:rPr>
              <w:t>4,166</w:t>
            </w:r>
          </w:p>
        </w:tc>
        <w:tc>
          <w:tcPr>
            <w:tcW w:w="28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8"/>
                <w:szCs w:val="18"/>
                <w:color w:val="auto"/>
              </w:rPr>
              <w:t>39,160</w:t>
            </w:r>
          </w:p>
        </w:tc>
        <w:tc>
          <w:tcPr>
            <w:tcW w:w="260" w:type="dxa"/>
            <w:vAlign w:val="bottom"/>
          </w:tcPr>
          <w:p>
            <w:pPr>
              <w:spacing w:after="0"/>
              <w:rPr>
                <w:sz w:val="15"/>
                <w:szCs w:val="15"/>
                <w:color w:val="auto"/>
              </w:rPr>
            </w:pPr>
          </w:p>
        </w:tc>
        <w:tc>
          <w:tcPr>
            <w:tcW w:w="1820" w:type="dxa"/>
            <w:vAlign w:val="bottom"/>
            <w:gridSpan w:val="2"/>
          </w:tcPr>
          <w:p>
            <w:pPr>
              <w:jc w:val="right"/>
              <w:ind w:right="740"/>
              <w:spacing w:after="0" w:line="183"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3/10/2023(6)</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21,057</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197,936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4,679</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43,983</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11/9/2023(8)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33,333</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313,330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4/12/2024(9)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13,613</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127,962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4/12/2024(10)</w:t>
            </w:r>
          </w:p>
        </w:tc>
        <w:tc>
          <w:tcPr>
            <w:tcW w:w="820" w:type="dxa"/>
            <w:vAlign w:val="bottom"/>
          </w:tcPr>
          <w:p>
            <w:pPr>
              <w:jc w:val="right"/>
              <w:spacing w:after="0"/>
              <w:rPr>
                <w:sz w:val="20"/>
                <w:szCs w:val="20"/>
                <w:color w:val="auto"/>
              </w:rPr>
            </w:pPr>
            <w:r>
              <w:rPr>
                <w:rFonts w:ascii="Arial" w:cs="Arial" w:eastAsia="Arial" w:hAnsi="Arial"/>
                <w:sz w:val="18"/>
                <w:szCs w:val="18"/>
                <w:color w:val="auto"/>
              </w:rPr>
              <w:t>4,538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42,657</w:t>
            </w:r>
          </w:p>
        </w:tc>
        <w:tc>
          <w:tcPr>
            <w:tcW w:w="26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Lisa Chi</w:t>
            </w: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7/1/2021(4)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15,816</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148,670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8/2/2022(5)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39,160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3/10/2023(6)</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21,057</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197,936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3/10/2023(7)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4,679</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43,983</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11/9/2023(8)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940,000</w:t>
            </w:r>
          </w:p>
        </w:tc>
        <w:tc>
          <w:tcPr>
            <w:tcW w:w="260" w:type="dxa"/>
            <w:vAlign w:val="bottom"/>
          </w:tcPr>
          <w:p>
            <w:pPr>
              <w:spacing w:after="0"/>
              <w:rPr>
                <w:sz w:val="17"/>
                <w:szCs w:val="17"/>
                <w:color w:val="auto"/>
              </w:rPr>
            </w:pPr>
          </w:p>
        </w:tc>
        <w:tc>
          <w:tcPr>
            <w:tcW w:w="18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4/12/2024(9)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13,613</w:t>
            </w:r>
          </w:p>
        </w:tc>
        <w:tc>
          <w:tcPr>
            <w:tcW w:w="280" w:type="dxa"/>
            <w:vAlign w:val="bottom"/>
          </w:tcPr>
          <w:p>
            <w:pPr>
              <w:spacing w:after="0"/>
              <w:rPr>
                <w:sz w:val="17"/>
                <w:szCs w:val="17"/>
                <w:color w:val="auto"/>
              </w:rPr>
            </w:pPr>
          </w:p>
        </w:tc>
        <w:tc>
          <w:tcPr>
            <w:tcW w:w="16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127,962</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4/12/2024(10)</w:t>
            </w:r>
          </w:p>
        </w:tc>
        <w:tc>
          <w:tcPr>
            <w:tcW w:w="820" w:type="dxa"/>
            <w:vAlign w:val="bottom"/>
          </w:tcPr>
          <w:p>
            <w:pPr>
              <w:jc w:val="right"/>
              <w:spacing w:after="0"/>
              <w:rPr>
                <w:sz w:val="20"/>
                <w:szCs w:val="20"/>
                <w:color w:val="auto"/>
              </w:rPr>
            </w:pPr>
            <w:r>
              <w:rPr>
                <w:rFonts w:ascii="Arial" w:cs="Arial" w:eastAsia="Arial" w:hAnsi="Arial"/>
                <w:sz w:val="18"/>
                <w:szCs w:val="18"/>
                <w:color w:val="auto"/>
              </w:rPr>
              <w:t>4,538</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42,657</w:t>
            </w:r>
          </w:p>
        </w:tc>
        <w:tc>
          <w:tcPr>
            <w:tcW w:w="260" w:type="dxa"/>
            <w:vAlign w:val="bottom"/>
          </w:tcPr>
          <w:p>
            <w:pPr>
              <w:spacing w:after="0"/>
              <w:rPr>
                <w:sz w:val="20"/>
                <w:szCs w:val="20"/>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-907415</wp:posOffset>
            </wp:positionV>
            <wp:extent cx="6995160" cy="908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908685"/>
                    </a:xfrm>
                    <a:prstGeom prst="rect">
                      <a:avLst/>
                    </a:prstGeom>
                    <a:noFill/>
                  </pic:spPr>
                </pic:pic>
              </a:graphicData>
            </a:graphic>
          </wp:anchor>
        </w:drawing>
      </w:r>
    </w:p>
    <w:p>
      <w:pPr>
        <w:ind w:left="880" w:right="80" w:hanging="764"/>
        <w:spacing w:after="0" w:line="23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equity awards reported in this table were granted under either the pre-IPO plan (in the case of awards granted pre-IPO) or the 2021 Equity Incentive Plan (in the case of awards granted since our IPO). Restricted shares were exchanged for incentive units granted under the pre-IPO plan at the time of the IPO and in connection with the reorganization as described herein.</w:t>
      </w:r>
    </w:p>
    <w:p>
      <w:pPr>
        <w:spacing w:after="0" w:line="2" w:lineRule="exact"/>
        <w:rPr>
          <w:rFonts w:ascii="Arial" w:cs="Arial" w:eastAsia="Arial" w:hAnsi="Arial"/>
          <w:sz w:val="18"/>
          <w:szCs w:val="18"/>
          <w:color w:val="auto"/>
        </w:rPr>
      </w:pPr>
    </w:p>
    <w:p>
      <w:pPr>
        <w:ind w:left="880" w:right="420" w:hanging="764"/>
        <w:spacing w:after="0" w:line="23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of stock by $9.40, the closing market price of our Class A common stock on December 31, 2024.</w:t>
      </w:r>
    </w:p>
    <w:p>
      <w:pPr>
        <w:spacing w:after="0" w:line="1" w:lineRule="exact"/>
        <w:rPr>
          <w:rFonts w:ascii="Arial" w:cs="Arial" w:eastAsia="Arial" w:hAnsi="Arial"/>
          <w:sz w:val="18"/>
          <w:szCs w:val="18"/>
          <w:color w:val="auto"/>
        </w:rPr>
      </w:pPr>
    </w:p>
    <w:p>
      <w:pPr>
        <w:ind w:left="880" w:right="160" w:hanging="764"/>
        <w:spacing w:after="0" w:line="23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24,314 restricted shares were to vest on May 19, 2025 and May 19, 2026, subject to Ms. Phillipson’s continued service through such vesting date.</w:t>
      </w:r>
    </w:p>
    <w:p>
      <w:pPr>
        <w:spacing w:after="0" w:line="1" w:lineRule="exact"/>
        <w:rPr>
          <w:rFonts w:ascii="Arial" w:cs="Arial" w:eastAsia="Arial" w:hAnsi="Arial"/>
          <w:sz w:val="18"/>
          <w:szCs w:val="18"/>
          <w:color w:val="auto"/>
        </w:rPr>
      </w:pPr>
    </w:p>
    <w:p>
      <w:pPr>
        <w:ind w:left="880" w:hanging="764"/>
        <w:spacing w:after="0" w:line="23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7,908 restricted shares vest on July 1, 2025 and July 1, 2026, subject to Ms. Chi’s continued service through such vesting date.</w:t>
      </w:r>
    </w:p>
    <w:p>
      <w:pPr>
        <w:ind w:left="880" w:right="500" w:hanging="764"/>
        <w:spacing w:after="0" w:line="23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RSUs vest in three equal annual installments beginning on August 2, 2023, subject to the recipient’s continued service through each vesting date.</w:t>
      </w:r>
    </w:p>
    <w:p>
      <w:pPr>
        <w:spacing w:after="0" w:line="1" w:lineRule="exact"/>
        <w:rPr>
          <w:rFonts w:ascii="Arial" w:cs="Arial" w:eastAsia="Arial" w:hAnsi="Arial"/>
          <w:sz w:val="18"/>
          <w:szCs w:val="18"/>
          <w:color w:val="auto"/>
        </w:rPr>
      </w:pPr>
    </w:p>
    <w:p>
      <w:pPr>
        <w:ind w:left="880" w:right="320" w:hanging="764"/>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PSUs vest as to 100% on December 31, 2025, contingent on the recipient’s continued service through such vesting date assuming a payout at target performance. The actual number of shares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880" w:right="480"/>
        <w:spacing w:after="0" w:line="245" w:lineRule="auto"/>
        <w:rPr>
          <w:sz w:val="20"/>
          <w:szCs w:val="20"/>
          <w:color w:val="auto"/>
        </w:rPr>
      </w:pPr>
      <w:r>
        <w:rPr>
          <w:rFonts w:ascii="Arial" w:cs="Arial" w:eastAsia="Arial" w:hAnsi="Arial"/>
          <w:sz w:val="18"/>
          <w:szCs w:val="18"/>
          <w:color w:val="auto"/>
        </w:rPr>
        <w:t>that may be earned ranges from 0% to 200% based upon the achievement of performance targets for the three-year period beginning January 1, 2023 and ending on December 31, 2025.</w:t>
      </w:r>
    </w:p>
    <w:p>
      <w:pPr>
        <w:ind w:left="880" w:right="460" w:hanging="764"/>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vest in three equal annual installments beginning on March 10, 2024, subject to the recipient’s continued service through each vesting date.</w:t>
      </w:r>
    </w:p>
    <w:p>
      <w:pPr>
        <w:spacing w:after="0" w:line="1" w:lineRule="exact"/>
        <w:rPr>
          <w:rFonts w:ascii="Arial" w:cs="Arial" w:eastAsia="Arial" w:hAnsi="Arial"/>
          <w:sz w:val="18"/>
          <w:szCs w:val="18"/>
          <w:color w:val="auto"/>
        </w:rPr>
      </w:pPr>
    </w:p>
    <w:p>
      <w:pPr>
        <w:ind w:left="880" w:right="220" w:hanging="764"/>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vest in three equal annual installments beginning on November 9, 2024, subject to the recipient’s continued service through each vesting date.</w:t>
      </w:r>
    </w:p>
    <w:p>
      <w:pPr>
        <w:spacing w:after="0" w:line="1" w:lineRule="exact"/>
        <w:rPr>
          <w:rFonts w:ascii="Arial" w:cs="Arial" w:eastAsia="Arial" w:hAnsi="Arial"/>
          <w:sz w:val="18"/>
          <w:szCs w:val="18"/>
          <w:color w:val="auto"/>
        </w:rPr>
      </w:pPr>
    </w:p>
    <w:p>
      <w:pPr>
        <w:ind w:left="880" w:right="100" w:hanging="764"/>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PSUs vest as to 100% on December 31, 2026, contingent on the recipient’s continued service through such vesting date assuming a payout at target performance. The actual number of shares that may be earned ranges from 0% to 200% based upon the achievement of performance targets for the three-year period beginning January 1, 2024 and ending on December 31, 2026.</w:t>
      </w:r>
    </w:p>
    <w:p>
      <w:pPr>
        <w:spacing w:after="0" w:line="2" w:lineRule="exact"/>
        <w:rPr>
          <w:rFonts w:ascii="Arial" w:cs="Arial" w:eastAsia="Arial" w:hAnsi="Arial"/>
          <w:sz w:val="18"/>
          <w:szCs w:val="18"/>
          <w:color w:val="auto"/>
        </w:rPr>
      </w:pPr>
    </w:p>
    <w:p>
      <w:pPr>
        <w:ind w:left="880" w:right="600" w:hanging="764"/>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RSUs vest in three equal annual installments beginning on April 12, 2025, subject to the recipient’s continued service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24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OPTION EXERCISES AND STOCK VESTED</w:t>
      </w:r>
    </w:p>
    <w:p>
      <w:pPr>
        <w:spacing w:after="0" w:line="280" w:lineRule="exact"/>
        <w:rPr>
          <w:sz w:val="20"/>
          <w:szCs w:val="20"/>
          <w:color w:val="auto"/>
        </w:rPr>
      </w:pPr>
    </w:p>
    <w:p>
      <w:pPr>
        <w:ind w:left="120" w:right="540" w:firstLine="881"/>
        <w:spacing w:after="0" w:line="257" w:lineRule="auto"/>
        <w:rPr>
          <w:sz w:val="20"/>
          <w:szCs w:val="20"/>
          <w:color w:val="auto"/>
        </w:rPr>
      </w:pPr>
      <w:r>
        <w:rPr>
          <w:rFonts w:ascii="Arial" w:cs="Arial" w:eastAsia="Arial" w:hAnsi="Arial"/>
          <w:sz w:val="20"/>
          <w:szCs w:val="20"/>
          <w:color w:val="auto"/>
        </w:rPr>
        <w:t>The following table provides information for each of our named executive officers regarding equity awards that vested during fiscal year 2024.</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2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Number of Shares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Value Realized on</w:t>
            </w:r>
          </w:p>
        </w:tc>
      </w:tr>
      <w:tr>
        <w:trPr>
          <w:trHeight w:val="162"/>
        </w:trPr>
        <w:tc>
          <w:tcPr>
            <w:tcW w:w="7560" w:type="dxa"/>
            <w:vAlign w:val="bottom"/>
          </w:tcPr>
          <w:p>
            <w:pPr>
              <w:spacing w:after="0"/>
              <w:rPr>
                <w:sz w:val="14"/>
                <w:szCs w:val="14"/>
                <w:color w:val="auto"/>
              </w:rPr>
            </w:pPr>
          </w:p>
        </w:tc>
        <w:tc>
          <w:tcPr>
            <w:tcW w:w="2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Acquired on Vesting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Vesting(1)</w:t>
            </w:r>
          </w:p>
        </w:tc>
      </w:tr>
      <w:tr>
        <w:trPr>
          <w:trHeight w:val="171"/>
        </w:trPr>
        <w:tc>
          <w:tcPr>
            <w:tcW w:w="7560" w:type="dxa"/>
            <w:vAlign w:val="bottom"/>
            <w:tcBorders>
              <w:bottom w:val="single" w:sz="8" w:color="E5E5E5"/>
            </w:tcBorders>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E5E5E5"/>
            </w:tcBorders>
          </w:tcPr>
          <w:p>
            <w:pPr>
              <w:spacing w:after="0"/>
              <w:rPr>
                <w:sz w:val="14"/>
                <w:szCs w:val="14"/>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r>
      <w:tr>
        <w:trPr>
          <w:trHeight w:val="183"/>
        </w:trPr>
        <w:tc>
          <w:tcPr>
            <w:tcW w:w="7560" w:type="dxa"/>
            <w:vAlign w:val="bottom"/>
            <w:shd w:val="clear" w:color="auto" w:fill="E5E5E5"/>
          </w:tcPr>
          <w:p>
            <w:pPr>
              <w:spacing w:after="0" w:line="183" w:lineRule="exact"/>
              <w:rPr>
                <w:sz w:val="20"/>
                <w:szCs w:val="20"/>
                <w:color w:val="auto"/>
              </w:rPr>
            </w:pPr>
            <w:r>
              <w:rPr>
                <w:rFonts w:ascii="Arial" w:cs="Arial" w:eastAsia="Arial" w:hAnsi="Arial"/>
                <w:sz w:val="16"/>
                <w:szCs w:val="16"/>
                <w:color w:val="auto"/>
              </w:rPr>
              <w:t>John Reed</w:t>
            </w:r>
          </w:p>
        </w:tc>
        <w:tc>
          <w:tcPr>
            <w:tcW w:w="1400" w:type="dxa"/>
            <w:vAlign w:val="bottom"/>
            <w:shd w:val="clear" w:color="auto" w:fill="E5E5E5"/>
          </w:tcPr>
          <w:p>
            <w:pPr>
              <w:jc w:val="right"/>
              <w:ind w:right="182"/>
              <w:spacing w:after="0" w:line="183" w:lineRule="exact"/>
              <w:rPr>
                <w:sz w:val="20"/>
                <w:szCs w:val="20"/>
                <w:color w:val="auto"/>
              </w:rPr>
            </w:pPr>
            <w:r>
              <w:rPr>
                <w:rFonts w:ascii="Arial" w:cs="Arial" w:eastAsia="Arial" w:hAnsi="Arial"/>
                <w:sz w:val="16"/>
                <w:szCs w:val="16"/>
                <w:color w:val="auto"/>
              </w:rPr>
              <w:t>— </w:t>
            </w:r>
          </w:p>
        </w:tc>
        <w:tc>
          <w:tcPr>
            <w:tcW w:w="820" w:type="dxa"/>
            <w:vAlign w:val="bottom"/>
            <w:shd w:val="clear" w:color="auto" w:fill="E5E5E5"/>
          </w:tcPr>
          <w:p>
            <w:pPr>
              <w:spacing w:after="0"/>
              <w:rPr>
                <w:sz w:val="15"/>
                <w:szCs w:val="15"/>
                <w:color w:val="auto"/>
              </w:rPr>
            </w:pPr>
          </w:p>
        </w:tc>
        <w:tc>
          <w:tcPr>
            <w:tcW w:w="12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— </w:t>
            </w:r>
          </w:p>
        </w:tc>
      </w:tr>
      <w:tr>
        <w:trPr>
          <w:trHeight w:val="189"/>
        </w:trPr>
        <w:tc>
          <w:tcPr>
            <w:tcW w:w="7560" w:type="dxa"/>
            <w:vAlign w:val="bottom"/>
          </w:tcPr>
          <w:p>
            <w:pPr>
              <w:spacing w:after="0"/>
              <w:rPr>
                <w:sz w:val="20"/>
                <w:szCs w:val="20"/>
                <w:color w:val="auto"/>
              </w:rPr>
            </w:pPr>
            <w:r>
              <w:rPr>
                <w:rFonts w:ascii="Arial" w:cs="Arial" w:eastAsia="Arial" w:hAnsi="Arial"/>
                <w:sz w:val="16"/>
                <w:szCs w:val="16"/>
                <w:color w:val="auto"/>
              </w:rPr>
              <w:t>Dawn Phillipson</w:t>
            </w:r>
          </w:p>
        </w:tc>
        <w:tc>
          <w:tcPr>
            <w:tcW w:w="2220" w:type="dxa"/>
            <w:vAlign w:val="bottom"/>
            <w:gridSpan w:val="2"/>
          </w:tcPr>
          <w:p>
            <w:pPr>
              <w:jc w:val="right"/>
              <w:ind w:right="1080"/>
              <w:spacing w:after="0"/>
              <w:rPr>
                <w:sz w:val="20"/>
                <w:szCs w:val="20"/>
                <w:color w:val="auto"/>
              </w:rPr>
            </w:pPr>
            <w:r>
              <w:rPr>
                <w:rFonts w:ascii="Arial" w:cs="Arial" w:eastAsia="Arial" w:hAnsi="Arial"/>
                <w:sz w:val="16"/>
                <w:szCs w:val="16"/>
                <w:color w:val="auto"/>
              </w:rPr>
              <w:t>110,317 </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1,290,433</w:t>
            </w:r>
          </w:p>
        </w:tc>
      </w:tr>
      <w:tr>
        <w:trPr>
          <w:trHeight w:val="189"/>
        </w:trPr>
        <w:tc>
          <w:tcPr>
            <w:tcW w:w="7560" w:type="dxa"/>
            <w:vAlign w:val="bottom"/>
            <w:shd w:val="clear" w:color="auto" w:fill="E5E5E5"/>
          </w:tcPr>
          <w:p>
            <w:pPr>
              <w:spacing w:after="0"/>
              <w:rPr>
                <w:sz w:val="20"/>
                <w:szCs w:val="20"/>
                <w:color w:val="auto"/>
              </w:rPr>
            </w:pPr>
            <w:r>
              <w:rPr>
                <w:rFonts w:ascii="Arial" w:cs="Arial" w:eastAsia="Arial" w:hAnsi="Arial"/>
                <w:sz w:val="16"/>
                <w:szCs w:val="16"/>
                <w:color w:val="auto"/>
              </w:rPr>
              <w:t>Kathy Veltri</w:t>
            </w:r>
          </w:p>
        </w:tc>
        <w:tc>
          <w:tcPr>
            <w:tcW w:w="2220" w:type="dxa"/>
            <w:vAlign w:val="bottom"/>
            <w:gridSpan w:val="2"/>
            <w:shd w:val="clear" w:color="auto" w:fill="E5E5E5"/>
          </w:tcPr>
          <w:p>
            <w:pPr>
              <w:jc w:val="right"/>
              <w:ind w:right="1080"/>
              <w:spacing w:after="0"/>
              <w:rPr>
                <w:sz w:val="20"/>
                <w:szCs w:val="20"/>
                <w:color w:val="auto"/>
              </w:rPr>
            </w:pPr>
            <w:r>
              <w:rPr>
                <w:rFonts w:ascii="Arial" w:cs="Arial" w:eastAsia="Arial" w:hAnsi="Arial"/>
                <w:sz w:val="16"/>
                <w:szCs w:val="16"/>
                <w:color w:val="auto"/>
              </w:rPr>
              <w:t>64,526 </w:t>
            </w:r>
          </w:p>
        </w:tc>
        <w:tc>
          <w:tcPr>
            <w:tcW w:w="124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641,833</w:t>
            </w:r>
          </w:p>
        </w:tc>
      </w:tr>
      <w:tr>
        <w:trPr>
          <w:trHeight w:val="175"/>
        </w:trPr>
        <w:tc>
          <w:tcPr>
            <w:tcW w:w="7560" w:type="dxa"/>
            <w:vAlign w:val="bottom"/>
          </w:tcPr>
          <w:p>
            <w:pPr>
              <w:spacing w:after="0" w:line="175" w:lineRule="exact"/>
              <w:rPr>
                <w:sz w:val="20"/>
                <w:szCs w:val="20"/>
                <w:color w:val="auto"/>
              </w:rPr>
            </w:pPr>
            <w:r>
              <w:rPr>
                <w:rFonts w:ascii="Arial" w:cs="Arial" w:eastAsia="Arial" w:hAnsi="Arial"/>
                <w:sz w:val="16"/>
                <w:szCs w:val="16"/>
                <w:color w:val="auto"/>
              </w:rPr>
              <w:t>Jennifer Porter</w:t>
            </w:r>
          </w:p>
        </w:tc>
        <w:tc>
          <w:tcPr>
            <w:tcW w:w="2220" w:type="dxa"/>
            <w:vAlign w:val="bottom"/>
            <w:gridSpan w:val="2"/>
          </w:tcPr>
          <w:p>
            <w:pPr>
              <w:jc w:val="right"/>
              <w:ind w:right="1080"/>
              <w:spacing w:after="0" w:line="175" w:lineRule="exact"/>
              <w:rPr>
                <w:sz w:val="20"/>
                <w:szCs w:val="20"/>
                <w:color w:val="auto"/>
              </w:rPr>
            </w:pPr>
            <w:r>
              <w:rPr>
                <w:rFonts w:ascii="Arial" w:cs="Arial" w:eastAsia="Arial" w:hAnsi="Arial"/>
                <w:sz w:val="16"/>
                <w:szCs w:val="16"/>
                <w:color w:val="auto"/>
              </w:rPr>
              <w:t>133,732 </w:t>
            </w:r>
          </w:p>
        </w:tc>
        <w:tc>
          <w:tcPr>
            <w:tcW w:w="1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1,493,758</w:t>
            </w:r>
          </w:p>
        </w:tc>
      </w:tr>
      <w:tr>
        <w:trPr>
          <w:trHeight w:val="202"/>
        </w:trPr>
        <w:tc>
          <w:tcPr>
            <w:tcW w:w="7560" w:type="dxa"/>
            <w:vAlign w:val="bottom"/>
          </w:tcPr>
          <w:p>
            <w:pPr>
              <w:spacing w:after="0"/>
              <w:rPr>
                <w:sz w:val="20"/>
                <w:szCs w:val="20"/>
                <w:color w:val="auto"/>
              </w:rPr>
            </w:pPr>
            <w:r>
              <w:rPr>
                <w:rFonts w:ascii="Arial" w:cs="Arial" w:eastAsia="Arial" w:hAnsi="Arial"/>
                <w:sz w:val="16"/>
                <w:szCs w:val="16"/>
                <w:color w:val="auto"/>
              </w:rPr>
              <w:t>Lisa Chi</w:t>
            </w:r>
          </w:p>
        </w:tc>
        <w:tc>
          <w:tcPr>
            <w:tcW w:w="2220" w:type="dxa"/>
            <w:vAlign w:val="bottom"/>
            <w:gridSpan w:val="2"/>
          </w:tcPr>
          <w:p>
            <w:pPr>
              <w:jc w:val="right"/>
              <w:ind w:right="1080"/>
              <w:spacing w:after="0"/>
              <w:rPr>
                <w:sz w:val="20"/>
                <w:szCs w:val="20"/>
                <w:color w:val="auto"/>
              </w:rPr>
            </w:pPr>
            <w:r>
              <w:rPr>
                <w:rFonts w:ascii="Arial" w:cs="Arial" w:eastAsia="Arial" w:hAnsi="Arial"/>
                <w:sz w:val="16"/>
                <w:szCs w:val="16"/>
                <w:color w:val="auto"/>
              </w:rPr>
              <w:t>105,767 </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1,089,601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540" w:right="220" w:hanging="424"/>
        <w:spacing w:after="0" w:line="242"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of vested restricted stock and RSUs reflects the total pre-tax value realized based on the closing price of the Company’s Class A common stock on the vesting date. The value of vested PSUs is based on the closing price of the Company’s Class A common stock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248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6281C"/>
        </w:rPr>
        <w:t>NAMED EXECUTIVE OFFICER EMPLOYMENT AGREEMENTS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John Reed</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We do not have an employment agreement with Mr. Reed.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Lisa Chi</w:t>
      </w:r>
    </w:p>
    <w:p>
      <w:pPr>
        <w:spacing w:after="0" w:line="202" w:lineRule="exact"/>
        <w:rPr>
          <w:sz w:val="20"/>
          <w:szCs w:val="20"/>
          <w:color w:val="auto"/>
        </w:rPr>
      </w:pPr>
    </w:p>
    <w:p>
      <w:pPr>
        <w:ind w:left="120" w:right="20" w:firstLine="881"/>
        <w:spacing w:after="0" w:line="233" w:lineRule="auto"/>
        <w:rPr>
          <w:sz w:val="20"/>
          <w:szCs w:val="20"/>
          <w:color w:val="auto"/>
        </w:rPr>
      </w:pPr>
      <w:r>
        <w:rPr>
          <w:rFonts w:ascii="Arial" w:cs="Arial" w:eastAsia="Arial" w:hAnsi="Arial"/>
          <w:sz w:val="20"/>
          <w:szCs w:val="20"/>
          <w:color w:val="auto"/>
        </w:rPr>
        <w:t>On June 17, 2021, we entered into an agreement with Ms. Chi, or the Chief Merchandise Officer Agreement, providing for her at-will employment with us and for severance payments and benefits upon certain qualifying terminations of Ms. Chi’s employment. Pursuant to the Chief Merchandise Officer Agreement, if Ms. Chi’s employment is terminated by us without Cause, or by Ms. Chi with Good Reason, then, subject to her timely signing and non-revocation of a release of claims, she will be entitled to: (i) a lump sum payment equal to 50% of the greater of (a) $390,000 or (b) Ms. Chi’s highest base salary rate prior to such termination or resignation; and (ii) a lump sum amount equal to six (6) months of COBRA.</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881"/>
        <w:spacing w:after="0" w:line="228" w:lineRule="auto"/>
        <w:rPr>
          <w:sz w:val="20"/>
          <w:szCs w:val="20"/>
          <w:color w:val="auto"/>
        </w:rPr>
      </w:pPr>
      <w:r>
        <w:rPr>
          <w:rFonts w:ascii="Arial" w:cs="Arial" w:eastAsia="Arial" w:hAnsi="Arial"/>
          <w:sz w:val="20"/>
          <w:szCs w:val="20"/>
          <w:color w:val="auto"/>
        </w:rPr>
        <w:t>For purposes of the Chief Merchandise Officer Agreement, “Cause” means (i) an intentional act of fraud, embezzlement, theft or any other material violation of law that occurs during or in the course of Ms. Chi’s employment with the Company; (ii) intentional engagement in any competitive activity which would constitute a breach of her duty of loyalty to the Company; or (iii) the willful and continued failure to substantially perform her duties for the Company (other than as a result of incapacity due to physical or mental illness). For purposes of this paragraph, an act, or failure to act, shall not be deemed willful or intentional, as those terms are used herein, unless it is done, or omitted to be done, by Ms. Chi in bad faith or without a reasonable belief that her action or omission was in the best interest of the Company. Failure to meet performance standards or objectives, by itself, does not constitute “Cause.” “Good Reason” means the occurrence of one or more of the following events arising without her express written consent, but only if Ms. Chi’s resignation follows notification to the Company in writing within thirty (30) days following the Company’s awareness of the occurrence of the event and the event remains uncured for at least fifteen (15) days after such notice: (i) a reduction in her base salary and/or Target Bonus potential; (ii) a diminution in her employee benefits from those provided to other executives at a similar level, as such benefits may be modified from time to time; (iii) a material diminution in her authority, duties or responsibilities; or (iv) the Company requires her to be based anywhere other than within fifty (50) miles of Boston Heights, Ohio.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Dawn Phillipson</w:t>
      </w:r>
    </w:p>
    <w:p>
      <w:pPr>
        <w:spacing w:after="0" w:line="202" w:lineRule="exact"/>
        <w:rPr>
          <w:sz w:val="20"/>
          <w:szCs w:val="20"/>
          <w:color w:val="auto"/>
        </w:rPr>
      </w:pPr>
    </w:p>
    <w:p>
      <w:pPr>
        <w:ind w:left="120" w:right="580" w:firstLine="881"/>
        <w:spacing w:after="0" w:line="241" w:lineRule="auto"/>
        <w:rPr>
          <w:sz w:val="20"/>
          <w:szCs w:val="20"/>
          <w:color w:val="auto"/>
        </w:rPr>
      </w:pPr>
      <w:r>
        <w:rPr>
          <w:rFonts w:ascii="Arial" w:cs="Arial" w:eastAsia="Arial" w:hAnsi="Arial"/>
          <w:sz w:val="20"/>
          <w:szCs w:val="20"/>
          <w:color w:val="auto"/>
        </w:rPr>
        <w:t>On February 8, 2019, we entered into an agreement with Ms. Phillipson, or the CFO Agreement, providing for her at-will employment with us and for severance payments and benefits upon certain qualifying terminations of Ms. Phillipson’s employment.</w:t>
      </w:r>
    </w:p>
    <w:p>
      <w:pPr>
        <w:spacing w:after="0" w:line="171" w:lineRule="exact"/>
        <w:rPr>
          <w:sz w:val="20"/>
          <w:szCs w:val="20"/>
          <w:color w:val="auto"/>
        </w:rPr>
      </w:pPr>
    </w:p>
    <w:p>
      <w:pPr>
        <w:ind w:left="120" w:right="40" w:firstLine="881"/>
        <w:spacing w:after="0" w:line="237" w:lineRule="auto"/>
        <w:rPr>
          <w:sz w:val="20"/>
          <w:szCs w:val="20"/>
          <w:color w:val="auto"/>
        </w:rPr>
      </w:pPr>
      <w:r>
        <w:rPr>
          <w:rFonts w:ascii="Arial" w:cs="Arial" w:eastAsia="Arial" w:hAnsi="Arial"/>
          <w:sz w:val="20"/>
          <w:szCs w:val="20"/>
          <w:color w:val="auto"/>
        </w:rPr>
        <w:t>Pursuant to the CFO Agreement, if Ms. Phillipson’s employment is terminated by us without Cause, or by Ms. Phillipson with Good Reason, then, subject to her timely signing and non-revocation of a release of claims, she will be entitled to: (i) a lump sum payment equal to 50% of the greater of (a) $340,000 or (b) Ms. Phillipson’s highest base salary rate prior to such termination or resignation; and (ii) a lump sum amount equal to six (6) months of COBRA.</w:t>
      </w:r>
    </w:p>
    <w:p>
      <w:pPr>
        <w:spacing w:after="0" w:line="172" w:lineRule="exact"/>
        <w:rPr>
          <w:sz w:val="20"/>
          <w:szCs w:val="20"/>
          <w:color w:val="auto"/>
        </w:rPr>
      </w:pPr>
    </w:p>
    <w:p>
      <w:pPr>
        <w:ind w:left="120" w:right="840" w:firstLine="881"/>
        <w:spacing w:after="0" w:line="257" w:lineRule="auto"/>
        <w:rPr>
          <w:sz w:val="20"/>
          <w:szCs w:val="20"/>
          <w:color w:val="auto"/>
        </w:rPr>
      </w:pPr>
      <w:r>
        <w:rPr>
          <w:rFonts w:ascii="Arial" w:cs="Arial" w:eastAsia="Arial" w:hAnsi="Arial"/>
          <w:sz w:val="20"/>
          <w:szCs w:val="20"/>
          <w:color w:val="auto"/>
        </w:rPr>
        <w:t>For purposes of the CFO Agreement, “Cause” and “Good Reason” have the same meaning as in the Chief Merchandise Officer Agreement.</w:t>
      </w:r>
    </w:p>
    <w:p>
      <w:pPr>
        <w:spacing w:after="0" w:line="155" w:lineRule="exact"/>
        <w:rPr>
          <w:sz w:val="20"/>
          <w:szCs w:val="20"/>
          <w:color w:val="auto"/>
        </w:rPr>
      </w:pPr>
    </w:p>
    <w:p>
      <w:pPr>
        <w:ind w:left="120" w:right="640" w:firstLine="881"/>
        <w:spacing w:after="0" w:line="257" w:lineRule="auto"/>
        <w:rPr>
          <w:sz w:val="20"/>
          <w:szCs w:val="20"/>
          <w:color w:val="auto"/>
        </w:rPr>
      </w:pPr>
      <w:r>
        <w:rPr>
          <w:rFonts w:ascii="Arial" w:cs="Arial" w:eastAsia="Arial" w:hAnsi="Arial"/>
          <w:sz w:val="20"/>
          <w:szCs w:val="20"/>
          <w:color w:val="auto"/>
        </w:rPr>
        <w:t>Ms. Phillipson resigned as our CFO effective January 15, 2025 and did not receive any severance benefits in connection with her resignation.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Kathy Veltri</w:t>
      </w:r>
    </w:p>
    <w:p>
      <w:pPr>
        <w:spacing w:after="0" w:line="202" w:lineRule="exact"/>
        <w:rPr>
          <w:sz w:val="20"/>
          <w:szCs w:val="20"/>
          <w:color w:val="auto"/>
        </w:rPr>
      </w:pPr>
    </w:p>
    <w:p>
      <w:pPr>
        <w:ind w:left="120" w:firstLine="881"/>
        <w:spacing w:after="0" w:line="284" w:lineRule="auto"/>
        <w:rPr>
          <w:sz w:val="20"/>
          <w:szCs w:val="20"/>
          <w:color w:val="auto"/>
        </w:rPr>
      </w:pPr>
      <w:r>
        <w:rPr>
          <w:rFonts w:ascii="Arial" w:cs="Arial" w:eastAsia="Arial" w:hAnsi="Arial"/>
          <w:sz w:val="19"/>
          <w:szCs w:val="19"/>
          <w:color w:val="auto"/>
        </w:rPr>
        <w:t>On March 4, 2019, we entered into an agreement with Ms. Veltri, or the CRO Agreement, providing for her at will employment with us and for severance payments and benefits upon certain qualifying terminations of Ms. Veltri’s employment.</w:t>
      </w:r>
    </w:p>
    <w:p>
      <w:pPr>
        <w:spacing w:after="0" w:line="131" w:lineRule="exact"/>
        <w:rPr>
          <w:sz w:val="20"/>
          <w:szCs w:val="20"/>
          <w:color w:val="auto"/>
        </w:rPr>
      </w:pPr>
    </w:p>
    <w:p>
      <w:pPr>
        <w:ind w:left="120" w:right="80" w:firstLine="881"/>
        <w:spacing w:after="0" w:line="237" w:lineRule="auto"/>
        <w:rPr>
          <w:sz w:val="20"/>
          <w:szCs w:val="20"/>
          <w:color w:val="auto"/>
        </w:rPr>
      </w:pPr>
      <w:r>
        <w:rPr>
          <w:rFonts w:ascii="Arial" w:cs="Arial" w:eastAsia="Arial" w:hAnsi="Arial"/>
          <w:sz w:val="20"/>
          <w:szCs w:val="20"/>
          <w:color w:val="auto"/>
        </w:rPr>
        <w:t>Pursuant to the CRO Agreement, if Ms. Veltri’s employment is terminated by us without Cause, or by Ms. Veltri with Good Reason, then, subject to her timely signing and non-revocation of a release of claims, she will be entitled to: (i) a lump sum payment equal to 50% of the greater of (a) $340,000 or (b) Ms. Veltri’s highest base salary rate prior to such termination or resignation; and (ii) a lump sum amount equal to six (6) months of COBRA.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20" w:firstLine="881"/>
        <w:spacing w:after="0" w:line="257" w:lineRule="auto"/>
        <w:rPr>
          <w:sz w:val="20"/>
          <w:szCs w:val="20"/>
          <w:color w:val="auto"/>
        </w:rPr>
      </w:pPr>
      <w:r>
        <w:rPr>
          <w:rFonts w:ascii="Arial" w:cs="Arial" w:eastAsia="Arial" w:hAnsi="Arial"/>
          <w:sz w:val="20"/>
          <w:szCs w:val="20"/>
          <w:color w:val="auto"/>
        </w:rPr>
        <w:t>For purposes of the CRO Agreement, “Cause” and “Good Reason” have the same meaning as in the Chief Merchandise Officer Agreement.</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Jennifer Porter</w:t>
      </w:r>
    </w:p>
    <w:p>
      <w:pPr>
        <w:spacing w:after="0" w:line="202" w:lineRule="exact"/>
        <w:rPr>
          <w:sz w:val="20"/>
          <w:szCs w:val="20"/>
          <w:color w:val="auto"/>
        </w:rPr>
      </w:pPr>
    </w:p>
    <w:p>
      <w:pPr>
        <w:ind w:left="120" w:right="160" w:firstLine="881"/>
        <w:spacing w:after="0" w:line="241" w:lineRule="auto"/>
        <w:rPr>
          <w:sz w:val="20"/>
          <w:szCs w:val="20"/>
          <w:color w:val="auto"/>
        </w:rPr>
      </w:pPr>
      <w:r>
        <w:rPr>
          <w:rFonts w:ascii="Arial" w:cs="Arial" w:eastAsia="Arial" w:hAnsi="Arial"/>
          <w:sz w:val="20"/>
          <w:szCs w:val="20"/>
          <w:color w:val="auto"/>
        </w:rPr>
        <w:t>On July 22, 2019, we entered into an agreement with Ms. Porter, or the Chief Marketing Officer Agreement, providing for her at will employment with us and for severance payments and benefits upon certain qualifying terminations of Ms. Porter’s employment.</w:t>
      </w:r>
    </w:p>
    <w:p>
      <w:pPr>
        <w:spacing w:after="0" w:line="171" w:lineRule="exact"/>
        <w:rPr>
          <w:sz w:val="20"/>
          <w:szCs w:val="20"/>
          <w:color w:val="auto"/>
        </w:rPr>
      </w:pPr>
    </w:p>
    <w:p>
      <w:pPr>
        <w:ind w:left="120" w:right="160" w:firstLine="881"/>
        <w:spacing w:after="0" w:line="237" w:lineRule="auto"/>
        <w:rPr>
          <w:sz w:val="20"/>
          <w:szCs w:val="20"/>
          <w:color w:val="auto"/>
        </w:rPr>
      </w:pPr>
      <w:r>
        <w:rPr>
          <w:rFonts w:ascii="Arial" w:cs="Arial" w:eastAsia="Arial" w:hAnsi="Arial"/>
          <w:sz w:val="20"/>
          <w:szCs w:val="20"/>
          <w:color w:val="auto"/>
        </w:rPr>
        <w:t>Pursuant to the Chief Marketing Officer Agreement, if Ms. Porter’s employment is terminated by us without Cause, or by Ms. Porter with Good Reason, then, subject to her timely signing and non-revocation of a release of claims, she will be entitled to: (i) a lump sum payment equal to 50% of the greater of (a) $300,000 or (b) Ms. Porter’s highest base salary rate prior to such termination or resignation; and (ii) a lump sum amount equal to six (6) months of COBRA.</w:t>
      </w:r>
    </w:p>
    <w:p>
      <w:pPr>
        <w:spacing w:after="0" w:line="172"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20"/>
          <w:szCs w:val="20"/>
          <w:color w:val="auto"/>
        </w:rPr>
        <w:t>For purposes of the Chief Marketing Officer Agreement, “Cause” and “Good Reason” have the same meaning as in the Chief Merchandise Officer Agreement.</w:t>
      </w:r>
    </w:p>
    <w:p>
      <w:pPr>
        <w:spacing w:after="0" w:line="200" w:lineRule="exact"/>
        <w:rPr>
          <w:sz w:val="20"/>
          <w:szCs w:val="20"/>
          <w:color w:val="auto"/>
        </w:rPr>
      </w:pPr>
    </w:p>
    <w:p>
      <w:pPr>
        <w:spacing w:after="0" w:line="232"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16281C"/>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Potential Payments upon Termination or Change in Control at December 31, 2024</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Voluntary</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Cause (Or</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Voluntary</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(or</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Termination</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With Good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040" w:type="dxa"/>
            <w:vAlign w:val="bottom"/>
            <w:vMerge w:val="restart"/>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Retirement)</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Cause</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Reason)</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Death</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Disability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Control(1)</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20" w:type="dxa"/>
            <w:vAlign w:val="bottom"/>
          </w:tcPr>
          <w:p>
            <w:pPr>
              <w:jc w:val="right"/>
              <w:ind w:right="24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tcPr>
          <w:p>
            <w:pPr>
              <w:jc w:val="right"/>
              <w:ind w:right="26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tcPr>
          <w:p>
            <w:pPr>
              <w:jc w:val="right"/>
              <w:ind w:right="260"/>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4440" w:type="dxa"/>
            <w:vAlign w:val="bottom"/>
            <w:tcBorders>
              <w:top w:val="single" w:sz="8" w:color="E5E5E5"/>
            </w:tcBorders>
            <w:gridSpan w:val="2"/>
            <w:shd w:val="clear" w:color="auto" w:fill="E5E5E5"/>
          </w:tcPr>
          <w:p>
            <w:pPr>
              <w:spacing w:after="0" w:line="176" w:lineRule="exact"/>
              <w:rPr>
                <w:sz w:val="20"/>
                <w:szCs w:val="20"/>
                <w:color w:val="auto"/>
              </w:rPr>
            </w:pPr>
            <w:r>
              <w:rPr>
                <w:rFonts w:ascii="Arial" w:cs="Arial" w:eastAsia="Arial" w:hAnsi="Arial"/>
                <w:sz w:val="16"/>
                <w:szCs w:val="16"/>
                <w:b w:val="1"/>
                <w:bCs w:val="1"/>
                <w:color w:val="auto"/>
              </w:rPr>
              <w:t>John Reed</w:t>
            </w:r>
          </w:p>
        </w:tc>
        <w:tc>
          <w:tcPr>
            <w:tcW w:w="820" w:type="dxa"/>
            <w:vAlign w:val="bottom"/>
            <w:tcBorders>
              <w:top w:val="single" w:sz="8" w:color="auto"/>
            </w:tcBorders>
            <w:shd w:val="clear" w:color="auto" w:fill="E5E5E5"/>
          </w:tcPr>
          <w:p>
            <w:pPr>
              <w:ind w:left="420"/>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E5E5E5"/>
            </w:tcBorders>
            <w:shd w:val="clear" w:color="auto" w:fill="E5E5E5"/>
          </w:tcPr>
          <w:p>
            <w:pPr>
              <w:spacing w:after="0"/>
              <w:rPr>
                <w:sz w:val="15"/>
                <w:szCs w:val="15"/>
                <w:color w:val="auto"/>
              </w:rPr>
            </w:pPr>
          </w:p>
        </w:tc>
        <w:tc>
          <w:tcPr>
            <w:tcW w:w="820" w:type="dxa"/>
            <w:vAlign w:val="bottom"/>
            <w:tcBorders>
              <w:top w:val="single" w:sz="8" w:color="auto"/>
            </w:tcBorders>
            <w:shd w:val="clear" w:color="auto" w:fill="E5E5E5"/>
          </w:tcPr>
          <w:p>
            <w:pPr>
              <w:ind w:left="420"/>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E5E5E5"/>
            </w:tcBorders>
            <w:shd w:val="clear" w:color="auto" w:fill="E5E5E5"/>
          </w:tcPr>
          <w:p>
            <w:pPr>
              <w:spacing w:after="0"/>
              <w:rPr>
                <w:sz w:val="15"/>
                <w:szCs w:val="15"/>
                <w:color w:val="auto"/>
              </w:rPr>
            </w:pPr>
          </w:p>
        </w:tc>
        <w:tc>
          <w:tcPr>
            <w:tcW w:w="820" w:type="dxa"/>
            <w:vAlign w:val="bottom"/>
            <w:tcBorders>
              <w:top w:val="single" w:sz="8" w:color="auto"/>
            </w:tcBorders>
            <w:shd w:val="clear" w:color="auto" w:fill="E5E5E5"/>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E5E5E5"/>
            </w:tcBorders>
            <w:shd w:val="clear" w:color="auto" w:fill="E5E5E5"/>
          </w:tcPr>
          <w:p>
            <w:pPr>
              <w:spacing w:after="0"/>
              <w:rPr>
                <w:sz w:val="15"/>
                <w:szCs w:val="15"/>
                <w:color w:val="auto"/>
              </w:rPr>
            </w:pPr>
          </w:p>
        </w:tc>
        <w:tc>
          <w:tcPr>
            <w:tcW w:w="820" w:type="dxa"/>
            <w:vAlign w:val="bottom"/>
            <w:tcBorders>
              <w:top w:val="single" w:sz="8" w:color="auto"/>
            </w:tcBorders>
            <w:shd w:val="clear" w:color="auto" w:fill="E5E5E5"/>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E5E5E5"/>
            </w:tcBorders>
            <w:shd w:val="clear" w:color="auto" w:fill="E5E5E5"/>
          </w:tcPr>
          <w:p>
            <w:pPr>
              <w:spacing w:after="0"/>
              <w:rPr>
                <w:sz w:val="15"/>
                <w:szCs w:val="15"/>
                <w:color w:val="auto"/>
              </w:rPr>
            </w:pPr>
          </w:p>
        </w:tc>
        <w:tc>
          <w:tcPr>
            <w:tcW w:w="840" w:type="dxa"/>
            <w:vAlign w:val="bottom"/>
            <w:tcBorders>
              <w:top w:val="single" w:sz="8" w:color="auto"/>
            </w:tcBorders>
            <w:shd w:val="clear" w:color="auto" w:fill="E5E5E5"/>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E5E5E5"/>
            </w:tcBorders>
            <w:shd w:val="clear" w:color="auto" w:fill="E5E5E5"/>
          </w:tcPr>
          <w:p>
            <w:pPr>
              <w:spacing w:after="0"/>
              <w:rPr>
                <w:sz w:val="15"/>
                <w:szCs w:val="15"/>
                <w:color w:val="auto"/>
              </w:rPr>
            </w:pPr>
          </w:p>
        </w:tc>
        <w:tc>
          <w:tcPr>
            <w:tcW w:w="840" w:type="dxa"/>
            <w:vAlign w:val="bottom"/>
            <w:tcBorders>
              <w:top w:val="single" w:sz="8" w:color="auto"/>
            </w:tcBorders>
            <w:shd w:val="clear" w:color="auto" w:fill="E5E5E5"/>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Dawn Phillipson</w:t>
            </w:r>
            <w:r>
              <w:rPr>
                <w:rFonts w:ascii="Arial" w:cs="Arial" w:eastAsia="Arial" w:hAnsi="Arial"/>
                <w:sz w:val="16"/>
                <w:szCs w:val="16"/>
                <w:color w:val="auto"/>
              </w:rPr>
              <w:t>(2)</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Salary</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246,376</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Annual Bonus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COBRA Benefits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11,275</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Restricted Shares(3)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457,103</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457,103</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RSUs(3)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439,130</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439,130</w:t>
            </w:r>
          </w:p>
        </w:tc>
        <w:tc>
          <w:tcPr>
            <w:tcW w:w="840" w:type="dxa"/>
            <w:vAlign w:val="bottom"/>
          </w:tcPr>
          <w:p>
            <w:pPr>
              <w:jc w:val="right"/>
              <w:spacing w:after="0"/>
              <w:rPr>
                <w:sz w:val="20"/>
                <w:szCs w:val="20"/>
                <w:color w:val="auto"/>
              </w:rPr>
            </w:pPr>
            <w:r>
              <w:rPr>
                <w:rFonts w:ascii="Arial" w:cs="Arial" w:eastAsia="Arial" w:hAnsi="Arial"/>
                <w:sz w:val="16"/>
                <w:szCs w:val="16"/>
                <w:color w:val="auto"/>
              </w:rPr>
              <w:t>439,130</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PSUs(3)(4)</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678,398</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678,398</w:t>
            </w:r>
          </w:p>
        </w:tc>
        <w:tc>
          <w:tcPr>
            <w:tcW w:w="840" w:type="dxa"/>
            <w:vAlign w:val="bottom"/>
          </w:tcPr>
          <w:p>
            <w:pPr>
              <w:jc w:val="right"/>
              <w:spacing w:after="0"/>
              <w:rPr>
                <w:sz w:val="20"/>
                <w:szCs w:val="20"/>
                <w:color w:val="auto"/>
              </w:rPr>
            </w:pPr>
            <w:r>
              <w:rPr>
                <w:rFonts w:ascii="Arial" w:cs="Arial" w:eastAsia="Arial" w:hAnsi="Arial"/>
                <w:sz w:val="16"/>
                <w:szCs w:val="16"/>
                <w:color w:val="auto"/>
              </w:rPr>
              <w:t>678,398</w:t>
            </w:r>
          </w:p>
        </w:tc>
        <w:tc>
          <w:tcPr>
            <w:tcW w:w="0" w:type="dxa"/>
            <w:vAlign w:val="bottom"/>
          </w:tcPr>
          <w:p>
            <w:pPr>
              <w:spacing w:after="0"/>
              <w:rPr>
                <w:sz w:val="1"/>
                <w:szCs w:val="1"/>
                <w:color w:val="auto"/>
              </w:rPr>
            </w:pPr>
          </w:p>
        </w:tc>
      </w:tr>
      <w:tr>
        <w:trPr>
          <w:trHeight w:val="217"/>
        </w:trPr>
        <w:tc>
          <w:tcPr>
            <w:tcW w:w="44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140" w:type="dxa"/>
            <w:vAlign w:val="bottom"/>
            <w:gridSpan w:val="2"/>
          </w:tcPr>
          <w:p>
            <w:pPr>
              <w:ind w:left="42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714,754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1,117,528</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1,117,528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1,574,631</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E5E5E5"/>
          </w:tcPr>
          <w:p>
            <w:pPr>
              <w:spacing w:after="0" w:line="175" w:lineRule="exact"/>
              <w:rPr>
                <w:sz w:val="20"/>
                <w:szCs w:val="20"/>
                <w:color w:val="auto"/>
              </w:rPr>
            </w:pPr>
            <w:r>
              <w:rPr>
                <w:rFonts w:ascii="Arial" w:cs="Arial" w:eastAsia="Arial" w:hAnsi="Arial"/>
                <w:sz w:val="16"/>
                <w:szCs w:val="16"/>
                <w:b w:val="1"/>
                <w:bCs w:val="1"/>
                <w:color w:val="auto"/>
              </w:rPr>
              <w:t>Kathy Veltri</w:t>
            </w:r>
          </w:p>
        </w:tc>
        <w:tc>
          <w:tcPr>
            <w:tcW w:w="8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Salary</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246,376</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Annual Bonus</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COBRA Benefits</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4,708</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Restricted Shares(3)</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RSUs(3)</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439,130</w:t>
            </w:r>
          </w:p>
        </w:tc>
        <w:tc>
          <w:tcPr>
            <w:tcW w:w="32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439,130</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439,130</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PSUs(3)(4)</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678,398</w:t>
            </w:r>
          </w:p>
        </w:tc>
        <w:tc>
          <w:tcPr>
            <w:tcW w:w="32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678,398</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678,398</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E5E5E5"/>
          </w:tcPr>
          <w:p>
            <w:pPr>
              <w:ind w:left="160"/>
              <w:spacing w:after="0"/>
              <w:rPr>
                <w:sz w:val="20"/>
                <w:szCs w:val="20"/>
                <w:color w:val="auto"/>
              </w:rPr>
            </w:pPr>
            <w:r>
              <w:rPr>
                <w:rFonts w:ascii="Arial" w:cs="Arial" w:eastAsia="Arial" w:hAnsi="Arial"/>
                <w:sz w:val="16"/>
                <w:szCs w:val="16"/>
                <w:b w:val="1"/>
                <w:bCs w:val="1"/>
                <w:color w:val="auto"/>
              </w:rPr>
              <w:t>Total</w:t>
            </w:r>
          </w:p>
        </w:tc>
        <w:tc>
          <w:tcPr>
            <w:tcW w:w="1140" w:type="dxa"/>
            <w:vAlign w:val="bottom"/>
            <w:gridSpan w:val="2"/>
            <w:shd w:val="clear" w:color="auto" w:fill="E5E5E5"/>
          </w:tcPr>
          <w:p>
            <w:pPr>
              <w:ind w:left="42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shd w:val="clear" w:color="auto" w:fill="E5E5E5"/>
          </w:tcPr>
          <w:p>
            <w:pPr>
              <w:ind w:left="4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251,084</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1,117,528</w:t>
            </w:r>
          </w:p>
        </w:tc>
        <w:tc>
          <w:tcPr>
            <w:tcW w:w="32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1,117,528</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1,117,528</w:t>
            </w: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Jennifer Porter</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Salary</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241,020</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Annual Bonus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COBRA Benefits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4,072</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Restricted Shares(3)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RSUs(3)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439,130</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439,130</w:t>
            </w:r>
          </w:p>
        </w:tc>
        <w:tc>
          <w:tcPr>
            <w:tcW w:w="840" w:type="dxa"/>
            <w:vAlign w:val="bottom"/>
          </w:tcPr>
          <w:p>
            <w:pPr>
              <w:jc w:val="right"/>
              <w:spacing w:after="0"/>
              <w:rPr>
                <w:sz w:val="20"/>
                <w:szCs w:val="20"/>
                <w:color w:val="auto"/>
              </w:rPr>
            </w:pPr>
            <w:r>
              <w:rPr>
                <w:rFonts w:ascii="Arial" w:cs="Arial" w:eastAsia="Arial" w:hAnsi="Arial"/>
                <w:sz w:val="16"/>
                <w:szCs w:val="16"/>
                <w:color w:val="auto"/>
              </w:rPr>
              <w:t>439,130</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60"/>
              <w:spacing w:after="0"/>
              <w:rPr>
                <w:sz w:val="20"/>
                <w:szCs w:val="20"/>
                <w:color w:val="auto"/>
              </w:rPr>
            </w:pPr>
            <w:r>
              <w:rPr>
                <w:rFonts w:ascii="Arial" w:cs="Arial" w:eastAsia="Arial" w:hAnsi="Arial"/>
                <w:sz w:val="16"/>
                <w:szCs w:val="16"/>
                <w:color w:val="auto"/>
              </w:rPr>
              <w:t>PSUs(3)(4)</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678,398</w:t>
            </w:r>
          </w:p>
        </w:tc>
        <w:tc>
          <w:tcPr>
            <w:tcW w:w="32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678,398</w:t>
            </w:r>
          </w:p>
        </w:tc>
        <w:tc>
          <w:tcPr>
            <w:tcW w:w="840" w:type="dxa"/>
            <w:vAlign w:val="bottom"/>
          </w:tcPr>
          <w:p>
            <w:pPr>
              <w:jc w:val="right"/>
              <w:spacing w:after="0"/>
              <w:rPr>
                <w:sz w:val="20"/>
                <w:szCs w:val="20"/>
                <w:color w:val="auto"/>
              </w:rPr>
            </w:pPr>
            <w:r>
              <w:rPr>
                <w:rFonts w:ascii="Arial" w:cs="Arial" w:eastAsia="Arial" w:hAnsi="Arial"/>
                <w:sz w:val="16"/>
                <w:szCs w:val="16"/>
                <w:color w:val="auto"/>
              </w:rPr>
              <w:t>678,398</w:t>
            </w:r>
          </w:p>
        </w:tc>
        <w:tc>
          <w:tcPr>
            <w:tcW w:w="0" w:type="dxa"/>
            <w:vAlign w:val="bottom"/>
          </w:tcPr>
          <w:p>
            <w:pPr>
              <w:spacing w:after="0"/>
              <w:rPr>
                <w:sz w:val="1"/>
                <w:szCs w:val="1"/>
                <w:color w:val="auto"/>
              </w:rPr>
            </w:pPr>
          </w:p>
        </w:tc>
      </w:tr>
      <w:tr>
        <w:trPr>
          <w:trHeight w:val="223"/>
        </w:trPr>
        <w:tc>
          <w:tcPr>
            <w:tcW w:w="44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140" w:type="dxa"/>
            <w:vAlign w:val="bottom"/>
            <w:gridSpan w:val="2"/>
          </w:tcPr>
          <w:p>
            <w:pPr>
              <w:ind w:left="42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ind w:left="4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245,092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1,117,528</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1,117,528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1,117,528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Termination</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Without</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Voluntary</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Cause (Or</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Termination</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Voluntary</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(or</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Termination</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 Good</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Retirement)</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Cause</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Reason)</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Death</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Disability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Control(1)</w:t>
            </w:r>
          </w:p>
        </w:tc>
        <w:tc>
          <w:tcPr>
            <w:tcW w:w="0" w:type="dxa"/>
            <w:vAlign w:val="bottom"/>
          </w:tcPr>
          <w:p>
            <w:pPr>
              <w:spacing w:after="0"/>
              <w:rPr>
                <w:sz w:val="1"/>
                <w:szCs w:val="1"/>
                <w:color w:val="auto"/>
              </w:rPr>
            </w:pPr>
          </w:p>
        </w:tc>
      </w:tr>
      <w:tr>
        <w:trPr>
          <w:trHeight w:val="178"/>
        </w:trPr>
        <w:tc>
          <w:tcPr>
            <w:tcW w:w="4420" w:type="dxa"/>
            <w:vAlign w:val="bottom"/>
            <w:gridSpan w:val="2"/>
            <w:vMerge w:val="continue"/>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20" w:type="dxa"/>
            <w:vAlign w:val="bottom"/>
          </w:tcPr>
          <w:p>
            <w:pPr>
              <w:jc w:val="right"/>
              <w:ind w:right="241"/>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40" w:type="dxa"/>
            <w:vAlign w:val="bottom"/>
          </w:tcPr>
          <w:p>
            <w:pPr>
              <w:jc w:val="right"/>
              <w:ind w:right="261"/>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tcPr>
          <w:p>
            <w:pPr>
              <w:jc w:val="right"/>
              <w:ind w:right="262"/>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400" w:type="dxa"/>
            <w:vAlign w:val="bottom"/>
            <w:tcBorders>
              <w:top w:val="single" w:sz="8" w:color="auto"/>
            </w:tcBorders>
          </w:tcPr>
          <w:p>
            <w:pPr>
              <w:spacing w:after="0" w:line="148" w:lineRule="exact"/>
              <w:rPr>
                <w:sz w:val="20"/>
                <w:szCs w:val="20"/>
                <w:color w:val="auto"/>
              </w:rPr>
            </w:pPr>
            <w:r>
              <w:rPr>
                <w:rFonts w:ascii="Arial" w:cs="Arial" w:eastAsia="Arial" w:hAnsi="Arial"/>
                <w:sz w:val="16"/>
                <w:szCs w:val="16"/>
                <w:b w:val="1"/>
                <w:bCs w:val="1"/>
                <w:color w:val="auto"/>
              </w:rPr>
              <w:t>Lisa</w:t>
            </w:r>
          </w:p>
        </w:tc>
        <w:tc>
          <w:tcPr>
            <w:tcW w:w="4020" w:type="dxa"/>
            <w:vAlign w:val="bottom"/>
          </w:tcPr>
          <w:p>
            <w:pPr>
              <w:spacing w:after="0" w:line="148" w:lineRule="exact"/>
              <w:rPr>
                <w:sz w:val="20"/>
                <w:szCs w:val="20"/>
                <w:color w:val="auto"/>
              </w:rPr>
            </w:pPr>
            <w:r>
              <w:rPr>
                <w:rFonts w:ascii="Arial" w:cs="Arial" w:eastAsia="Arial" w:hAnsi="Arial"/>
                <w:sz w:val="16"/>
                <w:szCs w:val="16"/>
                <w:b w:val="1"/>
                <w:bCs w:val="1"/>
                <w:color w:val="auto"/>
              </w:rPr>
              <w:t>Chi</w:t>
            </w: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Salary</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224,952</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Annual Bonus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COBRA Benefits</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12,763</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Restricted Shares(3)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148,670</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RSUs(3)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1,065,800</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1,065,800</w:t>
            </w:r>
          </w:p>
        </w:tc>
        <w:tc>
          <w:tcPr>
            <w:tcW w:w="840" w:type="dxa"/>
            <w:vAlign w:val="bottom"/>
          </w:tcPr>
          <w:p>
            <w:pPr>
              <w:jc w:val="right"/>
              <w:spacing w:after="0"/>
              <w:rPr>
                <w:sz w:val="20"/>
                <w:szCs w:val="20"/>
                <w:color w:val="auto"/>
              </w:rPr>
            </w:pPr>
            <w:r>
              <w:rPr>
                <w:rFonts w:ascii="Arial" w:cs="Arial" w:eastAsia="Arial" w:hAnsi="Arial"/>
                <w:sz w:val="16"/>
                <w:szCs w:val="16"/>
                <w:color w:val="auto"/>
              </w:rPr>
              <w:t>1,065,800</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60"/>
              <w:spacing w:after="0"/>
              <w:rPr>
                <w:sz w:val="20"/>
                <w:szCs w:val="20"/>
                <w:color w:val="auto"/>
              </w:rPr>
            </w:pPr>
            <w:r>
              <w:rPr>
                <w:rFonts w:ascii="Arial" w:cs="Arial" w:eastAsia="Arial" w:hAnsi="Arial"/>
                <w:sz w:val="16"/>
                <w:szCs w:val="16"/>
                <w:color w:val="auto"/>
              </w:rPr>
              <w:t>PSUs(3)(4)</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678,398</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678,398</w:t>
            </w:r>
          </w:p>
        </w:tc>
        <w:tc>
          <w:tcPr>
            <w:tcW w:w="840" w:type="dxa"/>
            <w:vAlign w:val="bottom"/>
          </w:tcPr>
          <w:p>
            <w:pPr>
              <w:jc w:val="right"/>
              <w:spacing w:after="0"/>
              <w:rPr>
                <w:sz w:val="20"/>
                <w:szCs w:val="20"/>
                <w:color w:val="auto"/>
              </w:rPr>
            </w:pPr>
            <w:r>
              <w:rPr>
                <w:rFonts w:ascii="Arial" w:cs="Arial" w:eastAsia="Arial" w:hAnsi="Arial"/>
                <w:sz w:val="16"/>
                <w:szCs w:val="16"/>
                <w:color w:val="auto"/>
              </w:rPr>
              <w:t>678,398</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140" w:type="dxa"/>
            <w:vAlign w:val="bottom"/>
            <w:gridSpan w:val="2"/>
          </w:tcPr>
          <w:p>
            <w:pPr>
              <w:ind w:left="4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ind w:left="40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237,715</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1,744,198</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1,744,198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1,892,868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-967740</wp:posOffset>
            </wp:positionV>
            <wp:extent cx="6995160" cy="9690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969010"/>
                    </a:xfrm>
                    <a:prstGeom prst="rect">
                      <a:avLst/>
                    </a:prstGeom>
                    <a:noFill/>
                  </pic:spPr>
                </pic:pic>
              </a:graphicData>
            </a:graphic>
          </wp:anchor>
        </w:drawing>
      </w:r>
    </w:p>
    <w:p>
      <w:pPr>
        <w:ind w:left="880" w:right="260" w:hanging="764"/>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awards shown reflect (i) a change in control for restricted shares and (ii) termination without Cause within sixty (60) days preceding or twenty-four (24) months following a change in control for RSUs and PSUs. All such awards would also vest if not assumed or substituted with a substantially equivalent award by a successor corporation.</w:t>
      </w:r>
    </w:p>
    <w:p>
      <w:pPr>
        <w:spacing w:after="0" w:line="2" w:lineRule="exact"/>
        <w:rPr>
          <w:rFonts w:ascii="Arial" w:cs="Arial" w:eastAsia="Arial" w:hAnsi="Arial"/>
          <w:sz w:val="18"/>
          <w:szCs w:val="18"/>
          <w:color w:val="auto"/>
        </w:rPr>
      </w:pPr>
    </w:p>
    <w:p>
      <w:pPr>
        <w:ind w:left="880" w:right="40" w:hanging="764"/>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Phillipson resigned as our CFO effective January 15, 2025 and did not receive any payments described in the table above in connection with her resignation.</w:t>
      </w:r>
    </w:p>
    <w:p>
      <w:pPr>
        <w:spacing w:after="0" w:line="1" w:lineRule="exact"/>
        <w:rPr>
          <w:rFonts w:ascii="Arial" w:cs="Arial" w:eastAsia="Arial" w:hAnsi="Arial"/>
          <w:sz w:val="18"/>
          <w:szCs w:val="18"/>
          <w:color w:val="auto"/>
        </w:rPr>
      </w:pPr>
    </w:p>
    <w:p>
      <w:pPr>
        <w:ind w:left="880" w:right="940" w:hanging="764"/>
        <w:spacing w:after="0" w:line="23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payments for equity awards are based on the closing price of the Company’s Class A common stock on December 31, 2024.</w:t>
      </w:r>
    </w:p>
    <w:p>
      <w:pPr>
        <w:spacing w:after="0" w:line="1" w:lineRule="exact"/>
        <w:rPr>
          <w:rFonts w:ascii="Arial" w:cs="Arial" w:eastAsia="Arial" w:hAnsi="Arial"/>
          <w:sz w:val="18"/>
          <w:szCs w:val="18"/>
          <w:color w:val="auto"/>
        </w:rPr>
      </w:pPr>
    </w:p>
    <w:p>
      <w:pPr>
        <w:ind w:left="880" w:right="140" w:hanging="764"/>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amounts shown assume target performance. See </w:t>
      </w:r>
      <w:r>
        <w:rPr>
          <w:rFonts w:ascii="Arial" w:cs="Arial" w:eastAsia="Arial" w:hAnsi="Arial"/>
          <w:sz w:val="18"/>
          <w:szCs w:val="18"/>
          <w:i w:val="1"/>
          <w:iCs w:val="1"/>
          <w:color w:val="auto"/>
        </w:rPr>
        <w:t>Compensation, Discussion and Analysis, Settlement of 2022-2024 PSUs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(Granted in 2022) </w:t>
      </w:r>
      <w:r>
        <w:rPr>
          <w:rFonts w:ascii="Arial" w:cs="Arial" w:eastAsia="Arial" w:hAnsi="Arial"/>
          <w:sz w:val="18"/>
          <w:szCs w:val="18"/>
          <w:color w:val="auto"/>
        </w:rPr>
        <w:t>for actual payout with respect to 2022 PSU awards.</w:t>
      </w:r>
    </w:p>
    <w:p>
      <w:pPr>
        <w:spacing w:after="0" w:line="169" w:lineRule="exact"/>
        <w:rPr>
          <w:sz w:val="20"/>
          <w:szCs w:val="20"/>
          <w:color w:val="auto"/>
        </w:rPr>
      </w:pPr>
    </w:p>
    <w:p>
      <w:pPr>
        <w:ind w:left="120" w:right="520" w:firstLine="881"/>
        <w:spacing w:after="0" w:line="257" w:lineRule="auto"/>
        <w:rPr>
          <w:sz w:val="20"/>
          <w:szCs w:val="20"/>
          <w:color w:val="auto"/>
        </w:rPr>
      </w:pPr>
      <w:r>
        <w:rPr>
          <w:rFonts w:ascii="Arial" w:cs="Arial" w:eastAsia="Arial" w:hAnsi="Arial"/>
          <w:sz w:val="20"/>
          <w:szCs w:val="20"/>
          <w:color w:val="auto"/>
        </w:rPr>
        <w:t>The following is a description of the payments that may be made to our named executive officers upon several events of termination or a change in control.</w:t>
      </w:r>
    </w:p>
    <w:p>
      <w:pPr>
        <w:spacing w:after="0" w:line="155" w:lineRule="exact"/>
        <w:rPr>
          <w:sz w:val="20"/>
          <w:szCs w:val="20"/>
          <w:color w:val="auto"/>
        </w:rPr>
      </w:pPr>
    </w:p>
    <w:p>
      <w:pPr>
        <w:ind w:left="120" w:right="120" w:firstLine="881"/>
        <w:spacing w:after="0" w:line="237" w:lineRule="auto"/>
        <w:rPr>
          <w:sz w:val="20"/>
          <w:szCs w:val="20"/>
          <w:color w:val="auto"/>
        </w:rPr>
      </w:pPr>
      <w:r>
        <w:rPr>
          <w:rFonts w:ascii="Arial" w:cs="Arial" w:eastAsia="Arial" w:hAnsi="Arial"/>
          <w:sz w:val="20"/>
          <w:szCs w:val="20"/>
          <w:color w:val="auto"/>
        </w:rPr>
        <w:t>Pursuant to the employment agreements with each of our named executive officers, except Mr. Reed, if the named executive officer’s employment is terminated by the Company without Cause, then, subject to her or his timely signing and non-revocation of a release of claims, she or he will be entitled to: (i) a lump sum payment equal to six (6) months of base salary and (ii) a lump sum amount equal to six (6) months of COBRA.</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Restricted Shares</w:t>
      </w:r>
    </w:p>
    <w:p>
      <w:pPr>
        <w:spacing w:after="0" w:line="202" w:lineRule="exact"/>
        <w:rPr>
          <w:sz w:val="20"/>
          <w:szCs w:val="20"/>
          <w:color w:val="auto"/>
        </w:rPr>
      </w:pPr>
    </w:p>
    <w:p>
      <w:pPr>
        <w:ind w:left="120" w:right="160" w:firstLine="881"/>
        <w:spacing w:after="0" w:line="231" w:lineRule="auto"/>
        <w:rPr>
          <w:sz w:val="20"/>
          <w:szCs w:val="20"/>
          <w:color w:val="auto"/>
        </w:rPr>
      </w:pPr>
      <w:r>
        <w:rPr>
          <w:rFonts w:ascii="Arial" w:cs="Arial" w:eastAsia="Arial" w:hAnsi="Arial"/>
          <w:sz w:val="20"/>
          <w:szCs w:val="20"/>
          <w:color w:val="auto"/>
        </w:rPr>
        <w:t>Prior to the IPO and our corporate reorganization, we granted incentive units that gave the grantee the right to participate in future profits and appreciation in the value of our operating business, Arhaus, LLC. These incentive units were exchanged at the time of the IPO and in connection with the reorganization for shares of Class A common stock (or Class B common stock in the case of Mr. Reed). A portion of such shares vested at the time of the IPO, and the remaining shares were issued as restricted shares of Class A common stock (or Class B common stock in the case of Mr. Reed) (the “Restricted Shares”). The terms of the LLC operating agreement which governed the incentive units provided for full acceleration of each of the named executive officer’s incentive units in the event of a change in control. As described herein, the Restricted Shares are subject to the same terms, and will vest in full in the event of a change in control.</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RSUs</w:t>
      </w:r>
    </w:p>
    <w:p>
      <w:pPr>
        <w:spacing w:after="0" w:line="202" w:lineRule="exact"/>
        <w:rPr>
          <w:sz w:val="20"/>
          <w:szCs w:val="20"/>
          <w:color w:val="auto"/>
        </w:rPr>
      </w:pPr>
    </w:p>
    <w:p>
      <w:pPr>
        <w:ind w:left="120" w:right="60" w:firstLine="881"/>
        <w:spacing w:after="0" w:line="239" w:lineRule="auto"/>
        <w:rPr>
          <w:sz w:val="20"/>
          <w:szCs w:val="20"/>
          <w:color w:val="auto"/>
        </w:rPr>
      </w:pPr>
      <w:r>
        <w:rPr>
          <w:rFonts w:ascii="Arial" w:cs="Arial" w:eastAsia="Arial" w:hAnsi="Arial"/>
          <w:sz w:val="19"/>
          <w:szCs w:val="19"/>
          <w:color w:val="auto"/>
        </w:rPr>
        <w:t>If the executive officer’s Continuous Service terminates for any reason other than death, Disability or in connection with a Change in Control (as such terms are defined in the 2021 Equity Incentive Plan), unless the Compensation Committee determines otherwise, all RSUs that are unvested at the time of such termination shall be forfeited and canceled immediately without consideration. If the executive officer’s Continuous Service terminates due to death or Disability, any unvested RSUs will become fully vested. If there is a Change in Control, unless otherwise determined by the Compensation Committee, any unvested RSUs that are not assumed or substituted with a substantially equivalent award by the successor corporation will become fully vested immediately prior to the Change in Control. If the executive officer’s Continuous Service is terminated without Cause (as defined in the 2021 Equity Incentive Plan) within the sixty (60) days preceding or the twenty-four</w:t>
      </w:r>
    </w:p>
    <w:p>
      <w:pPr>
        <w:spacing w:after="0" w:line="5" w:lineRule="exact"/>
        <w:rPr>
          <w:sz w:val="20"/>
          <w:szCs w:val="20"/>
          <w:color w:val="auto"/>
        </w:rPr>
      </w:pPr>
    </w:p>
    <w:p>
      <w:pPr>
        <w:ind w:left="120" w:right="100" w:hanging="4"/>
        <w:spacing w:after="0" w:line="239" w:lineRule="auto"/>
        <w:tabs>
          <w:tab w:leader="none" w:pos="527" w:val="left"/>
        </w:tabs>
        <w:numPr>
          <w:ilvl w:val="0"/>
          <w:numId w:val="31"/>
        </w:numPr>
        <w:rPr>
          <w:rFonts w:ascii="Arial" w:cs="Arial" w:eastAsia="Arial" w:hAnsi="Arial"/>
          <w:sz w:val="20"/>
          <w:szCs w:val="20"/>
          <w:color w:val="auto"/>
        </w:rPr>
      </w:pPr>
      <w:r>
        <w:rPr>
          <w:rFonts w:ascii="Arial" w:cs="Arial" w:eastAsia="Arial" w:hAnsi="Arial"/>
          <w:sz w:val="20"/>
          <w:szCs w:val="20"/>
          <w:color w:val="auto"/>
        </w:rPr>
        <w:t>months following the Change in Control, then any unvested RSUs shall vest upon the later of the date of the termination of Continuous Service and the date of the Change in Control.</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PSUs</w:t>
      </w:r>
    </w:p>
    <w:p>
      <w:pPr>
        <w:spacing w:after="0" w:line="202" w:lineRule="exact"/>
        <w:rPr>
          <w:sz w:val="20"/>
          <w:szCs w:val="20"/>
          <w:color w:val="auto"/>
        </w:rPr>
      </w:pPr>
    </w:p>
    <w:p>
      <w:pPr>
        <w:ind w:left="120" w:firstLine="881"/>
        <w:spacing w:after="0"/>
        <w:rPr>
          <w:sz w:val="20"/>
          <w:szCs w:val="20"/>
          <w:color w:val="auto"/>
        </w:rPr>
      </w:pPr>
      <w:r>
        <w:rPr>
          <w:rFonts w:ascii="Arial" w:cs="Arial" w:eastAsia="Arial" w:hAnsi="Arial"/>
          <w:sz w:val="19"/>
          <w:szCs w:val="19"/>
          <w:color w:val="auto"/>
        </w:rPr>
        <w:t>If the executive officer’s Continuous Service terminates for any reason other than: (i) for Cause (as defined in the 2021 Equity Incentive Plan); (ii) death; (iii) Disability; or (iv) in connection with a Change in Control, unless the Compensation Committee determines otherwise, all unvested PSUs shall be forfeited and canceled immediately without consideration. If the executive officer’s Continuous Service terminates for Cause, the PSUs, whether or not vested, will be forfeited and canceled immediately without consideration. If the executive officer’s Continuous Service terminates due to death prior to the end of the Performance Period, the PSUs will be earned and paid immediately based on the PSU Target Award. If the executive officer’s Continuous Service terminates due to death after the Performance Period, but prior to payout, the PSUs will be earned and paid based on the Company’s achievement of the performance goals as if the executive officer’s Continuous Service had not terminated. If the executive officer’s Continuous Service terminates due to Disability, the PSUs will be earned and paid based on the Company’s achievement of the performance goals as if the executive officer’s Continuous Service had not terminated. If there is a Change in Control, unless the Compensation Committee determines otherwise, any unvested PSUs that are not assumed or substituted with a substantially equivalent award by the successor corporation will become fully vested immediately prior to the Change in Control at the greater of: (i) Target Award or (ii) the Company’s achievement of the performance goals as determined by the Committee in good faith. If the executive officer’s Continuous Service is terminated without Cause within the sixty (60) days preceding or the twenty-four (24) months following the Change in Control, unvested PSUs will be earned and paid at the greater of: (i) Target Award or (ii) the Company’s achievement of the performance goals at the conclusion of the performance period as determined by the Committee in good faith.</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16281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Securities to be</w:t>
            </w: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Issued Upon</w:t>
            </w:r>
          </w:p>
        </w:tc>
        <w:tc>
          <w:tcPr>
            <w:tcW w:w="2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 of</w:t>
            </w:r>
          </w:p>
        </w:tc>
        <w:tc>
          <w:tcPr>
            <w:tcW w:w="2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 Price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Outstanding</w:t>
            </w:r>
          </w:p>
        </w:tc>
        <w:tc>
          <w:tcPr>
            <w:tcW w:w="2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Options, Warrants</w:t>
            </w:r>
          </w:p>
        </w:tc>
        <w:tc>
          <w:tcPr>
            <w:tcW w:w="2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 Warrants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Reflected</w:t>
            </w:r>
          </w:p>
        </w:tc>
        <w:tc>
          <w:tcPr>
            <w:tcW w:w="0" w:type="dxa"/>
            <w:vAlign w:val="bottom"/>
          </w:tcPr>
          <w:p>
            <w:pPr>
              <w:spacing w:after="0"/>
              <w:rPr>
                <w:sz w:val="1"/>
                <w:szCs w:val="1"/>
                <w:color w:val="auto"/>
              </w:rPr>
            </w:pPr>
          </w:p>
        </w:tc>
      </w:tr>
      <w:tr>
        <w:trPr>
          <w:trHeight w:val="165"/>
        </w:trPr>
        <w:tc>
          <w:tcPr>
            <w:tcW w:w="4860" w:type="dxa"/>
            <w:vAlign w:val="bottom"/>
            <w:gridSpan w:val="2"/>
            <w:vMerge w:val="continue"/>
          </w:tcPr>
          <w:p>
            <w:pPr>
              <w:spacing w:after="0"/>
              <w:rPr>
                <w:sz w:val="14"/>
                <w:szCs w:val="14"/>
                <w:color w:val="auto"/>
              </w:rPr>
            </w:pPr>
          </w:p>
        </w:tc>
        <w:tc>
          <w:tcPr>
            <w:tcW w:w="27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and Rights</w:t>
            </w:r>
          </w:p>
        </w:tc>
        <w:tc>
          <w:tcPr>
            <w:tcW w:w="2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and Rights ($)</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in Column (a))</w:t>
            </w:r>
          </w:p>
        </w:tc>
        <w:tc>
          <w:tcPr>
            <w:tcW w:w="0" w:type="dxa"/>
            <w:vAlign w:val="bottom"/>
          </w:tcPr>
          <w:p>
            <w:pPr>
              <w:spacing w:after="0"/>
              <w:rPr>
                <w:sz w:val="1"/>
                <w:szCs w:val="1"/>
                <w:color w:val="auto"/>
              </w:rPr>
            </w:pPr>
          </w:p>
        </w:tc>
      </w:tr>
      <w:tr>
        <w:trPr>
          <w:trHeight w:val="162"/>
        </w:trPr>
        <w:tc>
          <w:tcPr>
            <w:tcW w:w="960" w:type="dxa"/>
            <w:vAlign w:val="bottom"/>
            <w:tcBorders>
              <w:top w:val="single" w:sz="8" w:color="auto"/>
              <w:bottom w:val="single" w:sz="8" w:color="E5E5E5"/>
            </w:tcBorders>
          </w:tcPr>
          <w:p>
            <w:pPr>
              <w:spacing w:after="0"/>
              <w:rPr>
                <w:sz w:val="14"/>
                <w:szCs w:val="14"/>
                <w:color w:val="auto"/>
              </w:rPr>
            </w:pPr>
          </w:p>
        </w:tc>
        <w:tc>
          <w:tcPr>
            <w:tcW w:w="3900" w:type="dxa"/>
            <w:vAlign w:val="bottom"/>
            <w:tcBorders>
              <w:bottom w:val="single" w:sz="8" w:color="E5E5E5"/>
            </w:tcBorders>
          </w:tcPr>
          <w:p>
            <w:pPr>
              <w:spacing w:after="0"/>
              <w:rPr>
                <w:sz w:val="14"/>
                <w:szCs w:val="14"/>
                <w:color w:val="auto"/>
              </w:rPr>
            </w:pPr>
          </w:p>
        </w:tc>
        <w:tc>
          <w:tcPr>
            <w:tcW w:w="2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400" w:type="dxa"/>
            <w:vAlign w:val="bottom"/>
            <w:tcBorders>
              <w:bottom w:val="single" w:sz="8" w:color="E5E5E5"/>
            </w:tcBorders>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Borders>
              <w:bottom w:val="single" w:sz="8" w:color="E5E5E5"/>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4"/>
        </w:trPr>
        <w:tc>
          <w:tcPr>
            <w:tcW w:w="4860" w:type="dxa"/>
            <w:vAlign w:val="bottom"/>
            <w:gridSpan w:val="2"/>
            <w:shd w:val="clear" w:color="auto" w:fill="E5E5E5"/>
          </w:tcPr>
          <w:p>
            <w:pPr>
              <w:spacing w:after="0" w:line="164" w:lineRule="exact"/>
              <w:rPr>
                <w:sz w:val="20"/>
                <w:szCs w:val="20"/>
                <w:color w:val="auto"/>
              </w:rPr>
            </w:pPr>
            <w:r>
              <w:rPr>
                <w:rFonts w:ascii="Arial" w:cs="Arial" w:eastAsia="Arial" w:hAnsi="Arial"/>
                <w:sz w:val="18"/>
                <w:szCs w:val="18"/>
                <w:color w:val="auto"/>
              </w:rPr>
              <w:t>Equity compensation plans approved by security</w:t>
            </w:r>
          </w:p>
        </w:tc>
        <w:tc>
          <w:tcPr>
            <w:tcW w:w="234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18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60" w:type="dxa"/>
            <w:vAlign w:val="bottom"/>
            <w:gridSpan w:val="2"/>
            <w:shd w:val="clear" w:color="auto" w:fill="E5E5E5"/>
          </w:tcPr>
          <w:p>
            <w:pPr>
              <w:ind w:left="180"/>
              <w:spacing w:after="0"/>
              <w:rPr>
                <w:sz w:val="20"/>
                <w:szCs w:val="20"/>
                <w:color w:val="auto"/>
              </w:rPr>
            </w:pPr>
            <w:r>
              <w:rPr>
                <w:rFonts w:ascii="Arial" w:cs="Arial" w:eastAsia="Arial" w:hAnsi="Arial"/>
                <w:sz w:val="18"/>
                <w:szCs w:val="18"/>
                <w:color w:val="auto"/>
              </w:rPr>
              <w:t>holders</w:t>
            </w:r>
          </w:p>
        </w:tc>
        <w:tc>
          <w:tcPr>
            <w:tcW w:w="2340" w:type="dxa"/>
            <w:vAlign w:val="bottom"/>
            <w:shd w:val="clear" w:color="auto" w:fill="E5E5E5"/>
          </w:tcPr>
          <w:p>
            <w:pPr>
              <w:jc w:val="right"/>
              <w:ind w:right="543"/>
              <w:spacing w:after="0"/>
              <w:rPr>
                <w:sz w:val="20"/>
                <w:szCs w:val="20"/>
                <w:color w:val="auto"/>
              </w:rPr>
            </w:pPr>
            <w:r>
              <w:rPr>
                <w:rFonts w:ascii="Arial" w:cs="Arial" w:eastAsia="Arial" w:hAnsi="Arial"/>
                <w:sz w:val="18"/>
                <w:szCs w:val="18"/>
                <w:color w:val="auto"/>
              </w:rPr>
              <w:t>1,738,929(1)</w:t>
            </w:r>
          </w:p>
        </w:tc>
        <w:tc>
          <w:tcPr>
            <w:tcW w:w="400" w:type="dxa"/>
            <w:vAlign w:val="bottom"/>
            <w:shd w:val="clear" w:color="auto" w:fill="E5E5E5"/>
          </w:tcPr>
          <w:p>
            <w:pPr>
              <w:spacing w:after="0"/>
              <w:rPr>
                <w:sz w:val="19"/>
                <w:szCs w:val="19"/>
                <w:color w:val="auto"/>
              </w:rPr>
            </w:pPr>
          </w:p>
        </w:tc>
        <w:tc>
          <w:tcPr>
            <w:tcW w:w="2220" w:type="dxa"/>
            <w:vAlign w:val="bottom"/>
            <w:gridSpan w:val="2"/>
            <w:shd w:val="clear" w:color="auto" w:fill="E5E5E5"/>
          </w:tcPr>
          <w:p>
            <w:pPr>
              <w:jc w:val="right"/>
              <w:ind w:right="1020"/>
              <w:spacing w:after="0"/>
              <w:rPr>
                <w:sz w:val="20"/>
                <w:szCs w:val="20"/>
                <w:color w:val="auto"/>
              </w:rPr>
            </w:pPr>
            <w:r>
              <w:rPr>
                <w:rFonts w:ascii="Arial" w:cs="Arial" w:eastAsia="Arial" w:hAnsi="Arial"/>
                <w:sz w:val="18"/>
                <w:szCs w:val="18"/>
                <w:color w:val="auto"/>
              </w:rPr>
              <w:t>N/A(2)</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8,198,996(3)</w:t>
            </w:r>
          </w:p>
        </w:tc>
        <w:tc>
          <w:tcPr>
            <w:tcW w:w="0" w:type="dxa"/>
            <w:vAlign w:val="bottom"/>
          </w:tcPr>
          <w:p>
            <w:pPr>
              <w:spacing w:after="0"/>
              <w:rPr>
                <w:sz w:val="1"/>
                <w:szCs w:val="1"/>
                <w:color w:val="auto"/>
              </w:rPr>
            </w:pPr>
          </w:p>
        </w:tc>
      </w:tr>
      <w:tr>
        <w:trPr>
          <w:trHeight w:val="184"/>
        </w:trPr>
        <w:tc>
          <w:tcPr>
            <w:tcW w:w="4860" w:type="dxa"/>
            <w:vAlign w:val="bottom"/>
            <w:gridSpan w:val="2"/>
          </w:tcPr>
          <w:p>
            <w:pPr>
              <w:spacing w:after="0" w:line="183" w:lineRule="exact"/>
              <w:rPr>
                <w:sz w:val="20"/>
                <w:szCs w:val="20"/>
                <w:color w:val="auto"/>
              </w:rPr>
            </w:pPr>
            <w:r>
              <w:rPr>
                <w:rFonts w:ascii="Arial" w:cs="Arial" w:eastAsia="Arial" w:hAnsi="Arial"/>
                <w:sz w:val="18"/>
                <w:szCs w:val="18"/>
                <w:color w:val="auto"/>
              </w:rPr>
              <w:t>Equity compensation plans not approved by security</w:t>
            </w:r>
          </w:p>
        </w:tc>
        <w:tc>
          <w:tcPr>
            <w:tcW w:w="2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holders(4)</w:t>
            </w:r>
          </w:p>
        </w:tc>
        <w:tc>
          <w:tcPr>
            <w:tcW w:w="2340" w:type="dxa"/>
            <w:vAlign w:val="bottom"/>
            <w:tcBorders>
              <w:bottom w:val="single" w:sz="8" w:color="auto"/>
            </w:tcBorders>
          </w:tcPr>
          <w:p>
            <w:pPr>
              <w:jc w:val="right"/>
              <w:ind w:right="543"/>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4860" w:type="dxa"/>
            <w:vAlign w:val="bottom"/>
            <w:gridSpan w:val="2"/>
            <w:shd w:val="clear" w:color="auto" w:fill="E5E5E5"/>
          </w:tcPr>
          <w:p>
            <w:pPr>
              <w:ind w:left="36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E5E5E5"/>
          </w:tcPr>
          <w:p>
            <w:pPr>
              <w:jc w:val="right"/>
              <w:ind w:right="543"/>
              <w:spacing w:after="0"/>
              <w:rPr>
                <w:sz w:val="20"/>
                <w:szCs w:val="20"/>
                <w:color w:val="auto"/>
              </w:rPr>
            </w:pPr>
            <w:r>
              <w:rPr>
                <w:rFonts w:ascii="Arial" w:cs="Arial" w:eastAsia="Arial" w:hAnsi="Arial"/>
                <w:sz w:val="18"/>
                <w:szCs w:val="18"/>
                <w:color w:val="auto"/>
              </w:rPr>
              <w:t>1,738,929</w:t>
            </w:r>
          </w:p>
        </w:tc>
        <w:tc>
          <w:tcPr>
            <w:tcW w:w="400" w:type="dxa"/>
            <w:vAlign w:val="bottom"/>
            <w:shd w:val="clear" w:color="auto" w:fill="E5E5E5"/>
          </w:tcPr>
          <w:p>
            <w:pPr>
              <w:spacing w:after="0"/>
              <w:rPr>
                <w:sz w:val="24"/>
                <w:szCs w:val="24"/>
                <w:color w:val="auto"/>
              </w:rPr>
            </w:pPr>
          </w:p>
        </w:tc>
        <w:tc>
          <w:tcPr>
            <w:tcW w:w="2220" w:type="dxa"/>
            <w:vAlign w:val="bottom"/>
            <w:gridSpan w:val="2"/>
            <w:shd w:val="clear" w:color="auto" w:fill="E5E5E5"/>
          </w:tcPr>
          <w:p>
            <w:pPr>
              <w:jc w:val="right"/>
              <w:ind w:right="102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8,198,996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880" w:right="60" w:hanging="764"/>
        <w:spacing w:after="0" w:line="23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Reflects grants of RSUs and PSUs at target level. Upon vesting of RSUs and PSUs, the holder has the right to receive shares of Class A common stock on a one-to-one basis. Maximum potential payout for the PSUs is 200% of target.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Settlement of 2022-2024 PSUs (Granted in 2022) </w:t>
      </w:r>
      <w:r>
        <w:rPr>
          <w:rFonts w:ascii="Arial" w:cs="Arial" w:eastAsia="Arial" w:hAnsi="Arial"/>
          <w:sz w:val="18"/>
          <w:szCs w:val="18"/>
          <w:color w:val="auto"/>
        </w:rPr>
        <w:t>for actual payout with respect to 2022 PSU awards.</w:t>
      </w:r>
    </w:p>
    <w:p>
      <w:pPr>
        <w:spacing w:after="0" w:line="1" w:lineRule="exact"/>
        <w:rPr>
          <w:rFonts w:ascii="Arial" w:cs="Arial" w:eastAsia="Arial" w:hAnsi="Arial"/>
          <w:sz w:val="18"/>
          <w:szCs w:val="18"/>
          <w:color w:val="auto"/>
        </w:rPr>
      </w:pPr>
    </w:p>
    <w:p>
      <w:pPr>
        <w:ind w:left="880" w:hanging="764"/>
        <w:spacing w:after="0" w:line="23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 because PSUs and RSUs do not have an exercise price.</w:t>
      </w:r>
    </w:p>
    <w:p>
      <w:pPr>
        <w:ind w:left="880" w:hanging="764"/>
        <w:spacing w:after="0" w:line="23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Gives effect to reservation of shares of Class A common stock to payout PSUs at maximum level.</w:t>
      </w:r>
    </w:p>
    <w:p>
      <w:pPr>
        <w:ind w:left="880" w:hanging="76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does not maintain equity plans that have not been approved by its stockholders.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Pay Versus Performance</w:t>
      </w:r>
    </w:p>
    <w:p>
      <w:pPr>
        <w:spacing w:after="0" w:line="204" w:lineRule="exact"/>
        <w:rPr>
          <w:sz w:val="20"/>
          <w:szCs w:val="20"/>
          <w:color w:val="auto"/>
        </w:rPr>
      </w:pPr>
    </w:p>
    <w:p>
      <w:pPr>
        <w:ind w:left="120" w:right="20" w:firstLine="881"/>
        <w:spacing w:after="0" w:line="232" w:lineRule="auto"/>
        <w:rPr>
          <w:sz w:val="20"/>
          <w:szCs w:val="20"/>
          <w:color w:val="auto"/>
        </w:rPr>
      </w:pPr>
      <w:r>
        <w:rPr>
          <w:rFonts w:ascii="Arial" w:cs="Arial" w:eastAsia="Arial" w:hAnsi="Arial"/>
          <w:sz w:val="20"/>
          <w:szCs w:val="20"/>
          <w:color w:val="auto"/>
        </w:rPr>
        <w:t>As required by Section 953(a) of the Dodd-Frank Wall Street Reform and Consumer Protection Act, and Item 402(v) of Regulation S-K, we are providing the following information about the relationship between executive “compensation actually paid” (as computed in accordance with Item 402 of Regulation S-K) and certain financial performance of the Company. “Compensation actually paid” does not reflect the actual amount of compensation earned or paid to an executive officer, and may differ significantly because of the impact of equity awards. For further information concerning the Company’s variable pay-for-performance philosophy and how the Company aligns executive compensation with the Company’s performance, refer to “Executive Compensation.”</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Value of Initial Fixed $100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Investment Based on: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Average</w:t>
            </w:r>
          </w:p>
        </w:tc>
        <w:tc>
          <w:tcPr>
            <w:tcW w:w="1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Summary</w:t>
            </w: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Summary</w:t>
            </w:r>
          </w:p>
        </w:tc>
        <w:tc>
          <w:tcPr>
            <w:tcW w:w="11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Peer Group</w:t>
            </w:r>
          </w:p>
        </w:tc>
        <w:tc>
          <w:tcPr>
            <w:tcW w:w="8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Net</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9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Compensation</w:t>
            </w: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7"/>
              </w:rPr>
              <w:t>Fiscal</w:t>
            </w:r>
          </w:p>
        </w:tc>
        <w:tc>
          <w:tcPr>
            <w:tcW w:w="124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Compensation</w:t>
            </w:r>
          </w:p>
        </w:tc>
        <w:tc>
          <w:tcPr>
            <w:tcW w:w="1960" w:type="dxa"/>
            <w:vAlign w:val="bottom"/>
            <w:gridSpan w:val="3"/>
            <w:vMerge w:val="continue"/>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Table Total</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Actually Paid</w:t>
            </w:r>
          </w:p>
        </w:tc>
        <w:tc>
          <w:tcPr>
            <w:tcW w:w="1500" w:type="dxa"/>
            <w:vAlign w:val="bottom"/>
            <w:gridSpan w:val="2"/>
            <w:vMerge w:val="continue"/>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8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w:t>
            </w: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36"/>
        </w:trPr>
        <w:tc>
          <w:tcPr>
            <w:tcW w:w="38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Arial" w:cs="Arial" w:eastAsia="Arial" w:hAnsi="Arial"/>
                <w:sz w:val="13"/>
                <w:szCs w:val="13"/>
                <w:b w:val="1"/>
                <w:bCs w:val="1"/>
                <w:color w:val="auto"/>
              </w:rPr>
              <w:t>Table Total</w:t>
            </w:r>
          </w:p>
        </w:tc>
        <w:tc>
          <w:tcPr>
            <w:tcW w:w="1960" w:type="dxa"/>
            <w:vAlign w:val="bottom"/>
            <w:gridSpan w:val="3"/>
          </w:tcPr>
          <w:p>
            <w:pPr>
              <w:ind w:left="440"/>
              <w:spacing w:after="0" w:line="136" w:lineRule="exact"/>
              <w:rPr>
                <w:sz w:val="20"/>
                <w:szCs w:val="20"/>
                <w:color w:val="auto"/>
              </w:rPr>
            </w:pPr>
            <w:r>
              <w:rPr>
                <w:rFonts w:ascii="Arial" w:cs="Arial" w:eastAsia="Arial" w:hAnsi="Arial"/>
                <w:sz w:val="13"/>
                <w:szCs w:val="13"/>
                <w:b w:val="1"/>
                <w:bCs w:val="1"/>
                <w:color w:val="auto"/>
              </w:rPr>
              <w:t>Actually Paid</w:t>
            </w:r>
          </w:p>
        </w:tc>
        <w:tc>
          <w:tcPr>
            <w:tcW w:w="1160" w:type="dxa"/>
            <w:vAlign w:val="bottom"/>
            <w:gridSpan w:val="3"/>
          </w:tcPr>
          <w:p>
            <w:pPr>
              <w:jc w:val="center"/>
              <w:ind w:right="220"/>
              <w:spacing w:after="0" w:line="136" w:lineRule="exact"/>
              <w:rPr>
                <w:sz w:val="20"/>
                <w:szCs w:val="20"/>
                <w:color w:val="auto"/>
              </w:rPr>
            </w:pPr>
            <w:r>
              <w:rPr>
                <w:rFonts w:ascii="Arial" w:cs="Arial" w:eastAsia="Arial" w:hAnsi="Arial"/>
                <w:sz w:val="13"/>
                <w:szCs w:val="13"/>
                <w:b w:val="1"/>
                <w:bCs w:val="1"/>
                <w:color w:val="auto"/>
              </w:rPr>
              <w:t>for Non-PEO</w:t>
            </w:r>
          </w:p>
        </w:tc>
        <w:tc>
          <w:tcPr>
            <w:tcW w:w="1160" w:type="dxa"/>
            <w:vAlign w:val="bottom"/>
            <w:gridSpan w:val="3"/>
          </w:tcPr>
          <w:p>
            <w:pPr>
              <w:jc w:val="center"/>
              <w:ind w:right="240"/>
              <w:spacing w:after="0" w:line="136" w:lineRule="exact"/>
              <w:rPr>
                <w:sz w:val="20"/>
                <w:szCs w:val="20"/>
                <w:color w:val="auto"/>
              </w:rPr>
            </w:pPr>
            <w:r>
              <w:rPr>
                <w:rFonts w:ascii="Arial" w:cs="Arial" w:eastAsia="Arial" w:hAnsi="Arial"/>
                <w:sz w:val="13"/>
                <w:szCs w:val="13"/>
                <w:b w:val="1"/>
                <w:bCs w:val="1"/>
                <w:color w:val="auto"/>
              </w:rPr>
              <w:t>to Non-PEO</w:t>
            </w:r>
          </w:p>
        </w:tc>
        <w:tc>
          <w:tcPr>
            <w:tcW w:w="150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rPr>
              <w:t>Shareholder</w:t>
            </w:r>
          </w:p>
        </w:tc>
        <w:tc>
          <w:tcPr>
            <w:tcW w:w="102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rPr>
              <w:t>Shareholder</w:t>
            </w:r>
          </w:p>
        </w:tc>
        <w:tc>
          <w:tcPr>
            <w:tcW w:w="820" w:type="dxa"/>
            <w:vAlign w:val="bottom"/>
            <w:gridSpan w:val="3"/>
          </w:tcPr>
          <w:p>
            <w:pPr>
              <w:jc w:val="center"/>
              <w:ind w:right="220"/>
              <w:spacing w:after="0" w:line="136" w:lineRule="exact"/>
              <w:rPr>
                <w:sz w:val="20"/>
                <w:szCs w:val="20"/>
                <w:color w:val="auto"/>
              </w:rPr>
            </w:pPr>
            <w:r>
              <w:rPr>
                <w:rFonts w:ascii="Arial" w:cs="Arial" w:eastAsia="Arial" w:hAnsi="Arial"/>
                <w:sz w:val="13"/>
                <w:szCs w:val="13"/>
                <w:b w:val="1"/>
                <w:bCs w:val="1"/>
                <w:color w:val="auto"/>
              </w:rPr>
              <w:t>(millions)</w:t>
            </w:r>
          </w:p>
        </w:tc>
        <w:tc>
          <w:tcPr>
            <w:tcW w:w="640" w:type="dxa"/>
            <w:vAlign w:val="bottom"/>
            <w:gridSpan w:val="2"/>
          </w:tcPr>
          <w:p>
            <w:pPr>
              <w:jc w:val="center"/>
              <w:ind w:right="40"/>
              <w:spacing w:after="0" w:line="136" w:lineRule="exact"/>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w:t>
            </w:r>
          </w:p>
        </w:tc>
        <w:tc>
          <w:tcPr>
            <w:tcW w:w="1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3"/>
                <w:szCs w:val="13"/>
                <w:b w:val="1"/>
                <w:bCs w:val="1"/>
                <w:color w:val="auto"/>
              </w:rPr>
              <w:t>for PEO(1)</w:t>
            </w:r>
          </w:p>
        </w:tc>
        <w:tc>
          <w:tcPr>
            <w:tcW w:w="560" w:type="dxa"/>
            <w:vAlign w:val="bottom"/>
          </w:tcPr>
          <w:p>
            <w:pPr>
              <w:spacing w:after="0"/>
              <w:rPr>
                <w:sz w:val="15"/>
                <w:szCs w:val="15"/>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rPr>
              <w:t>to PEO(2)</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NEOs(3)</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NEOs(4)</w:t>
            </w: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Return(5)</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Return(6)</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15"/>
                <w:szCs w:val="15"/>
                <w:color w:val="auto"/>
              </w:rPr>
            </w:pPr>
          </w:p>
        </w:tc>
        <w:tc>
          <w:tcPr>
            <w:tcW w:w="620" w:type="dxa"/>
            <w:vAlign w:val="bottom"/>
          </w:tcPr>
          <w:p>
            <w:pPr>
              <w:ind w:left="220"/>
              <w:spacing w:after="0"/>
              <w:rPr>
                <w:sz w:val="20"/>
                <w:szCs w:val="20"/>
                <w:color w:val="auto"/>
              </w:rPr>
            </w:pPr>
            <w:r>
              <w:rPr>
                <w:rFonts w:ascii="Arial" w:cs="Arial" w:eastAsia="Arial" w:hAnsi="Arial"/>
                <w:sz w:val="13"/>
                <w:szCs w:val="13"/>
                <w:b w:val="1"/>
                <w:bCs w:val="1"/>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0" w:type="dxa"/>
            <w:vAlign w:val="bottom"/>
          </w:tcPr>
          <w:p>
            <w:pPr>
              <w:spacing w:after="0" w:line="136" w:lineRule="exact"/>
              <w:rPr>
                <w:sz w:val="20"/>
                <w:szCs w:val="20"/>
                <w:color w:val="auto"/>
              </w:rPr>
            </w:pPr>
            <w:r>
              <w:rPr>
                <w:rFonts w:ascii="Arial" w:cs="Arial" w:eastAsia="Arial" w:hAnsi="Arial"/>
                <w:sz w:val="13"/>
                <w:szCs w:val="13"/>
                <w:b w:val="1"/>
                <w:bCs w:val="1"/>
                <w:color w:val="auto"/>
              </w:rPr>
              <w:t>  (a)</w:t>
            </w:r>
          </w:p>
        </w:tc>
        <w:tc>
          <w:tcPr>
            <w:tcW w:w="1240" w:type="dxa"/>
            <w:vAlign w:val="bottom"/>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(b)</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4"/>
              <w:spacing w:after="0" w:line="136" w:lineRule="exact"/>
              <w:rPr>
                <w:sz w:val="20"/>
                <w:szCs w:val="20"/>
                <w:color w:val="auto"/>
              </w:rPr>
            </w:pPr>
            <w:r>
              <w:rPr>
                <w:rFonts w:ascii="Arial" w:cs="Arial" w:eastAsia="Arial" w:hAnsi="Arial"/>
                <w:sz w:val="13"/>
                <w:szCs w:val="13"/>
                <w:b w:val="1"/>
                <w:bCs w:val="1"/>
                <w:color w:val="auto"/>
              </w:rPr>
              <w:t>(c)</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42"/>
              <w:spacing w:after="0" w:line="136" w:lineRule="exact"/>
              <w:rPr>
                <w:sz w:val="20"/>
                <w:szCs w:val="20"/>
                <w:color w:val="auto"/>
              </w:rPr>
            </w:pPr>
            <w:r>
              <w:rPr>
                <w:rFonts w:ascii="Arial" w:cs="Arial" w:eastAsia="Arial" w:hAnsi="Arial"/>
                <w:sz w:val="13"/>
                <w:szCs w:val="13"/>
                <w:b w:val="1"/>
                <w:bCs w:val="1"/>
                <w:color w:val="auto"/>
              </w:rPr>
              <w:t>(d)</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42"/>
              <w:spacing w:after="0" w:line="136" w:lineRule="exact"/>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(f)</w:t>
            </w:r>
          </w:p>
        </w:tc>
        <w:tc>
          <w:tcPr>
            <w:tcW w:w="2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(f)</w:t>
            </w:r>
          </w:p>
        </w:tc>
        <w:tc>
          <w:tcPr>
            <w:tcW w:w="220" w:type="dxa"/>
            <w:vAlign w:val="bottom"/>
          </w:tcPr>
          <w:p>
            <w:pPr>
              <w:spacing w:after="0"/>
              <w:rPr>
                <w:sz w:val="11"/>
                <w:szCs w:val="11"/>
                <w:color w:val="auto"/>
              </w:rPr>
            </w:pPr>
          </w:p>
        </w:tc>
        <w:tc>
          <w:tcPr>
            <w:tcW w:w="600" w:type="dxa"/>
            <w:vAlign w:val="bottom"/>
            <w:tcBorders>
              <w:top w:val="single" w:sz="8" w:color="auto"/>
            </w:tcBorders>
            <w:gridSpan w:val="2"/>
          </w:tcPr>
          <w:p>
            <w:pPr>
              <w:ind w:left="220"/>
              <w:spacing w:after="0" w:line="136" w:lineRule="exact"/>
              <w:rPr>
                <w:sz w:val="20"/>
                <w:szCs w:val="20"/>
                <w:color w:val="auto"/>
              </w:rPr>
            </w:pPr>
            <w:r>
              <w:rPr>
                <w:rFonts w:ascii="Arial" w:cs="Arial" w:eastAsia="Arial" w:hAnsi="Arial"/>
                <w:sz w:val="13"/>
                <w:szCs w:val="13"/>
                <w:b w:val="1"/>
                <w:bCs w:val="1"/>
                <w:color w:val="auto"/>
              </w:rPr>
              <w:t>(h)</w:t>
            </w:r>
          </w:p>
        </w:tc>
        <w:tc>
          <w:tcPr>
            <w:tcW w:w="220" w:type="dxa"/>
            <w:vAlign w:val="bottom"/>
          </w:tcPr>
          <w:p>
            <w:pPr>
              <w:spacing w:after="0"/>
              <w:rPr>
                <w:sz w:val="11"/>
                <w:szCs w:val="11"/>
                <w:color w:val="auto"/>
              </w:rPr>
            </w:pPr>
          </w:p>
        </w:tc>
        <w:tc>
          <w:tcPr>
            <w:tcW w:w="620" w:type="dxa"/>
            <w:vAlign w:val="bottom"/>
            <w:tcBorders>
              <w:top w:val="single" w:sz="8" w:color="auto"/>
            </w:tcBorders>
          </w:tcPr>
          <w:p>
            <w:pPr>
              <w:ind w:left="240"/>
              <w:spacing w:after="0" w:line="136" w:lineRule="exact"/>
              <w:rPr>
                <w:sz w:val="20"/>
                <w:szCs w:val="20"/>
                <w:color w:val="auto"/>
              </w:rPr>
            </w:pPr>
            <w:r>
              <w:rPr>
                <w:rFonts w:ascii="Arial" w:cs="Arial" w:eastAsia="Arial" w:hAnsi="Arial"/>
                <w:sz w:val="13"/>
                <w:szCs w:val="13"/>
                <w:b w:val="1"/>
                <w:bCs w:val="1"/>
                <w:color w:val="auto"/>
              </w:rPr>
              <w:t>(i)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0" w:type="dxa"/>
            <w:vAlign w:val="bottom"/>
            <w:shd w:val="clear" w:color="auto" w:fill="E5E5E5"/>
          </w:tcPr>
          <w:p>
            <w:pPr>
              <w:spacing w:after="0"/>
              <w:rPr>
                <w:sz w:val="20"/>
                <w:szCs w:val="20"/>
                <w:color w:val="auto"/>
              </w:rPr>
            </w:pPr>
            <w:r>
              <w:rPr>
                <w:rFonts w:ascii="Arial" w:cs="Arial" w:eastAsia="Arial" w:hAnsi="Arial"/>
                <w:sz w:val="16"/>
                <w:szCs w:val="16"/>
                <w:color w:val="auto"/>
              </w:rPr>
              <w:t>2024</w:t>
            </w:r>
          </w:p>
        </w:tc>
        <w:tc>
          <w:tcPr>
            <w:tcW w:w="2400" w:type="dxa"/>
            <w:vAlign w:val="bottom"/>
            <w:gridSpan w:val="3"/>
            <w:shd w:val="clear" w:color="auto" w:fill="E5E5E5"/>
          </w:tcPr>
          <w:p>
            <w:pPr>
              <w:ind w:left="1360"/>
              <w:spacing w:after="0"/>
              <w:rPr>
                <w:sz w:val="20"/>
                <w:szCs w:val="20"/>
                <w:color w:val="auto"/>
              </w:rPr>
            </w:pPr>
            <w:r>
              <w:rPr>
                <w:rFonts w:ascii="Arial" w:cs="Arial" w:eastAsia="Arial" w:hAnsi="Arial"/>
                <w:sz w:val="16"/>
                <w:szCs w:val="16"/>
                <w:color w:val="auto"/>
              </w:rPr>
              <w:t>$2,257,528</w:t>
            </w:r>
          </w:p>
        </w:tc>
        <w:tc>
          <w:tcPr>
            <w:tcW w:w="560" w:type="dxa"/>
            <w:vAlign w:val="bottom"/>
            <w:shd w:val="clear" w:color="auto" w:fill="E5E5E5"/>
          </w:tcPr>
          <w:p>
            <w:pPr>
              <w:ind w:left="4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w w:val="98"/>
              </w:rPr>
              <w:t>2,257,528</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880,058</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432,075</w:t>
            </w:r>
          </w:p>
        </w:tc>
        <w:tc>
          <w:tcPr>
            <w:tcW w:w="220" w:type="dxa"/>
            <w:vAlign w:val="bottom"/>
            <w:shd w:val="clear" w:color="auto" w:fill="E5E5E5"/>
          </w:tcPr>
          <w:p>
            <w:pPr>
              <w:spacing w:after="0"/>
              <w:rPr>
                <w:sz w:val="16"/>
                <w:szCs w:val="16"/>
                <w:color w:val="auto"/>
              </w:rPr>
            </w:pP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$75.97</w:t>
            </w: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$ 81.11</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ind w:left="2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w:t>
            </w:r>
          </w:p>
        </w:tc>
        <w:tc>
          <w:tcPr>
            <w:tcW w:w="220" w:type="dxa"/>
            <w:vAlign w:val="bottom"/>
            <w:shd w:val="clear" w:color="auto" w:fill="E5E5E5"/>
          </w:tcPr>
          <w:p>
            <w:pPr>
              <w:spacing w:after="0"/>
              <w:rPr>
                <w:sz w:val="16"/>
                <w:szCs w:val="16"/>
                <w:color w:val="auto"/>
              </w:rPr>
            </w:pPr>
          </w:p>
        </w:tc>
        <w:tc>
          <w:tcPr>
            <w:tcW w:w="6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2023</w:t>
            </w:r>
          </w:p>
        </w:tc>
        <w:tc>
          <w:tcPr>
            <w:tcW w:w="2400" w:type="dxa"/>
            <w:vAlign w:val="bottom"/>
            <w:gridSpan w:val="3"/>
          </w:tcPr>
          <w:p>
            <w:pPr>
              <w:ind w:left="1360"/>
              <w:spacing w:after="0"/>
              <w:rPr>
                <w:sz w:val="20"/>
                <w:szCs w:val="20"/>
                <w:color w:val="auto"/>
              </w:rPr>
            </w:pPr>
            <w:r>
              <w:rPr>
                <w:rFonts w:ascii="Arial" w:cs="Arial" w:eastAsia="Arial" w:hAnsi="Arial"/>
                <w:sz w:val="16"/>
                <w:szCs w:val="16"/>
                <w:color w:val="auto"/>
              </w:rPr>
              <w:t>$2,873,977</w:t>
            </w:r>
          </w:p>
        </w:tc>
        <w:tc>
          <w:tcPr>
            <w:tcW w:w="560" w:type="dxa"/>
            <w:vAlign w:val="bottom"/>
          </w:tcPr>
          <w:p>
            <w:pPr>
              <w:ind w:left="46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84"/>
              <w:spacing w:after="0"/>
              <w:rPr>
                <w:sz w:val="20"/>
                <w:szCs w:val="20"/>
                <w:color w:val="auto"/>
              </w:rPr>
            </w:pPr>
            <w:r>
              <w:rPr>
                <w:rFonts w:ascii="Arial" w:cs="Arial" w:eastAsia="Arial" w:hAnsi="Arial"/>
                <w:sz w:val="16"/>
                <w:szCs w:val="16"/>
                <w:color w:val="auto"/>
                <w:w w:val="98"/>
              </w:rPr>
              <w:t>2,873,977</w:t>
            </w:r>
          </w:p>
        </w:tc>
        <w:tc>
          <w:tcPr>
            <w:tcW w:w="2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1,734,494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2,573,925</w:t>
            </w:r>
          </w:p>
        </w:tc>
        <w:tc>
          <w:tcPr>
            <w:tcW w:w="1300" w:type="dxa"/>
            <w:vAlign w:val="bottom"/>
          </w:tcPr>
          <w:p>
            <w:pPr>
              <w:jc w:val="center"/>
              <w:spacing w:after="0"/>
              <w:rPr>
                <w:sz w:val="20"/>
                <w:szCs w:val="20"/>
                <w:color w:val="auto"/>
              </w:rPr>
            </w:pPr>
            <w:r>
              <w:rPr>
                <w:rFonts w:ascii="Arial" w:cs="Arial" w:eastAsia="Arial" w:hAnsi="Arial"/>
                <w:sz w:val="16"/>
                <w:szCs w:val="16"/>
                <w:color w:val="auto"/>
              </w:rPr>
              <w:t>$92.58</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$80.60</w:t>
            </w:r>
          </w:p>
        </w:tc>
        <w:tc>
          <w:tcPr>
            <w:tcW w:w="220" w:type="dxa"/>
            <w:vAlign w:val="bottom"/>
          </w:tcPr>
          <w:p>
            <w:pPr>
              <w:spacing w:after="0"/>
              <w:rPr>
                <w:sz w:val="16"/>
                <w:szCs w:val="16"/>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125</w:t>
            </w:r>
          </w:p>
        </w:tc>
        <w:tc>
          <w:tcPr>
            <w:tcW w:w="2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Arial" w:cs="Arial" w:eastAsia="Arial" w:hAnsi="Arial"/>
                <w:sz w:val="16"/>
                <w:szCs w:val="16"/>
                <w:color w:val="auto"/>
              </w:rPr>
              <w:t>$203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shd w:val="clear" w:color="auto" w:fill="E5E5E5"/>
          </w:tcPr>
          <w:p>
            <w:pPr>
              <w:spacing w:after="0"/>
              <w:rPr>
                <w:sz w:val="20"/>
                <w:szCs w:val="20"/>
                <w:color w:val="auto"/>
              </w:rPr>
            </w:pPr>
            <w:r>
              <w:rPr>
                <w:rFonts w:ascii="Arial" w:cs="Arial" w:eastAsia="Arial" w:hAnsi="Arial"/>
                <w:sz w:val="16"/>
                <w:szCs w:val="16"/>
                <w:color w:val="auto"/>
              </w:rPr>
              <w:t>2022</w:t>
            </w:r>
          </w:p>
        </w:tc>
        <w:tc>
          <w:tcPr>
            <w:tcW w:w="2400" w:type="dxa"/>
            <w:vAlign w:val="bottom"/>
            <w:gridSpan w:val="3"/>
            <w:shd w:val="clear" w:color="auto" w:fill="E5E5E5"/>
          </w:tcPr>
          <w:p>
            <w:pPr>
              <w:ind w:left="1360"/>
              <w:spacing w:after="0"/>
              <w:rPr>
                <w:sz w:val="20"/>
                <w:szCs w:val="20"/>
                <w:color w:val="auto"/>
              </w:rPr>
            </w:pPr>
            <w:r>
              <w:rPr>
                <w:rFonts w:ascii="Arial" w:cs="Arial" w:eastAsia="Arial" w:hAnsi="Arial"/>
                <w:sz w:val="16"/>
                <w:szCs w:val="16"/>
                <w:color w:val="auto"/>
              </w:rPr>
              <w:t>$3,599,838</w:t>
            </w:r>
          </w:p>
        </w:tc>
        <w:tc>
          <w:tcPr>
            <w:tcW w:w="560" w:type="dxa"/>
            <w:vAlign w:val="bottom"/>
            <w:shd w:val="clear" w:color="auto" w:fill="E5E5E5"/>
          </w:tcPr>
          <w:p>
            <w:pPr>
              <w:ind w:left="4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5E5E5"/>
          </w:tcPr>
          <w:p>
            <w:pPr>
              <w:jc w:val="right"/>
              <w:ind w:right="324"/>
              <w:spacing w:after="0"/>
              <w:rPr>
                <w:sz w:val="20"/>
                <w:szCs w:val="20"/>
                <w:color w:val="auto"/>
              </w:rPr>
            </w:pPr>
            <w:r>
              <w:rPr>
                <w:rFonts w:ascii="Arial" w:cs="Arial" w:eastAsia="Arial" w:hAnsi="Arial"/>
                <w:sz w:val="16"/>
                <w:szCs w:val="16"/>
                <w:color w:val="auto"/>
              </w:rPr>
              <w:t>(886,579)</w:t>
            </w: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w w:val="98"/>
              </w:rPr>
              <w:t>1,261,987</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263,241</w:t>
            </w:r>
          </w:p>
        </w:tc>
        <w:tc>
          <w:tcPr>
            <w:tcW w:w="220" w:type="dxa"/>
            <w:vAlign w:val="bottom"/>
            <w:shd w:val="clear" w:color="auto" w:fill="E5E5E5"/>
          </w:tcPr>
          <w:p>
            <w:pPr>
              <w:spacing w:after="0"/>
              <w:rPr>
                <w:sz w:val="16"/>
                <w:szCs w:val="16"/>
                <w:color w:val="auto"/>
              </w:rPr>
            </w:pP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$76.17</w:t>
            </w: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$69.59</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ind w:left="2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7"/>
              </w:rPr>
              <w:t>137</w:t>
            </w:r>
          </w:p>
        </w:tc>
        <w:tc>
          <w:tcPr>
            <w:tcW w:w="220" w:type="dxa"/>
            <w:vAlign w:val="bottom"/>
            <w:shd w:val="clear" w:color="auto" w:fill="E5E5E5"/>
          </w:tcPr>
          <w:p>
            <w:pPr>
              <w:spacing w:after="0"/>
              <w:rPr>
                <w:sz w:val="16"/>
                <w:szCs w:val="16"/>
                <w:color w:val="auto"/>
              </w:rPr>
            </w:pPr>
          </w:p>
        </w:tc>
        <w:tc>
          <w:tcPr>
            <w:tcW w:w="6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$223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80" w:right="360" w:hanging="764"/>
        <w:spacing w:after="0" w:line="24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dollar amounts reported in column (b) are the amounts of total compensation reported for Mr. Reed (our Chief Executive Officer) for each corresponding year in the “Total” column of the Summary Compensation Table. Refer to “Executive Compensation—Summary Compensation Table.”</w:t>
      </w:r>
    </w:p>
    <w:p>
      <w:pPr>
        <w:spacing w:after="0" w:line="1" w:lineRule="exact"/>
        <w:rPr>
          <w:rFonts w:ascii="Arial" w:cs="Arial" w:eastAsia="Arial" w:hAnsi="Arial"/>
          <w:sz w:val="18"/>
          <w:szCs w:val="18"/>
          <w:color w:val="auto"/>
        </w:rPr>
      </w:pPr>
    </w:p>
    <w:p>
      <w:pPr>
        <w:ind w:left="880" w:right="100" w:hanging="76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dollar amounts reported in column (c) represent the amount of “compensation actually paid” to Mr. Reed, as computed in accordance with Item 402(v) of Regulation S-K. The dollar amounts do not reflect the actual amount of compensation earned by or paid to Mr. Reed during the applicable year. In accordance with the requirements of Item 402(v) of Regulation S-K, the following adjustments were made to Mr. Reed’s total compensation for each year to determine the compensation actually paid: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Fiscal</w:t>
            </w:r>
          </w:p>
        </w:tc>
        <w:tc>
          <w:tcPr>
            <w:tcW w:w="270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Reported Summary</w:t>
            </w: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Average Reported</w:t>
            </w:r>
          </w:p>
        </w:tc>
        <w:tc>
          <w:tcPr>
            <w:tcW w:w="17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Average Equity</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vMerge w:val="continue"/>
          </w:tcPr>
          <w:p>
            <w:pPr>
              <w:spacing w:after="0"/>
              <w:rPr>
                <w:sz w:val="12"/>
                <w:szCs w:val="12"/>
                <w:color w:val="auto"/>
              </w:rPr>
            </w:pPr>
          </w:p>
        </w:tc>
        <w:tc>
          <w:tcPr>
            <w:tcW w:w="270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Compensation</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Value of</w:t>
            </w:r>
          </w:p>
        </w:tc>
        <w:tc>
          <w:tcPr>
            <w:tcW w:w="90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rPr>
              <w:t>Award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60" w:type="dxa"/>
            <w:vAlign w:val="bottom"/>
            <w:gridSpan w:val="2"/>
          </w:tcPr>
          <w:p>
            <w:pPr>
              <w:jc w:val="right"/>
              <w:ind w:right="590"/>
              <w:spacing w:after="0" w:line="14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700" w:type="dxa"/>
            <w:vAlign w:val="bottom"/>
          </w:tcPr>
          <w:p>
            <w:pPr>
              <w:spacing w:after="0"/>
              <w:rPr>
                <w:sz w:val="16"/>
                <w:szCs w:val="16"/>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Table Total for PEO</w:t>
            </w: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Equity Awards(a)</w:t>
            </w:r>
          </w:p>
        </w:tc>
        <w:tc>
          <w:tcPr>
            <w:tcW w:w="17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Adjustments(b)</w:t>
            </w:r>
          </w:p>
        </w:tc>
        <w:tc>
          <w:tcPr>
            <w:tcW w:w="23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Actually Paid to PEO</w:t>
            </w:r>
          </w:p>
        </w:tc>
        <w:tc>
          <w:tcPr>
            <w:tcW w:w="0" w:type="dxa"/>
            <w:vAlign w:val="bottom"/>
          </w:tcPr>
          <w:p>
            <w:pPr>
              <w:spacing w:after="0"/>
              <w:rPr>
                <w:sz w:val="1"/>
                <w:szCs w:val="1"/>
                <w:color w:val="auto"/>
              </w:rPr>
            </w:pPr>
          </w:p>
        </w:tc>
      </w:tr>
      <w:tr>
        <w:trPr>
          <w:trHeight w:val="190"/>
        </w:trPr>
        <w:tc>
          <w:tcPr>
            <w:tcW w:w="420" w:type="dxa"/>
            <w:vAlign w:val="bottom"/>
            <w:tcBorders>
              <w:top w:val="single" w:sz="8" w:color="E5E5E5"/>
            </w:tcBorders>
            <w:shd w:val="clear" w:color="auto" w:fill="E5E5E5"/>
          </w:tcPr>
          <w:p>
            <w:pPr>
              <w:spacing w:after="0" w:line="189" w:lineRule="exact"/>
              <w:rPr>
                <w:sz w:val="20"/>
                <w:szCs w:val="20"/>
                <w:color w:val="auto"/>
              </w:rPr>
            </w:pPr>
            <w:r>
              <w:rPr>
                <w:rFonts w:ascii="Arial" w:cs="Arial" w:eastAsia="Arial" w:hAnsi="Arial"/>
                <w:sz w:val="18"/>
                <w:szCs w:val="18"/>
                <w:color w:val="auto"/>
                <w:w w:val="99"/>
              </w:rPr>
              <w:t>2024</w:t>
            </w:r>
          </w:p>
        </w:tc>
        <w:tc>
          <w:tcPr>
            <w:tcW w:w="2700" w:type="dxa"/>
            <w:vAlign w:val="bottom"/>
            <w:tcBorders>
              <w:top w:val="single" w:sz="8" w:color="E5E5E5"/>
            </w:tcBorders>
            <w:shd w:val="clear" w:color="auto" w:fill="E5E5E5"/>
          </w:tcPr>
          <w:p>
            <w:pPr>
              <w:spacing w:after="0"/>
              <w:rPr>
                <w:sz w:val="16"/>
                <w:szCs w:val="16"/>
                <w:color w:val="auto"/>
              </w:rPr>
            </w:pPr>
          </w:p>
        </w:tc>
        <w:tc>
          <w:tcPr>
            <w:tcW w:w="134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$2,257,528</w:t>
            </w:r>
          </w:p>
        </w:tc>
        <w:tc>
          <w:tcPr>
            <w:tcW w:w="580" w:type="dxa"/>
            <w:vAlign w:val="bottom"/>
            <w:tcBorders>
              <w:top w:val="single" w:sz="8" w:color="E5E5E5"/>
            </w:tcBorders>
            <w:shd w:val="clear" w:color="auto" w:fill="E5E5E5"/>
          </w:tcPr>
          <w:p>
            <w:pPr>
              <w:spacing w:after="0"/>
              <w:rPr>
                <w:sz w:val="16"/>
                <w:szCs w:val="16"/>
                <w:color w:val="auto"/>
              </w:rPr>
            </w:pPr>
          </w:p>
        </w:tc>
        <w:tc>
          <w:tcPr>
            <w:tcW w:w="1240" w:type="dxa"/>
            <w:vAlign w:val="bottom"/>
            <w:tcBorders>
              <w:top w:val="single" w:sz="8" w:color="auto"/>
            </w:tcBorders>
            <w:shd w:val="clear" w:color="auto" w:fill="E5E5E5"/>
          </w:tcPr>
          <w:p>
            <w:pPr>
              <w:ind w:left="580"/>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ind w:left="140"/>
              <w:spacing w:after="0" w:line="189" w:lineRule="exact"/>
              <w:rPr>
                <w:sz w:val="20"/>
                <w:szCs w:val="20"/>
                <w:color w:val="auto"/>
              </w:rPr>
            </w:pPr>
            <w:r>
              <w:rPr>
                <w:rFonts w:ascii="Arial" w:cs="Arial" w:eastAsia="Arial" w:hAnsi="Arial"/>
                <w:sz w:val="18"/>
                <w:szCs w:val="18"/>
                <w:color w:val="auto"/>
                <w:w w:val="82"/>
              </w:rPr>
              <w:t>$— </w:t>
            </w:r>
          </w:p>
        </w:tc>
        <w:tc>
          <w:tcPr>
            <w:tcW w:w="18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4"/>
                <w:szCs w:val="4"/>
                <w:color w:val="auto"/>
                <w:w w:val="98"/>
              </w:rPr>
              <w:t> </w:t>
            </w:r>
          </w:p>
        </w:tc>
        <w:tc>
          <w:tcPr>
            <w:tcW w:w="1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tcBorders>
              <w:top w:val="single" w:sz="8" w:color="auto"/>
            </w:tcBorders>
            <w:shd w:val="clear" w:color="auto" w:fill="E5E5E5"/>
          </w:tcPr>
          <w:p>
            <w:pPr>
              <w:ind w:left="60"/>
              <w:spacing w:after="0" w:line="189" w:lineRule="exact"/>
              <w:rPr>
                <w:sz w:val="20"/>
                <w:szCs w:val="20"/>
                <w:color w:val="auto"/>
              </w:rPr>
            </w:pPr>
            <w:r>
              <w:rPr>
                <w:rFonts w:ascii="Arial" w:cs="Arial" w:eastAsia="Arial" w:hAnsi="Arial"/>
                <w:sz w:val="18"/>
                <w:szCs w:val="18"/>
                <w:color w:val="auto"/>
                <w:w w:val="97"/>
              </w:rPr>
              <w:t>    </w:t>
            </w:r>
          </w:p>
        </w:tc>
        <w:tc>
          <w:tcPr>
            <w:tcW w:w="580" w:type="dxa"/>
            <w:vAlign w:val="bottom"/>
            <w:tcBorders>
              <w:top w:val="single" w:sz="8" w:color="E5E5E5"/>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E5E5E5"/>
          </w:tcPr>
          <w:p>
            <w:pPr>
              <w:jc w:val="right"/>
              <w:ind w:right="630"/>
              <w:spacing w:after="0" w:line="189" w:lineRule="exact"/>
              <w:rPr>
                <w:sz w:val="20"/>
                <w:szCs w:val="20"/>
                <w:color w:val="auto"/>
              </w:rPr>
            </w:pPr>
            <w:r>
              <w:rPr>
                <w:rFonts w:ascii="Arial" w:cs="Arial" w:eastAsia="Arial" w:hAnsi="Arial"/>
                <w:sz w:val="18"/>
                <w:szCs w:val="18"/>
                <w:color w:val="auto"/>
                <w:w w:val="99"/>
              </w:rPr>
              <w:t>2,257,528</w:t>
            </w:r>
          </w:p>
        </w:tc>
        <w:tc>
          <w:tcPr>
            <w:tcW w:w="0" w:type="dxa"/>
            <w:vAlign w:val="bottom"/>
          </w:tcPr>
          <w:p>
            <w:pPr>
              <w:spacing w:after="0"/>
              <w:rPr>
                <w:sz w:val="1"/>
                <w:szCs w:val="1"/>
                <w:color w:val="auto"/>
              </w:rPr>
            </w:pPr>
          </w:p>
        </w:tc>
      </w:tr>
      <w:tr>
        <w:trPr>
          <w:trHeight w:val="203"/>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2023</w:t>
            </w:r>
          </w:p>
        </w:tc>
        <w:tc>
          <w:tcPr>
            <w:tcW w:w="46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$2,873,977</w:t>
            </w:r>
          </w:p>
        </w:tc>
        <w:tc>
          <w:tcPr>
            <w:tcW w:w="184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140"/>
              <w:spacing w:after="0" w:line="202" w:lineRule="exact"/>
              <w:rPr>
                <w:sz w:val="20"/>
                <w:szCs w:val="20"/>
                <w:color w:val="auto"/>
              </w:rPr>
            </w:pPr>
            <w:r>
              <w:rPr>
                <w:rFonts w:ascii="Arial" w:cs="Arial" w:eastAsia="Arial" w:hAnsi="Arial"/>
                <w:sz w:val="18"/>
                <w:szCs w:val="18"/>
                <w:color w:val="auto"/>
                <w:w w:val="82"/>
              </w:rPr>
              <w:t>$— </w:t>
            </w:r>
          </w:p>
        </w:tc>
        <w:tc>
          <w:tcPr>
            <w:tcW w:w="180" w:type="dxa"/>
            <w:vAlign w:val="bottom"/>
          </w:tcPr>
          <w:p>
            <w:pPr>
              <w:jc w:val="center"/>
              <w:spacing w:after="0"/>
              <w:rPr>
                <w:sz w:val="20"/>
                <w:szCs w:val="20"/>
                <w:color w:val="auto"/>
              </w:rPr>
            </w:pPr>
            <w:r>
              <w:rPr>
                <w:rFonts w:ascii="Arial" w:cs="Arial" w:eastAsia="Arial" w:hAnsi="Arial"/>
                <w:sz w:val="4"/>
                <w:szCs w:val="4"/>
                <w:color w:val="auto"/>
                <w:w w:val="98"/>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99"/>
              </w:rPr>
              <w:t>2,873,977</w:t>
            </w:r>
          </w:p>
        </w:tc>
        <w:tc>
          <w:tcPr>
            <w:tcW w:w="0" w:type="dxa"/>
            <w:vAlign w:val="bottom"/>
          </w:tcPr>
          <w:p>
            <w:pPr>
              <w:spacing w:after="0"/>
              <w:rPr>
                <w:sz w:val="1"/>
                <w:szCs w:val="1"/>
                <w:color w:val="auto"/>
              </w:rPr>
            </w:pPr>
          </w:p>
        </w:tc>
      </w:tr>
      <w:tr>
        <w:trPr>
          <w:trHeight w:val="203"/>
        </w:trPr>
        <w:tc>
          <w:tcPr>
            <w:tcW w:w="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w w:val="99"/>
              </w:rPr>
              <w:t>2022</w:t>
            </w:r>
          </w:p>
        </w:tc>
        <w:tc>
          <w:tcPr>
            <w:tcW w:w="4620" w:type="dxa"/>
            <w:vAlign w:val="bottom"/>
            <w:gridSpan w:val="3"/>
            <w:shd w:val="clear" w:color="auto" w:fill="E5E5E5"/>
          </w:tcPr>
          <w:p>
            <w:pPr>
              <w:jc w:val="right"/>
              <w:ind w:right="580"/>
              <w:spacing w:after="0" w:line="202" w:lineRule="exact"/>
              <w:rPr>
                <w:sz w:val="20"/>
                <w:szCs w:val="20"/>
                <w:color w:val="auto"/>
              </w:rPr>
            </w:pPr>
            <w:r>
              <w:rPr>
                <w:rFonts w:ascii="Arial" w:cs="Arial" w:eastAsia="Arial" w:hAnsi="Arial"/>
                <w:sz w:val="18"/>
                <w:szCs w:val="18"/>
                <w:color w:val="auto"/>
              </w:rPr>
              <w:t>$3,599,838</w:t>
            </w:r>
          </w:p>
        </w:tc>
        <w:tc>
          <w:tcPr>
            <w:tcW w:w="1840" w:type="dxa"/>
            <w:vAlign w:val="bottom"/>
            <w:gridSpan w:val="2"/>
            <w:shd w:val="clear" w:color="auto" w:fill="E5E5E5"/>
          </w:tcPr>
          <w:p>
            <w:pPr>
              <w:ind w:left="5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4"/>
            <w:shd w:val="clear" w:color="auto" w:fill="E5E5E5"/>
          </w:tcPr>
          <w:p>
            <w:pPr>
              <w:ind w:left="120"/>
              <w:spacing w:after="0" w:line="202" w:lineRule="exact"/>
              <w:rPr>
                <w:sz w:val="20"/>
                <w:szCs w:val="20"/>
                <w:color w:val="auto"/>
              </w:rPr>
            </w:pPr>
            <w:r>
              <w:rPr>
                <w:rFonts w:ascii="Arial" w:cs="Arial" w:eastAsia="Arial" w:hAnsi="Arial"/>
                <w:sz w:val="18"/>
                <w:szCs w:val="18"/>
                <w:color w:val="auto"/>
              </w:rPr>
              <w:t>$(4,486,417)</w:t>
            </w:r>
          </w:p>
        </w:tc>
        <w:tc>
          <w:tcPr>
            <w:tcW w:w="5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right"/>
              <w:ind w:right="570"/>
              <w:spacing w:after="0" w:line="202" w:lineRule="exact"/>
              <w:rPr>
                <w:sz w:val="20"/>
                <w:szCs w:val="20"/>
                <w:color w:val="auto"/>
              </w:rPr>
            </w:pPr>
            <w:r>
              <w:rPr>
                <w:rFonts w:ascii="Arial" w:cs="Arial" w:eastAsia="Arial" w:hAnsi="Arial"/>
                <w:sz w:val="18"/>
                <w:szCs w:val="18"/>
                <w:color w:val="auto"/>
              </w:rPr>
              <w:t>(886,579)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40" w:right="760" w:hanging="655"/>
        <w:spacing w:after="0" w:line="245"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grant date fair value of equity awards represents the amounts reported in the “Stock Awards” column in the Summary Compensation Table for the applicable year.</w:t>
      </w:r>
    </w:p>
    <w:p>
      <w:pPr>
        <w:ind w:left="1540" w:hanging="655"/>
        <w:spacing w:after="0" w:line="234"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Mr. Reed did not receive equity awards during 2024, 2023 or 2022. The average equity award adjustment of</w:t>
      </w:r>
    </w:p>
    <w:p>
      <w:pPr>
        <w:ind w:left="1540" w:right="600"/>
        <w:spacing w:after="0" w:line="234" w:lineRule="auto"/>
        <w:rPr>
          <w:rFonts w:ascii="Arial" w:cs="Arial" w:eastAsia="Arial" w:hAnsi="Arial"/>
          <w:sz w:val="18"/>
          <w:szCs w:val="18"/>
          <w:color w:val="auto"/>
        </w:rPr>
      </w:pPr>
      <w:r>
        <w:rPr>
          <w:rFonts w:ascii="Arial" w:cs="Arial" w:eastAsia="Arial" w:hAnsi="Arial"/>
          <w:sz w:val="18"/>
          <w:szCs w:val="18"/>
          <w:color w:val="auto"/>
        </w:rPr>
        <w:t>$(4,486,417) made in 2022 relates to the change in the fair value (from prior year-end to vesting date) of all Stock Awards granted in any prior fiscal year that vested.</w:t>
      </w:r>
    </w:p>
    <w:p>
      <w:pPr>
        <w:spacing w:after="0" w:line="1" w:lineRule="exact"/>
        <w:rPr>
          <w:rFonts w:ascii="Arial" w:cs="Arial" w:eastAsia="Arial" w:hAnsi="Arial"/>
          <w:sz w:val="18"/>
          <w:szCs w:val="18"/>
          <w:color w:val="auto"/>
        </w:rPr>
      </w:pPr>
    </w:p>
    <w:p>
      <w:pPr>
        <w:ind w:left="880" w:right="20" w:hanging="764"/>
        <w:spacing w:after="0" w:line="23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dollar amounts reported in column (d) represent the average of the amounts reported for the Company’s named executive officers as a group (excluding Mr. Reed) in the “Total” column of the Summary Compensation Table in each applicable year. The names of each of the named executive officers (excluding Mr. Reed) included for purposes of calculating the average amounts in each applicable year are as follows: (i) for 2024 Dawn Phillipson, Kathy Veltri, Jennifer Porter and Lisa Chi; (ii) for 2023, Dawn Phillipson, Kathy Veltri, Lisa Chi and Venkat Nachiappan; and (iii) for 2022, Dawn Phillipson and Kathy Veltri.</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880" w:right="40" w:hanging="764"/>
        <w:spacing w:after="0" w:line="23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dollar amounts reported in column (e) represent the average amount of “compensation actually paid” to the named executive officers as a group (excluding Mr. Reed), as computed in accordance with Item 402(v) of Regulation S-K. The dollar amounts do not reflect the actual average amount of compensation earned by or paid to the named executive officers as a group (excluding Mr. Reed) during the applicable year. In accordance with the requirements of Item 402(v) of Regulation S-K, the following adjustments were made to average total compensation for the named executive officers as a group (excluding</w:t>
      </w:r>
    </w:p>
    <w:p>
      <w:pPr>
        <w:spacing w:after="0" w:line="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Mr. Reed) for each year to determine the compensation actually paid, using the same methodology described above:</w:t>
      </w:r>
    </w:p>
    <w:p>
      <w:pPr>
        <w:sectPr>
          <w:pgSz w:w="11900" w:h="16838" w:orient="portrait"/>
          <w:cols w:equalWidth="0" w:num="1">
            <w:col w:w="11140"/>
          </w:cols>
          <w:pgMar w:left="320" w:top="482" w:right="439" w:bottom="1440" w:gutter="0" w:footer="0" w:header="0"/>
        </w:sect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Fiscal</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65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2024</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2023</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2235" w:type="dxa"/>
        <w:tblCellMar>
          <w:top w:w="0" w:type="dxa"/>
          <w:left w:w="0" w:type="dxa"/>
          <w:bottom w:w="0" w:type="dxa"/>
          <w:right w:w="0" w:type="dxa"/>
        </w:tblCellMar>
      </w:tblPr>
      <w:tr>
        <w:trPr>
          <w:trHeight w:val="162"/>
        </w:trPr>
        <w:tc>
          <w:tcPr>
            <w:tcW w:w="2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Average Reported Summary</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Average Reported</w:t>
            </w: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Average Equity</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Compensation</w:t>
            </w:r>
          </w:p>
        </w:tc>
      </w:tr>
      <w:tr>
        <w:trPr>
          <w:trHeight w:val="162"/>
        </w:trPr>
        <w:tc>
          <w:tcPr>
            <w:tcW w:w="2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Compensation Table Total</w:t>
            </w: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Value of Equity</w:t>
            </w: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Award</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Actually Paid to</w:t>
            </w:r>
          </w:p>
        </w:tc>
      </w:tr>
      <w:tr>
        <w:trPr>
          <w:trHeight w:val="171"/>
        </w:trPr>
        <w:tc>
          <w:tcPr>
            <w:tcW w:w="2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For Non-PEO NEOs</w:t>
            </w: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Awards(a)</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Adjustments(b)</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Non-PEO NEOs</w:t>
            </w:r>
          </w:p>
        </w:tc>
      </w:tr>
      <w:tr>
        <w:trPr>
          <w:trHeight w:val="177"/>
        </w:trPr>
        <w:tc>
          <w:tcPr>
            <w:tcW w:w="1920" w:type="dxa"/>
            <w:vAlign w:val="bottom"/>
            <w:tcBorders>
              <w:top w:val="single" w:sz="8" w:color="auto"/>
            </w:tcBorders>
          </w:tcPr>
          <w:p>
            <w:pPr>
              <w:ind w:left="860"/>
              <w:spacing w:after="0" w:line="177" w:lineRule="exact"/>
              <w:rPr>
                <w:sz w:val="20"/>
                <w:szCs w:val="20"/>
                <w:color w:val="auto"/>
              </w:rPr>
            </w:pPr>
            <w:r>
              <w:rPr>
                <w:rFonts w:ascii="Arial" w:cs="Arial" w:eastAsia="Arial" w:hAnsi="Arial"/>
                <w:sz w:val="18"/>
                <w:szCs w:val="18"/>
                <w:color w:val="auto"/>
              </w:rPr>
              <w:t>$   880,058</w:t>
            </w:r>
          </w:p>
        </w:tc>
        <w:tc>
          <w:tcPr>
            <w:tcW w:w="740" w:type="dxa"/>
            <w:vAlign w:val="bottom"/>
          </w:tcPr>
          <w:p>
            <w:pPr>
              <w:spacing w:after="0"/>
              <w:rPr>
                <w:sz w:val="15"/>
                <w:szCs w:val="15"/>
                <w:color w:val="auto"/>
              </w:rPr>
            </w:pPr>
          </w:p>
        </w:tc>
        <w:tc>
          <w:tcPr>
            <w:tcW w:w="380" w:type="dxa"/>
            <w:vAlign w:val="bottom"/>
            <w:tcBorders>
              <w:top w:val="single" w:sz="8" w:color="auto"/>
            </w:tcBorders>
          </w:tcPr>
          <w:p>
            <w:pPr>
              <w:ind w:left="260"/>
              <w:spacing w:after="0" w:line="177"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284,789</w:t>
            </w:r>
          </w:p>
        </w:tc>
        <w:tc>
          <w:tcPr>
            <w:tcW w:w="720" w:type="dxa"/>
            <w:vAlign w:val="bottom"/>
          </w:tcPr>
          <w:p>
            <w:pPr>
              <w:spacing w:after="0"/>
              <w:rPr>
                <w:sz w:val="15"/>
                <w:szCs w:val="15"/>
                <w:color w:val="auto"/>
              </w:rPr>
            </w:pPr>
          </w:p>
        </w:tc>
        <w:tc>
          <w:tcPr>
            <w:tcW w:w="1060" w:type="dxa"/>
            <w:vAlign w:val="bottom"/>
            <w:tcBorders>
              <w:top w:val="single" w:sz="8" w:color="auto"/>
            </w:tcBorders>
          </w:tcPr>
          <w:p>
            <w:pPr>
              <w:ind w:left="120"/>
              <w:spacing w:after="0" w:line="177" w:lineRule="exact"/>
              <w:rPr>
                <w:sz w:val="20"/>
                <w:szCs w:val="20"/>
                <w:color w:val="auto"/>
              </w:rPr>
            </w:pPr>
            <w:r>
              <w:rPr>
                <w:rFonts w:ascii="Arial" w:cs="Arial" w:eastAsia="Arial" w:hAnsi="Arial"/>
                <w:sz w:val="18"/>
                <w:szCs w:val="18"/>
                <w:color w:val="auto"/>
              </w:rPr>
              <w:t>$(447,983)</w:t>
            </w:r>
          </w:p>
        </w:tc>
        <w:tc>
          <w:tcPr>
            <w:tcW w:w="720" w:type="dxa"/>
            <w:vAlign w:val="bottom"/>
          </w:tcPr>
          <w:p>
            <w:pPr>
              <w:spacing w:after="0"/>
              <w:rPr>
                <w:sz w:val="15"/>
                <w:szCs w:val="15"/>
                <w:color w:val="auto"/>
              </w:rPr>
            </w:pPr>
          </w:p>
        </w:tc>
        <w:tc>
          <w:tcPr>
            <w:tcW w:w="7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432,075</w:t>
            </w:r>
          </w:p>
        </w:tc>
      </w:tr>
      <w:tr>
        <w:trPr>
          <w:trHeight w:val="203"/>
        </w:trPr>
        <w:tc>
          <w:tcPr>
            <w:tcW w:w="1920" w:type="dxa"/>
            <w:vAlign w:val="bottom"/>
          </w:tcPr>
          <w:p>
            <w:pPr>
              <w:ind w:left="860"/>
              <w:spacing w:after="0" w:line="202" w:lineRule="exact"/>
              <w:rPr>
                <w:sz w:val="20"/>
                <w:szCs w:val="20"/>
                <w:color w:val="auto"/>
              </w:rPr>
            </w:pPr>
            <w:r>
              <w:rPr>
                <w:rFonts w:ascii="Arial" w:cs="Arial" w:eastAsia="Arial" w:hAnsi="Arial"/>
                <w:sz w:val="18"/>
                <w:szCs w:val="18"/>
                <w:color w:val="auto"/>
              </w:rPr>
              <w:t>$1,734,494</w:t>
            </w:r>
          </w:p>
        </w:tc>
        <w:tc>
          <w:tcPr>
            <w:tcW w:w="740" w:type="dxa"/>
            <w:vAlign w:val="bottom"/>
          </w:tcPr>
          <w:p>
            <w:pPr>
              <w:spacing w:after="0"/>
              <w:rPr>
                <w:sz w:val="17"/>
                <w:szCs w:val="17"/>
                <w:color w:val="auto"/>
              </w:rPr>
            </w:pP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7"/>
              </w:rPr>
              <w:t>1,067,786</w:t>
            </w:r>
          </w:p>
        </w:tc>
        <w:tc>
          <w:tcPr>
            <w:tcW w:w="720" w:type="dxa"/>
            <w:vAlign w:val="bottom"/>
          </w:tcPr>
          <w:p>
            <w:pPr>
              <w:spacing w:after="0"/>
              <w:rPr>
                <w:sz w:val="17"/>
                <w:szCs w:val="17"/>
                <w:color w:val="auto"/>
              </w:rPr>
            </w:pPr>
          </w:p>
        </w:tc>
        <w:tc>
          <w:tcPr>
            <w:tcW w:w="1060" w:type="dxa"/>
            <w:vAlign w:val="bottom"/>
          </w:tcPr>
          <w:p>
            <w:pPr>
              <w:ind w:left="120"/>
              <w:spacing w:after="0" w:line="202" w:lineRule="exact"/>
              <w:rPr>
                <w:sz w:val="20"/>
                <w:szCs w:val="20"/>
                <w:color w:val="auto"/>
              </w:rPr>
            </w:pPr>
            <w:r>
              <w:rPr>
                <w:rFonts w:ascii="Arial" w:cs="Arial" w:eastAsia="Arial" w:hAnsi="Arial"/>
                <w:sz w:val="18"/>
                <w:szCs w:val="18"/>
                <w:color w:val="auto"/>
              </w:rPr>
              <w:t>$ 839,431</w:t>
            </w:r>
          </w:p>
        </w:tc>
        <w:tc>
          <w:tcPr>
            <w:tcW w:w="7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2,573,925</w:t>
            </w:r>
          </w:p>
        </w:tc>
      </w:tr>
      <w:tr>
        <w:trPr>
          <w:trHeight w:val="239"/>
        </w:trPr>
        <w:tc>
          <w:tcPr>
            <w:tcW w:w="1920" w:type="dxa"/>
            <w:vAlign w:val="bottom"/>
          </w:tcPr>
          <w:p>
            <w:pPr>
              <w:ind w:left="860"/>
              <w:spacing w:after="0"/>
              <w:rPr>
                <w:sz w:val="20"/>
                <w:szCs w:val="20"/>
                <w:color w:val="auto"/>
              </w:rPr>
            </w:pPr>
            <w:r>
              <w:rPr>
                <w:rFonts w:ascii="Arial" w:cs="Arial" w:eastAsia="Arial" w:hAnsi="Arial"/>
                <w:sz w:val="18"/>
                <w:szCs w:val="18"/>
                <w:color w:val="auto"/>
              </w:rPr>
              <w:t>$1,261,987</w:t>
            </w:r>
          </w:p>
        </w:tc>
        <w:tc>
          <w:tcPr>
            <w:tcW w:w="740" w:type="dxa"/>
            <w:vAlign w:val="bottom"/>
          </w:tcPr>
          <w:p>
            <w:pPr>
              <w:spacing w:after="0"/>
              <w:rPr>
                <w:sz w:val="20"/>
                <w:szCs w:val="20"/>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287,500</w:t>
            </w:r>
          </w:p>
        </w:tc>
        <w:tc>
          <w:tcPr>
            <w:tcW w:w="72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$(998,746)</w:t>
            </w:r>
          </w:p>
        </w:tc>
        <w:tc>
          <w:tcPr>
            <w:tcW w:w="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6995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-139065</wp:posOffset>
            </wp:positionV>
            <wp:extent cx="699516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87" w:lineRule="exact"/>
        <w:rPr>
          <w:sz w:val="20"/>
          <w:szCs w:val="20"/>
          <w:color w:val="auto"/>
        </w:rPr>
      </w:pPr>
    </w:p>
    <w:p>
      <w:pPr>
        <w:ind w:left="655" w:right="760" w:hanging="655"/>
        <w:spacing w:after="0" w:line="24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date fair value of equity awards represents the amounts reported in the “Stock Awards” column in the Summary Compensation Table for the applicable year.</w:t>
      </w:r>
    </w:p>
    <w:p>
      <w:pPr>
        <w:ind w:left="655" w:hanging="655"/>
        <w:spacing w:after="0"/>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Description of average equity award adjustments:</w:t>
      </w:r>
    </w:p>
    <w:p>
      <w:pPr>
        <w:spacing w:after="0" w:line="200" w:lineRule="exact"/>
        <w:rPr>
          <w:sz w:val="20"/>
          <w:szCs w:val="20"/>
          <w:color w:val="auto"/>
        </w:rPr>
      </w:pPr>
    </w:p>
    <w:p>
      <w:pPr>
        <w:sectPr>
          <w:pgSz w:w="11900" w:h="16838" w:orient="portrait"/>
          <w:cols w:equalWidth="0" w:num="2">
            <w:col w:w="520" w:space="365"/>
            <w:col w:w="10255"/>
          </w:cols>
          <w:pgMar w:left="320" w:top="482" w:right="439" w:bottom="1440" w:gutter="0" w:footer="0" w:header="0"/>
          <w:type w:val="continuous"/>
        </w:sectPr>
      </w:pPr>
    </w:p>
    <w:p>
      <w:pPr>
        <w:spacing w:after="0" w:line="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Deduction </w:t>
            </w:r>
            <w:r>
              <w:rPr>
                <w:rFonts w:ascii="Arial" w:cs="Arial" w:eastAsia="Arial" w:hAnsi="Arial"/>
                <w:sz w:val="18"/>
                <w:szCs w:val="18"/>
                <w:color w:val="auto"/>
              </w:rPr>
              <w:t>of the grant date fair value of awards reported in the</w:t>
            </w: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“Stock Awards” column of the Summary Compensation Table</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Arial" w:cs="Arial" w:eastAsia="Arial" w:hAnsi="Arial"/>
                <w:sz w:val="18"/>
                <w:szCs w:val="18"/>
                <w:color w:val="auto"/>
              </w:rPr>
              <w:t>(Stock Awards) for the covered year</w:t>
            </w:r>
          </w:p>
        </w:tc>
        <w:tc>
          <w:tcPr>
            <w:tcW w:w="1100" w:type="dxa"/>
            <w:vAlign w:val="bottom"/>
            <w:gridSpan w:val="3"/>
          </w:tcPr>
          <w:p>
            <w:pPr>
              <w:jc w:val="right"/>
              <w:ind w:right="141"/>
              <w:spacing w:after="0"/>
              <w:rPr>
                <w:sz w:val="20"/>
                <w:szCs w:val="20"/>
                <w:color w:val="auto"/>
              </w:rPr>
            </w:pPr>
            <w:r>
              <w:rPr>
                <w:rFonts w:ascii="Arial" w:cs="Arial" w:eastAsia="Arial" w:hAnsi="Arial"/>
                <w:sz w:val="18"/>
                <w:szCs w:val="18"/>
                <w:color w:val="auto"/>
                <w:w w:val="98"/>
              </w:rPr>
              <w:t>$(284,789)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(1,067,786)</w:t>
            </w: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184"/>
        </w:trPr>
        <w:tc>
          <w:tcPr>
            <w:tcW w:w="5540" w:type="dxa"/>
            <w:vAlign w:val="bottom"/>
            <w:shd w:val="clear" w:color="auto" w:fill="E5E5E5"/>
          </w:tcPr>
          <w:p>
            <w:pPr>
              <w:spacing w:after="0" w:line="183" w:lineRule="exact"/>
              <w:rPr>
                <w:sz w:val="20"/>
                <w:szCs w:val="20"/>
                <w:color w:val="auto"/>
              </w:rPr>
            </w:pPr>
            <w:r>
              <w:rPr>
                <w:rFonts w:ascii="Arial" w:cs="Arial" w:eastAsia="Arial" w:hAnsi="Arial"/>
                <w:sz w:val="18"/>
                <w:szCs w:val="18"/>
                <w:i w:val="1"/>
                <w:iCs w:val="1"/>
                <w:color w:val="auto"/>
              </w:rPr>
              <w:t xml:space="preserve">Addition </w:t>
            </w:r>
            <w:r>
              <w:rPr>
                <w:rFonts w:ascii="Arial" w:cs="Arial" w:eastAsia="Arial" w:hAnsi="Arial"/>
                <w:sz w:val="18"/>
                <w:szCs w:val="18"/>
                <w:color w:val="auto"/>
              </w:rPr>
              <w:t>of the year-end fair value of all Stock Awards granted</w:t>
            </w:r>
          </w:p>
        </w:tc>
        <w:tc>
          <w:tcPr>
            <w:tcW w:w="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during the covered fiscal year that are outstanding and</w:t>
            </w:r>
          </w:p>
        </w:tc>
        <w:tc>
          <w:tcPr>
            <w:tcW w:w="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unvested</w:t>
            </w: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170,619</w:t>
            </w:r>
          </w:p>
        </w:tc>
        <w:tc>
          <w:tcPr>
            <w:tcW w:w="2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1,501,066</w:t>
            </w:r>
          </w:p>
        </w:tc>
        <w:tc>
          <w:tcPr>
            <w:tcW w:w="2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487,500</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line="183" w:lineRule="exact"/>
              <w:rPr>
                <w:sz w:val="20"/>
                <w:szCs w:val="20"/>
                <w:color w:val="auto"/>
              </w:rPr>
            </w:pPr>
            <w:r>
              <w:rPr>
                <w:rFonts w:ascii="Arial" w:cs="Arial" w:eastAsia="Arial" w:hAnsi="Arial"/>
                <w:sz w:val="18"/>
                <w:szCs w:val="18"/>
                <w:i w:val="1"/>
                <w:iCs w:val="1"/>
                <w:color w:val="auto"/>
              </w:rPr>
              <w:t xml:space="preserve">Change </w:t>
            </w:r>
            <w:r>
              <w:rPr>
                <w:rFonts w:ascii="Arial" w:cs="Arial" w:eastAsia="Arial" w:hAnsi="Arial"/>
                <w:sz w:val="18"/>
                <w:szCs w:val="18"/>
                <w:color w:val="auto"/>
              </w:rPr>
              <w:t>in the year-end fair value (from prior year-end) of all</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80"/>
              <w:spacing w:after="0" w:line="202" w:lineRule="exact"/>
              <w:rPr>
                <w:sz w:val="20"/>
                <w:szCs w:val="20"/>
                <w:color w:val="auto"/>
              </w:rPr>
            </w:pPr>
            <w:r>
              <w:rPr>
                <w:rFonts w:ascii="Arial" w:cs="Arial" w:eastAsia="Arial" w:hAnsi="Arial"/>
                <w:sz w:val="18"/>
                <w:szCs w:val="18"/>
                <w:color w:val="auto"/>
              </w:rPr>
              <w:t>Stock Awards granted in any prior fiscal year that are</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Arial" w:cs="Arial" w:eastAsia="Arial" w:hAnsi="Arial"/>
                <w:sz w:val="18"/>
                <w:szCs w:val="18"/>
                <w:color w:val="auto"/>
              </w:rPr>
              <w:t>outstanding and unvested</w:t>
            </w:r>
          </w:p>
        </w:tc>
        <w:tc>
          <w:tcPr>
            <w:tcW w:w="1100" w:type="dxa"/>
            <w:vAlign w:val="bottom"/>
            <w:gridSpan w:val="3"/>
          </w:tcPr>
          <w:p>
            <w:pPr>
              <w:jc w:val="right"/>
              <w:ind w:right="141"/>
              <w:spacing w:after="0"/>
              <w:rPr>
                <w:sz w:val="20"/>
                <w:szCs w:val="20"/>
                <w:color w:val="auto"/>
              </w:rPr>
            </w:pPr>
            <w:r>
              <w:rPr>
                <w:rFonts w:ascii="Arial" w:cs="Arial" w:eastAsia="Arial" w:hAnsi="Arial"/>
                <w:sz w:val="18"/>
                <w:szCs w:val="18"/>
                <w:color w:val="auto"/>
              </w:rPr>
              <w:t>(235,231)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165,917</w:t>
            </w:r>
          </w:p>
        </w:tc>
        <w:tc>
          <w:tcPr>
            <w:tcW w:w="260" w:type="dxa"/>
            <w:vAlign w:val="bottom"/>
          </w:tcPr>
          <w:p>
            <w:pPr>
              <w:spacing w:after="0"/>
              <w:rPr>
                <w:sz w:val="19"/>
                <w:szCs w:val="19"/>
                <w:color w:val="auto"/>
              </w:rPr>
            </w:pPr>
          </w:p>
        </w:tc>
        <w:tc>
          <w:tcPr>
            <w:tcW w:w="1180" w:type="dxa"/>
            <w:vAlign w:val="bottom"/>
            <w:gridSpan w:val="3"/>
          </w:tcPr>
          <w:p>
            <w:pPr>
              <w:jc w:val="right"/>
              <w:ind w:right="41"/>
              <w:spacing w:after="0"/>
              <w:rPr>
                <w:sz w:val="20"/>
                <w:szCs w:val="20"/>
                <w:color w:val="auto"/>
              </w:rPr>
            </w:pPr>
            <w:r>
              <w:rPr>
                <w:rFonts w:ascii="Arial" w:cs="Arial" w:eastAsia="Arial" w:hAnsi="Arial"/>
                <w:sz w:val="18"/>
                <w:szCs w:val="18"/>
                <w:color w:val="auto"/>
              </w:rPr>
              <w:t>(608,698)</w:t>
            </w:r>
          </w:p>
        </w:tc>
        <w:tc>
          <w:tcPr>
            <w:tcW w:w="0" w:type="dxa"/>
            <w:vAlign w:val="bottom"/>
          </w:tcPr>
          <w:p>
            <w:pPr>
              <w:spacing w:after="0"/>
              <w:rPr>
                <w:sz w:val="1"/>
                <w:szCs w:val="1"/>
                <w:color w:val="auto"/>
              </w:rPr>
            </w:pPr>
          </w:p>
        </w:tc>
      </w:tr>
      <w:tr>
        <w:trPr>
          <w:trHeight w:val="184"/>
        </w:trPr>
        <w:tc>
          <w:tcPr>
            <w:tcW w:w="5540" w:type="dxa"/>
            <w:vAlign w:val="bottom"/>
            <w:shd w:val="clear" w:color="auto" w:fill="E5E5E5"/>
          </w:tcPr>
          <w:p>
            <w:pPr>
              <w:spacing w:after="0" w:line="183" w:lineRule="exact"/>
              <w:rPr>
                <w:sz w:val="20"/>
                <w:szCs w:val="20"/>
                <w:color w:val="auto"/>
              </w:rPr>
            </w:pPr>
            <w:r>
              <w:rPr>
                <w:rFonts w:ascii="Arial" w:cs="Arial" w:eastAsia="Arial" w:hAnsi="Arial"/>
                <w:sz w:val="18"/>
                <w:szCs w:val="18"/>
                <w:i w:val="1"/>
                <w:iCs w:val="1"/>
                <w:color w:val="auto"/>
              </w:rPr>
              <w:t xml:space="preserve">Change </w:t>
            </w:r>
            <w:r>
              <w:rPr>
                <w:rFonts w:ascii="Arial" w:cs="Arial" w:eastAsia="Arial" w:hAnsi="Arial"/>
                <w:sz w:val="18"/>
                <w:szCs w:val="18"/>
                <w:color w:val="auto"/>
              </w:rPr>
              <w:t>in the fair value (from prior year-end to vesting date) of</w:t>
            </w:r>
          </w:p>
        </w:tc>
        <w:tc>
          <w:tcPr>
            <w:tcW w:w="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all Stock Awards granted in any prior fiscal year that vested</w:t>
            </w:r>
          </w:p>
        </w:tc>
        <w:tc>
          <w:tcPr>
            <w:tcW w:w="1100" w:type="dxa"/>
            <w:vAlign w:val="bottom"/>
            <w:gridSpan w:val="3"/>
            <w:shd w:val="clear" w:color="auto" w:fill="E5E5E5"/>
          </w:tcPr>
          <w:p>
            <w:pPr>
              <w:jc w:val="right"/>
              <w:ind w:right="141"/>
              <w:spacing w:after="0"/>
              <w:rPr>
                <w:sz w:val="20"/>
                <w:szCs w:val="20"/>
                <w:color w:val="auto"/>
              </w:rPr>
            </w:pPr>
            <w:r>
              <w:rPr>
                <w:rFonts w:ascii="Arial" w:cs="Arial" w:eastAsia="Arial" w:hAnsi="Arial"/>
                <w:sz w:val="18"/>
                <w:szCs w:val="18"/>
                <w:color w:val="auto"/>
              </w:rPr>
              <w:t>(98,582)</w:t>
            </w:r>
          </w:p>
        </w:tc>
        <w:tc>
          <w:tcPr>
            <w:tcW w:w="2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240,234</w:t>
            </w:r>
          </w:p>
        </w:tc>
        <w:tc>
          <w:tcPr>
            <w:tcW w:w="260" w:type="dxa"/>
            <w:vAlign w:val="bottom"/>
            <w:shd w:val="clear" w:color="auto" w:fill="E5E5E5"/>
          </w:tcPr>
          <w:p>
            <w:pPr>
              <w:spacing w:after="0"/>
              <w:rPr>
                <w:sz w:val="19"/>
                <w:szCs w:val="19"/>
                <w:color w:val="auto"/>
              </w:rPr>
            </w:pPr>
          </w:p>
        </w:tc>
        <w:tc>
          <w:tcPr>
            <w:tcW w:w="1180" w:type="dxa"/>
            <w:vAlign w:val="bottom"/>
            <w:gridSpan w:val="3"/>
            <w:shd w:val="clear" w:color="auto" w:fill="E5E5E5"/>
          </w:tcPr>
          <w:p>
            <w:pPr>
              <w:jc w:val="right"/>
              <w:ind w:right="41"/>
              <w:spacing w:after="0"/>
              <w:rPr>
                <w:sz w:val="20"/>
                <w:szCs w:val="20"/>
                <w:color w:val="auto"/>
              </w:rPr>
            </w:pPr>
            <w:r>
              <w:rPr>
                <w:rFonts w:ascii="Arial" w:cs="Arial" w:eastAsia="Arial" w:hAnsi="Arial"/>
                <w:sz w:val="18"/>
                <w:szCs w:val="18"/>
                <w:color w:val="auto"/>
              </w:rPr>
              <w:t>(590,048)</w:t>
            </w:r>
          </w:p>
        </w:tc>
        <w:tc>
          <w:tcPr>
            <w:tcW w:w="0" w:type="dxa"/>
            <w:vAlign w:val="bottom"/>
          </w:tcPr>
          <w:p>
            <w:pPr>
              <w:spacing w:after="0"/>
              <w:rPr>
                <w:sz w:val="1"/>
                <w:szCs w:val="1"/>
                <w:color w:val="auto"/>
              </w:rPr>
            </w:pPr>
          </w:p>
        </w:tc>
      </w:tr>
      <w:tr>
        <w:trPr>
          <w:trHeight w:val="210"/>
        </w:trPr>
        <w:tc>
          <w:tcPr>
            <w:tcW w:w="5540" w:type="dxa"/>
            <w:vAlign w:val="bottom"/>
          </w:tcPr>
          <w:p>
            <w:pPr>
              <w:ind w:left="360"/>
              <w:spacing w:after="0"/>
              <w:rPr>
                <w:sz w:val="20"/>
                <w:szCs w:val="20"/>
                <w:color w:val="auto"/>
              </w:rPr>
            </w:pPr>
            <w:r>
              <w:rPr>
                <w:rFonts w:ascii="Arial" w:cs="Arial" w:eastAsia="Arial" w:hAnsi="Arial"/>
                <w:sz w:val="18"/>
                <w:szCs w:val="18"/>
                <w:color w:val="auto"/>
              </w:rPr>
              <w:t>Total adjustments</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(447,983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(998,746</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880" w:right="60" w:hanging="764"/>
        <w:spacing w:after="0" w:line="24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Arial" w:cs="Arial" w:eastAsia="Arial" w:hAnsi="Arial"/>
          <w:sz w:val="18"/>
          <w:szCs w:val="18"/>
          <w:color w:val="auto"/>
        </w:rPr>
      </w:pPr>
    </w:p>
    <w:p>
      <w:pPr>
        <w:ind w:left="880" w:right="40" w:hanging="764"/>
        <w:spacing w:after="0" w:line="23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Cumulative Peer Group TSR is calculated by dividing the sum of the cumulative amount of dividends for the measurement period, assuming dividend reinvestment, and the difference between the Dow Jones U.S. Furnishings index’s share price at the end and the beginning of the measurement period by the Dow Jones U.S. Furnishings index’s share price at the beginning of the measurement period.</w:t>
      </w:r>
    </w:p>
    <w:p>
      <w:pPr>
        <w:spacing w:after="0" w:line="2" w:lineRule="exact"/>
        <w:rPr>
          <w:rFonts w:ascii="Arial" w:cs="Arial" w:eastAsia="Arial" w:hAnsi="Arial"/>
          <w:sz w:val="18"/>
          <w:szCs w:val="18"/>
          <w:color w:val="auto"/>
        </w:rPr>
      </w:pPr>
    </w:p>
    <w:p>
      <w:pPr>
        <w:ind w:left="880" w:right="80" w:hanging="764"/>
        <w:spacing w:after="0" w:line="23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in the Company’s audited financial statements for the applicable year.</w:t>
      </w:r>
    </w:p>
    <w:p>
      <w:pPr>
        <w:spacing w:after="0" w:line="1" w:lineRule="exact"/>
        <w:rPr>
          <w:rFonts w:ascii="Arial" w:cs="Arial" w:eastAsia="Arial" w:hAnsi="Arial"/>
          <w:sz w:val="18"/>
          <w:szCs w:val="18"/>
          <w:color w:val="auto"/>
        </w:rPr>
      </w:pPr>
    </w:p>
    <w:p>
      <w:pPr>
        <w:ind w:left="880" w:right="540" w:hanging="764"/>
        <w:spacing w:after="0" w:line="242"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adjusted EBITDA, which is a non-GAAP measure. We believe that adjusted EBITDA is a useful measure of operating performance as the adjustments eliminate items that we believe are not reflective of underlying operating performance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140"/>
          </w:cols>
          <w:pgMar w:left="320" w:top="482"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880" w:right="620"/>
        <w:spacing w:after="0" w:line="253" w:lineRule="auto"/>
        <w:rPr>
          <w:sz w:val="20"/>
          <w:szCs w:val="20"/>
          <w:color w:val="auto"/>
        </w:rPr>
      </w:pPr>
      <w:r>
        <w:rPr>
          <w:rFonts w:ascii="Arial" w:cs="Arial" w:eastAsia="Arial" w:hAnsi="Arial"/>
          <w:sz w:val="18"/>
          <w:szCs w:val="18"/>
          <w:color w:val="auto"/>
        </w:rPr>
        <w:t>in a particular period. Adjusted EBITDA facilitates a comparison of our operating performance on a consistent basis from period-to-period and provides for a more complete understanding of factors and trends affecting our business. For more information about this measure, refer to the Company’s Annual Report on Form 10-K for the applicable year.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16281C"/>
        </w:rPr>
        <w:t>Narrative Disclosure to Pay Versus Performance Table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Financial Performance Measures</w:t>
      </w:r>
    </w:p>
    <w:p>
      <w:pPr>
        <w:spacing w:after="0" w:line="202" w:lineRule="exact"/>
        <w:rPr>
          <w:sz w:val="20"/>
          <w:szCs w:val="20"/>
          <w:color w:val="auto"/>
        </w:rPr>
      </w:pPr>
    </w:p>
    <w:p>
      <w:pPr>
        <w:ind w:left="120" w:firstLine="1102"/>
        <w:spacing w:after="0" w:line="237" w:lineRule="auto"/>
        <w:rPr>
          <w:sz w:val="20"/>
          <w:szCs w:val="20"/>
          <w:color w:val="auto"/>
        </w:rPr>
      </w:pPr>
      <w:r>
        <w:rPr>
          <w:rFonts w:ascii="Arial" w:cs="Arial" w:eastAsia="Arial" w:hAnsi="Arial"/>
          <w:sz w:val="20"/>
          <w:szCs w:val="20"/>
          <w:color w:val="auto"/>
        </w:rPr>
        <w:t>The following is a list of financial performance measures, which we believe, represent the most important performance used by the Company to link compensation actually paid to our named executive officers, for fiscal year 2024, to Company performance. The demand and adjusted EBITDA measures are further described above in “Executive Compensation”.</w:t>
      </w:r>
    </w:p>
    <w:p>
      <w:pPr>
        <w:spacing w:after="0" w:line="99" w:lineRule="exact"/>
        <w:rPr>
          <w:sz w:val="20"/>
          <w:szCs w:val="20"/>
          <w:color w:val="auto"/>
        </w:rPr>
      </w:pPr>
    </w:p>
    <w:p>
      <w:pPr>
        <w:ind w:left="1420" w:hanging="427"/>
        <w:spacing w:after="0"/>
        <w:tabs>
          <w:tab w:leader="none" w:pos="1420" w:val="left"/>
        </w:tabs>
        <w:numPr>
          <w:ilvl w:val="0"/>
          <w:numId w:val="39"/>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Demand</w:t>
      </w:r>
    </w:p>
    <w:p>
      <w:pPr>
        <w:ind w:left="1420" w:hanging="427"/>
        <w:spacing w:after="0" w:line="180" w:lineRule="auto"/>
        <w:tabs>
          <w:tab w:leader="none" w:pos="1420" w:val="left"/>
        </w:tabs>
        <w:numPr>
          <w:ilvl w:val="0"/>
          <w:numId w:val="39"/>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Adjusted EBITDA</w:t>
      </w:r>
    </w:p>
    <w:p>
      <w:pPr>
        <w:ind w:left="1420" w:hanging="427"/>
        <w:spacing w:after="0" w:line="181" w:lineRule="auto"/>
        <w:tabs>
          <w:tab w:leader="none" w:pos="1420" w:val="left"/>
        </w:tabs>
        <w:numPr>
          <w:ilvl w:val="0"/>
          <w:numId w:val="39"/>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Net income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Relationship Between Financial Performance Measures</w:t>
      </w:r>
    </w:p>
    <w:p>
      <w:pPr>
        <w:spacing w:after="0" w:line="202" w:lineRule="exact"/>
        <w:rPr>
          <w:sz w:val="20"/>
          <w:szCs w:val="20"/>
          <w:color w:val="auto"/>
        </w:rPr>
      </w:pPr>
    </w:p>
    <w:p>
      <w:pPr>
        <w:ind w:left="120" w:right="20" w:firstLine="1102"/>
        <w:spacing w:after="0" w:line="237" w:lineRule="auto"/>
        <w:rPr>
          <w:sz w:val="20"/>
          <w:szCs w:val="20"/>
          <w:color w:val="auto"/>
        </w:rPr>
      </w:pPr>
      <w:r>
        <w:rPr>
          <w:rFonts w:ascii="Arial" w:cs="Arial" w:eastAsia="Arial" w:hAnsi="Arial"/>
          <w:sz w:val="20"/>
          <w:szCs w:val="20"/>
          <w:color w:val="auto"/>
        </w:rPr>
        <w:t>We are providing the following graphics to illustrate the relationship between the “compensation actually paid” to our CEO and our named executive officers (excluding the CEO) and Company performance as set forth and described in and under the “Pay versus Performance Table,” including the cumulative total shareholder return (“TSR”) for the Company and peer group, net income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4980305" cy="2442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030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080"/>
          </w:cols>
          <w:pgMar w:left="320" w:top="482"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4980305" cy="511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80305"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139"/>
          </w:cols>
          <w:pgMar w:left="320" w:top="482"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FFFFFF"/>
        </w:rPr>
        <w:t>PROPOSAL TWO: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right="120" w:firstLine="881"/>
        <w:spacing w:after="0" w:line="241" w:lineRule="auto"/>
        <w:rPr>
          <w:sz w:val="20"/>
          <w:szCs w:val="20"/>
          <w:color w:val="auto"/>
        </w:rPr>
      </w:pPr>
      <w:r>
        <w:rPr>
          <w:rFonts w:ascii="Arial" w:cs="Arial" w:eastAsia="Arial" w:hAnsi="Arial"/>
          <w:sz w:val="20"/>
          <w:szCs w:val="20"/>
          <w:color w:val="auto"/>
        </w:rPr>
        <w:t>Commonly referred to as a “say-on-pay” vote, this is a proposal for our stockholders to approve, on an advisory basis, the compensation of our named executive officers as disclosed in this Proxy Statement pursuant to Section 14A of the Securities Exchange Act of 1934 (the “Exchange Act”).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Accordingly, we ask our stockholders to vote on the following resolution at the Annual Meeting:</w:t>
      </w:r>
    </w:p>
    <w:p>
      <w:pPr>
        <w:spacing w:after="0" w:line="94" w:lineRule="exact"/>
        <w:rPr>
          <w:sz w:val="20"/>
          <w:szCs w:val="20"/>
          <w:color w:val="auto"/>
        </w:rPr>
      </w:pPr>
    </w:p>
    <w:p>
      <w:pPr>
        <w:ind w:left="660" w:right="40" w:firstLine="523"/>
        <w:spacing w:after="0" w:line="260" w:lineRule="auto"/>
        <w:rPr>
          <w:sz w:val="20"/>
          <w:szCs w:val="20"/>
          <w:color w:val="auto"/>
        </w:rPr>
      </w:pPr>
      <w:r>
        <w:rPr>
          <w:rFonts w:ascii="Arial" w:cs="Arial" w:eastAsia="Arial" w:hAnsi="Arial"/>
          <w:sz w:val="19"/>
          <w:szCs w:val="19"/>
          <w:color w:val="auto"/>
        </w:rPr>
        <w:t>“RESOLVED, that the Company’s stockholders approve, on an advisory basis, the compensation of the named executive officers, as disclosed in the Company’s Proxy Statement for the Annual Meeting, including the disclosures in the Executive Compensation section, the Summary Compensation Table, and the other related tables and disclosures.”</w:t>
      </w:r>
    </w:p>
    <w:p>
      <w:pPr>
        <w:spacing w:after="0" w:line="154" w:lineRule="exact"/>
        <w:rPr>
          <w:sz w:val="20"/>
          <w:szCs w:val="20"/>
          <w:color w:val="auto"/>
        </w:rPr>
      </w:pPr>
    </w:p>
    <w:p>
      <w:pPr>
        <w:ind w:left="120" w:firstLine="881"/>
        <w:spacing w:after="0" w:line="233" w:lineRule="auto"/>
        <w:rPr>
          <w:sz w:val="20"/>
          <w:szCs w:val="20"/>
          <w:color w:val="auto"/>
        </w:rPr>
      </w:pPr>
      <w:r>
        <w:rPr>
          <w:rFonts w:ascii="Arial" w:cs="Arial" w:eastAsia="Arial" w:hAnsi="Arial"/>
          <w:sz w:val="20"/>
          <w:szCs w:val="20"/>
          <w:color w:val="auto"/>
        </w:rPr>
        <w:t>This vote is advisory, and therefore not binding, on the Company, our Board of Directors or the Compensation Committee. Our Board and our Compensation Committee value the opinions of our stockholders, and to the extent there is any significant vote against this Proposal Two, we will consider our stockholders’ concerns, and the Compensation Committee will evaluate whether any actions are necessary to address those concerns. Under current Board policy, the shareholder vote for advisory approval of named executive officer compensation will occur annually. After the 2025 Annual Meeting, the next such vote will occur at our 2026 annual meeting of shareholders.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Compensation Program and Philosophy</w:t>
      </w:r>
    </w:p>
    <w:p>
      <w:pPr>
        <w:spacing w:after="0" w:line="204" w:lineRule="exact"/>
        <w:rPr>
          <w:sz w:val="20"/>
          <w:szCs w:val="20"/>
          <w:color w:val="auto"/>
        </w:rPr>
      </w:pPr>
    </w:p>
    <w:p>
      <w:pPr>
        <w:ind w:left="120" w:right="20" w:firstLine="881"/>
        <w:spacing w:after="0" w:line="230" w:lineRule="auto"/>
        <w:rPr>
          <w:sz w:val="20"/>
          <w:szCs w:val="20"/>
          <w:color w:val="auto"/>
        </w:rPr>
      </w:pPr>
      <w:r>
        <w:rPr>
          <w:rFonts w:ascii="Arial" w:cs="Arial" w:eastAsia="Arial" w:hAnsi="Arial"/>
          <w:sz w:val="20"/>
          <w:szCs w:val="20"/>
          <w:color w:val="auto"/>
        </w:rPr>
        <w:t>As described in greater detail in the “Executive Compensation” portion of the Proxy Statement, our executive compensation program has been designed to provide a total compensation opportunity to motivate, reward, attract, and retain high-caliber management deemed essential to ensure our success. The program seeks to align executive compensation with our objectives and business strategy and direct management’s efforts toward the achievement of the Company’s financial performance goals. Our compensation program for our executives rewards both short- and long-term performance through a mix of cash and equity compensation, providing our executives with an opportunity to share in the appreciation of our business and generation of shareholder value. Specifically, executive compensation consists of base salary, cash-based incentive compensation, equity compensation, severance and other benefits potentially payable upon termination of employment or change in control, and health and welfare benefits.</w:t>
      </w:r>
    </w:p>
    <w:p>
      <w:pPr>
        <w:spacing w:after="0" w:line="178" w:lineRule="exact"/>
        <w:rPr>
          <w:sz w:val="20"/>
          <w:szCs w:val="20"/>
          <w:color w:val="auto"/>
        </w:rPr>
      </w:pPr>
    </w:p>
    <w:p>
      <w:pPr>
        <w:jc w:val="center"/>
        <w:ind w:left="440" w:right="200"/>
        <w:spacing w:after="0" w:line="309" w:lineRule="auto"/>
        <w:rPr>
          <w:sz w:val="20"/>
          <w:szCs w:val="20"/>
          <w:color w:val="auto"/>
        </w:rPr>
      </w:pPr>
      <w:r>
        <w:rPr>
          <w:rFonts w:ascii="Arial" w:cs="Arial" w:eastAsia="Arial" w:hAnsi="Arial"/>
          <w:sz w:val="23"/>
          <w:szCs w:val="23"/>
          <w:b w:val="1"/>
          <w:bCs w:val="1"/>
          <w:color w:val="auto"/>
        </w:rPr>
        <w:t>The Board of Directors recommends that the stockholders vote FOR the approval of our named executive officer compensation.</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left="460" w:right="240"/>
        <w:spacing w:after="0" w:line="272" w:lineRule="auto"/>
        <w:rPr>
          <w:sz w:val="20"/>
          <w:szCs w:val="20"/>
          <w:color w:val="auto"/>
        </w:rPr>
      </w:pPr>
      <w:r>
        <w:rPr>
          <w:rFonts w:ascii="Arial" w:cs="Arial" w:eastAsia="Arial" w:hAnsi="Arial"/>
          <w:sz w:val="22"/>
          <w:szCs w:val="22"/>
          <w:b w:val="1"/>
          <w:bCs w:val="1"/>
          <w:color w:val="FFFFFF"/>
        </w:rPr>
        <w:t>PROPOSAL THREE: APPROVAL OF THE SELECTION OF PRICEWATERHOUSECOOPERS LLP AS THE COMPANY’S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115" w:lineRule="exact"/>
        <w:rPr>
          <w:sz w:val="20"/>
          <w:szCs w:val="20"/>
          <w:color w:val="auto"/>
        </w:rPr>
      </w:pPr>
    </w:p>
    <w:p>
      <w:pPr>
        <w:ind w:left="120" w:right="20" w:firstLine="881"/>
        <w:spacing w:after="0" w:line="229" w:lineRule="auto"/>
        <w:rPr>
          <w:sz w:val="20"/>
          <w:szCs w:val="20"/>
          <w:color w:val="auto"/>
        </w:rPr>
      </w:pPr>
      <w:r>
        <w:rPr>
          <w:rFonts w:ascii="Arial" w:cs="Arial" w:eastAsia="Arial" w:hAnsi="Arial"/>
          <w:sz w:val="20"/>
          <w:szCs w:val="20"/>
          <w:color w:val="auto"/>
        </w:rPr>
        <w:t>PricewaterhouseCoopers LLP served as the independent registered public accounting firm to the Company in 2023 and 2024. Although the Audit Committee has not yet engaged an independent registered public accounting firm to audit our financial statements for the fiscal year ending December 31, 2025, it currently anticipates selecting PricewaterhouseCoopers LLP, and the Company is submitting the selection of PricewaterhouseCoopers LLP as the independent registered public accounting firm for non-binding approval by the stockholders at the 2025 Annual Meeting. Stockholder approval or ratification of the selection of the Company’s independent registered public accounting firm is not required by the Company’s bylaws or otherwise. However, the Company is submitting the selection of PricewaterhouseCoopers LLP to the stockholders for approval as a matter of good corporate governance practice. Whether or not PricewaterhouseCoopers LLP is approved by the stockholders, the Audit Committee will consider whether it is appropriate to select PricewaterhouseCoopers LLP or another independent registered public accounting firm in its sole discretion without re-submitting the matter to the stockholders.</w:t>
      </w:r>
    </w:p>
    <w:p>
      <w:pPr>
        <w:spacing w:after="0" w:line="17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20"/>
          <w:szCs w:val="20"/>
          <w:color w:val="auto"/>
        </w:rPr>
        <w:t>Representatives of PricewaterhouseCoopers LLP will attend the Annual Meeting. They will have an opportunity to make a statement if they desire to do so and will be available to respond to appropriate questions.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Fees</w:t>
      </w:r>
    </w:p>
    <w:p>
      <w:pPr>
        <w:spacing w:after="0" w:line="204" w:lineRule="exact"/>
        <w:rPr>
          <w:sz w:val="20"/>
          <w:szCs w:val="20"/>
          <w:color w:val="auto"/>
        </w:rPr>
      </w:pPr>
    </w:p>
    <w:p>
      <w:pPr>
        <w:ind w:left="120" w:right="60" w:firstLine="881"/>
        <w:spacing w:after="0" w:line="232" w:lineRule="auto"/>
        <w:rPr>
          <w:sz w:val="20"/>
          <w:szCs w:val="20"/>
          <w:color w:val="auto"/>
        </w:rPr>
      </w:pPr>
      <w:r>
        <w:rPr>
          <w:rFonts w:ascii="Arial" w:cs="Arial" w:eastAsia="Arial" w:hAnsi="Arial"/>
          <w:sz w:val="20"/>
          <w:szCs w:val="20"/>
          <w:color w:val="auto"/>
        </w:rPr>
        <w:t>The Audit Committee must pre-approve any audit or permissible non-audit services. The Audit Committee pre-approves all audit and permissible non-audit services provided by the independent auditors. These services may include audit services, audit-related services, tax services, and other services. Pre-approval is detailed as to the particular service or category of services and is generally subject to a specific budget. The independent auditors and management are required to periodically report to the Audit Committee regarding the extent of services provided by the independent auditors in accordance with this pre-approval, and the fees for the services performed to date. All non-audit services were preapproved by the Audit Committee.</w:t>
      </w:r>
    </w:p>
    <w:p>
      <w:pPr>
        <w:spacing w:after="0" w:line="172"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20"/>
          <w:szCs w:val="20"/>
          <w:color w:val="auto"/>
        </w:rPr>
        <w:t>PricewaterhouseCoopers LLP billed the Company in fiscal year 2023 and 2024 the fees set forth in the table below (in thousands):</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221"/>
        </w:trPr>
        <w:tc>
          <w:tcPr>
            <w:tcW w:w="758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r>
      <w:tr>
        <w:trPr>
          <w:trHeight w:val="196"/>
        </w:trPr>
        <w:tc>
          <w:tcPr>
            <w:tcW w:w="7580" w:type="dxa"/>
            <w:vAlign w:val="bottom"/>
            <w:tcBorders>
              <w:top w:val="single" w:sz="8" w:color="E5E5E5"/>
            </w:tcBorders>
            <w:shd w:val="clear" w:color="auto" w:fill="E5E5E5"/>
          </w:tcPr>
          <w:p>
            <w:pPr>
              <w:ind w:left="100"/>
              <w:spacing w:after="0" w:line="195" w:lineRule="exact"/>
              <w:rPr>
                <w:sz w:val="20"/>
                <w:szCs w:val="20"/>
                <w:color w:val="auto"/>
              </w:rPr>
            </w:pPr>
            <w:r>
              <w:rPr>
                <w:rFonts w:ascii="Arial" w:cs="Arial" w:eastAsia="Arial" w:hAnsi="Arial"/>
                <w:sz w:val="16"/>
                <w:szCs w:val="16"/>
                <w:color w:val="auto"/>
              </w:rPr>
              <w:t> Audit Fees</w:t>
            </w:r>
            <w:r>
              <w:rPr>
                <w:rFonts w:ascii="Arial" w:cs="Arial" w:eastAsia="Arial" w:hAnsi="Arial"/>
                <w:sz w:val="22"/>
                <w:szCs w:val="22"/>
                <w:color w:val="auto"/>
                <w:vertAlign w:val="superscript"/>
              </w:rPr>
              <w:t>(1)</w:t>
            </w:r>
          </w:p>
        </w:tc>
        <w:tc>
          <w:tcPr>
            <w:tcW w:w="68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$2,622</w:t>
            </w:r>
          </w:p>
        </w:tc>
        <w:tc>
          <w:tcPr>
            <w:tcW w:w="220" w:type="dxa"/>
            <w:vAlign w:val="bottom"/>
            <w:tcBorders>
              <w:top w:val="single" w:sz="8" w:color="E5E5E5"/>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$2,567</w:t>
            </w:r>
          </w:p>
        </w:tc>
        <w:tc>
          <w:tcPr>
            <w:tcW w:w="80" w:type="dxa"/>
            <w:vAlign w:val="bottom"/>
            <w:tcBorders>
              <w:top w:val="single" w:sz="8" w:color="E5E5E5"/>
            </w:tcBorders>
            <w:shd w:val="clear" w:color="auto" w:fill="E5E5E5"/>
          </w:tcPr>
          <w:p>
            <w:pPr>
              <w:spacing w:after="0"/>
              <w:rPr>
                <w:sz w:val="17"/>
                <w:szCs w:val="17"/>
                <w:color w:val="auto"/>
              </w:rPr>
            </w:pPr>
          </w:p>
        </w:tc>
      </w:tr>
      <w:tr>
        <w:trPr>
          <w:trHeight w:val="203"/>
        </w:trPr>
        <w:tc>
          <w:tcPr>
            <w:tcW w:w="7580" w:type="dxa"/>
            <w:vAlign w:val="bottom"/>
          </w:tcPr>
          <w:p>
            <w:pPr>
              <w:ind w:left="100"/>
              <w:spacing w:after="0" w:line="202" w:lineRule="exact"/>
              <w:rPr>
                <w:sz w:val="20"/>
                <w:szCs w:val="20"/>
                <w:color w:val="auto"/>
              </w:rPr>
            </w:pPr>
            <w:r>
              <w:rPr>
                <w:rFonts w:ascii="Arial" w:cs="Arial" w:eastAsia="Arial" w:hAnsi="Arial"/>
                <w:sz w:val="18"/>
                <w:szCs w:val="18"/>
                <w:color w:val="auto"/>
              </w:rPr>
              <w:t> Audit-Related Fees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 xml:space="preserve"> Tax Fees </w:t>
            </w:r>
            <w:r>
              <w:rPr>
                <w:rFonts w:ascii="Arial" w:cs="Arial" w:eastAsia="Arial" w:hAnsi="Arial"/>
                <w:sz w:val="23"/>
                <w:szCs w:val="23"/>
                <w:color w:val="auto"/>
                <w:vertAlign w:val="superscript"/>
              </w:rPr>
              <w:t>(2)</w:t>
            </w: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382</w:t>
            </w:r>
          </w:p>
        </w:tc>
        <w:tc>
          <w:tcPr>
            <w:tcW w:w="9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330</w:t>
            </w:r>
          </w:p>
        </w:tc>
        <w:tc>
          <w:tcPr>
            <w:tcW w:w="80" w:type="dxa"/>
            <w:vAlign w:val="bottom"/>
            <w:shd w:val="clear" w:color="auto" w:fill="E5E5E5"/>
          </w:tcPr>
          <w:p>
            <w:pPr>
              <w:spacing w:after="0"/>
              <w:rPr>
                <w:sz w:val="17"/>
                <w:szCs w:val="17"/>
                <w:color w:val="auto"/>
              </w:rPr>
            </w:pPr>
          </w:p>
        </w:tc>
      </w:tr>
      <w:tr>
        <w:trPr>
          <w:trHeight w:val="210"/>
        </w:trPr>
        <w:tc>
          <w:tcPr>
            <w:tcW w:w="7580" w:type="dxa"/>
            <w:vAlign w:val="bottom"/>
          </w:tcPr>
          <w:p>
            <w:pPr>
              <w:ind w:left="100"/>
              <w:spacing w:after="0" w:line="202" w:lineRule="exact"/>
              <w:rPr>
                <w:sz w:val="20"/>
                <w:szCs w:val="20"/>
                <w:color w:val="auto"/>
              </w:rPr>
            </w:pPr>
            <w:r>
              <w:rPr>
                <w:rFonts w:ascii="Arial" w:cs="Arial" w:eastAsia="Arial" w:hAnsi="Arial"/>
                <w:sz w:val="16"/>
                <w:szCs w:val="16"/>
                <w:color w:val="auto"/>
              </w:rPr>
              <w:t> All Other Fees</w:t>
            </w:r>
            <w:r>
              <w:rPr>
                <w:rFonts w:ascii="Arial" w:cs="Arial" w:eastAsia="Arial" w:hAnsi="Arial"/>
                <w:sz w:val="23"/>
                <w:szCs w:val="23"/>
                <w:color w:val="auto"/>
                <w:vertAlign w:val="superscript"/>
              </w:rPr>
              <w:t>(3)</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03"/>
        </w:trPr>
        <w:tc>
          <w:tcPr>
            <w:tcW w:w="75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auto"/>
              </w:rPr>
              <w:t> TOTAL</w:t>
            </w:r>
          </w:p>
        </w:tc>
        <w:tc>
          <w:tcPr>
            <w:tcW w:w="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$3,006</w:t>
            </w:r>
          </w:p>
        </w:tc>
        <w:tc>
          <w:tcPr>
            <w:tcW w:w="9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$2,904</w:t>
            </w:r>
          </w:p>
        </w:tc>
        <w:tc>
          <w:tcPr>
            <w:tcW w:w="80" w:type="dxa"/>
            <w:vAlign w:val="bottom"/>
            <w:shd w:val="clear" w:color="auto" w:fill="E5E5E5"/>
          </w:tcPr>
          <w:p>
            <w:pPr>
              <w:spacing w:after="0"/>
              <w:rPr>
                <w:sz w:val="17"/>
                <w:szCs w:val="17"/>
                <w:color w:val="auto"/>
              </w:rPr>
            </w:pPr>
          </w:p>
        </w:tc>
      </w:tr>
    </w:tbl>
    <w:p>
      <w:pPr>
        <w:ind w:left="1640" w:hanging="647"/>
        <w:spacing w:after="0" w:line="251" w:lineRule="auto"/>
        <w:tabs>
          <w:tab w:leader="none" w:pos="164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 xml:space="preserve">Audit Fees </w:t>
      </w:r>
      <w:r>
        <w:rPr>
          <w:rFonts w:ascii="Arial" w:cs="Arial" w:eastAsia="Arial" w:hAnsi="Arial"/>
          <w:sz w:val="14"/>
          <w:szCs w:val="14"/>
          <w:color w:val="auto"/>
        </w:rPr>
        <w:t>consist of fees billed for professional services rendered for the audit of our financial statements and services that are normally 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by PwC in connection with regulatory filings. The aggregate fees paid to PwC for professional services rendered for the audit of our annual financial statements, the audits included in our registration statements, review of the quarterly financial information in our Form 10-Q and other required filings with the SEC.</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100"/>
          </w:cols>
          <w:pgMar w:left="320" w:top="482"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1640" w:hanging="647"/>
        <w:spacing w:after="0" w:line="251" w:lineRule="auto"/>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Tax Fees </w:t>
      </w:r>
      <w:r>
        <w:rPr>
          <w:rFonts w:ascii="Arial" w:cs="Arial" w:eastAsia="Arial" w:hAnsi="Arial"/>
          <w:sz w:val="14"/>
          <w:szCs w:val="14"/>
          <w:color w:val="auto"/>
        </w:rPr>
        <w:t>consist of professional services rendered by a company aligned with the Company’s principal accountant for tax compliance, tax advice</w:t>
      </w:r>
      <w:r>
        <w:rPr>
          <w:rFonts w:ascii="Arial" w:cs="Arial" w:eastAsia="Arial" w:hAnsi="Arial"/>
          <w:sz w:val="14"/>
          <w:szCs w:val="14"/>
          <w:i w:val="1"/>
          <w:iCs w:val="1"/>
          <w:color w:val="auto"/>
        </w:rPr>
        <w:t xml:space="preserve"> </w:t>
      </w:r>
      <w:r>
        <w:rPr>
          <w:rFonts w:ascii="Arial" w:cs="Arial" w:eastAsia="Arial" w:hAnsi="Arial"/>
          <w:sz w:val="14"/>
          <w:szCs w:val="14"/>
          <w:color w:val="auto"/>
        </w:rPr>
        <w:t>and tax planning.</w:t>
      </w:r>
    </w:p>
    <w:p>
      <w:pPr>
        <w:spacing w:after="0" w:line="1" w:lineRule="exact"/>
        <w:rPr>
          <w:rFonts w:ascii="Arial" w:cs="Arial" w:eastAsia="Arial" w:hAnsi="Arial"/>
          <w:sz w:val="14"/>
          <w:szCs w:val="14"/>
          <w:color w:val="auto"/>
        </w:rPr>
      </w:pPr>
    </w:p>
    <w:p>
      <w:pPr>
        <w:ind w:left="1640" w:hanging="647"/>
        <w:spacing w:after="0"/>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All Other Fees </w:t>
      </w:r>
      <w:r>
        <w:rPr>
          <w:rFonts w:ascii="Arial" w:cs="Arial" w:eastAsia="Arial" w:hAnsi="Arial"/>
          <w:sz w:val="14"/>
          <w:szCs w:val="14"/>
          <w:color w:val="auto"/>
        </w:rPr>
        <w:t>consist of annual subscriptions to PwC’s Disclosure Checklist online tool.</w:t>
      </w:r>
    </w:p>
    <w:p>
      <w:pPr>
        <w:spacing w:after="0" w:line="200" w:lineRule="exact"/>
        <w:rPr>
          <w:sz w:val="20"/>
          <w:szCs w:val="20"/>
          <w:color w:val="auto"/>
        </w:rPr>
      </w:pPr>
    </w:p>
    <w:p>
      <w:pPr>
        <w:spacing w:after="0" w:line="209" w:lineRule="exact"/>
        <w:rPr>
          <w:sz w:val="20"/>
          <w:szCs w:val="20"/>
          <w:color w:val="auto"/>
        </w:rPr>
      </w:pPr>
    </w:p>
    <w:p>
      <w:pPr>
        <w:jc w:val="center"/>
        <w:ind w:left="700" w:right="1440"/>
        <w:spacing w:after="0" w:line="283" w:lineRule="auto"/>
        <w:rPr>
          <w:sz w:val="20"/>
          <w:szCs w:val="20"/>
          <w:color w:val="auto"/>
        </w:rPr>
      </w:pPr>
      <w:r>
        <w:rPr>
          <w:rFonts w:ascii="Arial" w:cs="Arial" w:eastAsia="Arial" w:hAnsi="Arial"/>
          <w:sz w:val="23"/>
          <w:szCs w:val="23"/>
          <w:b w:val="1"/>
          <w:bCs w:val="1"/>
          <w:color w:val="auto"/>
        </w:rPr>
        <w:t>The Board of Directors recommends that the stockholders vote FOR approval of the selection of PricewaterhouseCoopers LLP as the Company’s independent accountant for the 2025 fiscal year.</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23"/>
          <w:szCs w:val="23"/>
          <w:b w:val="1"/>
          <w:bCs w:val="1"/>
          <w:color w:val="auto"/>
        </w:rPr>
        <w:t>Proxies will be voted FOR the approval unless otherwise specified.</w:t>
      </w:r>
    </w:p>
    <w:p>
      <w:pPr>
        <w:spacing w:after="0" w:line="166"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860"/>
          </w:cols>
          <w:pgMar w:left="320" w:top="482"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FFFFFF"/>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The Audit Committee assists the Board in fulfilling its responsibilities for oversight of:</w:t>
      </w:r>
    </w:p>
    <w:p>
      <w:pPr>
        <w:spacing w:after="0" w:line="229" w:lineRule="exact"/>
        <w:rPr>
          <w:sz w:val="20"/>
          <w:szCs w:val="20"/>
          <w:color w:val="auto"/>
        </w:rPr>
      </w:pPr>
    </w:p>
    <w:p>
      <w:pPr>
        <w:ind w:left="1420" w:right="720" w:hanging="427"/>
        <w:spacing w:after="0" w:line="191" w:lineRule="auto"/>
        <w:tabs>
          <w:tab w:leader="none" w:pos="1420" w:val="left"/>
        </w:tabs>
        <w:numPr>
          <w:ilvl w:val="0"/>
          <w:numId w:val="42"/>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The quality and integrity of the Company’s financial statements and accounting and financial reporting processes;</w:t>
      </w:r>
    </w:p>
    <w:p>
      <w:pPr>
        <w:spacing w:after="0" w:line="1" w:lineRule="exact"/>
        <w:rPr>
          <w:rFonts w:ascii="Times New Roman" w:cs="Times New Roman" w:eastAsia="Times New Roman" w:hAnsi="Times New Roman"/>
          <w:sz w:val="29"/>
          <w:szCs w:val="29"/>
          <w:color w:val="auto"/>
          <w:vertAlign w:val="superscript"/>
        </w:rPr>
      </w:pPr>
    </w:p>
    <w:p>
      <w:pPr>
        <w:ind w:left="1420" w:hanging="427"/>
        <w:spacing w:after="0" w:line="180" w:lineRule="auto"/>
        <w:tabs>
          <w:tab w:leader="none" w:pos="1420" w:val="left"/>
        </w:tabs>
        <w:numPr>
          <w:ilvl w:val="0"/>
          <w:numId w:val="42"/>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The Company’s compliance with legal and regulatory requirements;</w:t>
      </w:r>
    </w:p>
    <w:p>
      <w:pPr>
        <w:ind w:left="1420" w:hanging="427"/>
        <w:spacing w:after="0" w:line="180" w:lineRule="auto"/>
        <w:tabs>
          <w:tab w:leader="none" w:pos="1420" w:val="left"/>
        </w:tabs>
        <w:numPr>
          <w:ilvl w:val="0"/>
          <w:numId w:val="42"/>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The qualifications, independence, and performance of the independent auditor;</w:t>
      </w:r>
    </w:p>
    <w:p>
      <w:pPr>
        <w:ind w:left="1420" w:right="100" w:hanging="427"/>
        <w:spacing w:after="0" w:line="184" w:lineRule="auto"/>
        <w:tabs>
          <w:tab w:leader="none" w:pos="1420" w:val="left"/>
        </w:tabs>
        <w:numPr>
          <w:ilvl w:val="0"/>
          <w:numId w:val="42"/>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The design, implementation, and performance of the Company’s internal controls over financial reporting and internal audit function; and</w:t>
      </w:r>
    </w:p>
    <w:p>
      <w:pPr>
        <w:ind w:left="1420" w:hanging="427"/>
        <w:spacing w:after="0" w:line="181" w:lineRule="auto"/>
        <w:tabs>
          <w:tab w:leader="none" w:pos="1420" w:val="left"/>
        </w:tabs>
        <w:numPr>
          <w:ilvl w:val="0"/>
          <w:numId w:val="42"/>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Risk assessment and risk management.</w:t>
      </w:r>
    </w:p>
    <w:p>
      <w:pPr>
        <w:spacing w:after="0" w:line="171" w:lineRule="exact"/>
        <w:rPr>
          <w:sz w:val="20"/>
          <w:szCs w:val="20"/>
          <w:color w:val="auto"/>
        </w:rPr>
      </w:pPr>
    </w:p>
    <w:p>
      <w:pPr>
        <w:ind w:left="120" w:firstLine="881"/>
        <w:spacing w:after="0" w:line="231" w:lineRule="auto"/>
        <w:rPr>
          <w:sz w:val="20"/>
          <w:szCs w:val="20"/>
          <w:color w:val="auto"/>
        </w:rPr>
      </w:pPr>
      <w:r>
        <w:rPr>
          <w:rFonts w:ascii="Arial" w:cs="Arial" w:eastAsia="Arial" w:hAnsi="Arial"/>
          <w:sz w:val="20"/>
          <w:szCs w:val="20"/>
          <w:color w:val="auto"/>
        </w:rPr>
        <w:t>The Company’s management is responsible for the preparation, presentation and integrity of Arhaus’ financial statements and for the effectiveness of internal control over financial reporting. The Company’s management is also responsible for maintaining appropriate accounting and financial reporting principles and policies and internal controls and procedures that provide for compliance with accounting standards and applicable laws and regulations. The independent auditor is responsible for planning and carrying out a proper audit of Arhaus’ annual financial statements, reviews of Arhaus’ quarterly financial statements prior to the filing of each quarterly report on Form 10-Q, annually auditing management’s assessment of the effectiveness of internal control over financial reporting, and other procedures. It is the responsibility of the Audit Committee to oversee these activities.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The Audit Committee has:</w:t>
      </w:r>
    </w:p>
    <w:p>
      <w:pPr>
        <w:spacing w:after="0" w:line="229" w:lineRule="exact"/>
        <w:rPr>
          <w:sz w:val="20"/>
          <w:szCs w:val="20"/>
          <w:color w:val="auto"/>
        </w:rPr>
      </w:pPr>
    </w:p>
    <w:p>
      <w:pPr>
        <w:ind w:left="1420" w:right="1900" w:hanging="427"/>
        <w:spacing w:after="0" w:line="191" w:lineRule="auto"/>
        <w:tabs>
          <w:tab w:leader="none" w:pos="1420" w:val="left"/>
        </w:tabs>
        <w:numPr>
          <w:ilvl w:val="0"/>
          <w:numId w:val="43"/>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Reviewed and discussed the audited financial statements with Arhaus management and PricewaterhouseCoopers LLP, the Company’s independent auditor;</w:t>
      </w:r>
    </w:p>
    <w:p>
      <w:pPr>
        <w:spacing w:after="0" w:line="1" w:lineRule="exact"/>
        <w:rPr>
          <w:rFonts w:ascii="Times New Roman" w:cs="Times New Roman" w:eastAsia="Times New Roman" w:hAnsi="Times New Roman"/>
          <w:sz w:val="29"/>
          <w:szCs w:val="29"/>
          <w:color w:val="auto"/>
          <w:vertAlign w:val="superscript"/>
        </w:rPr>
      </w:pPr>
    </w:p>
    <w:p>
      <w:pPr>
        <w:ind w:left="1420" w:right="820" w:hanging="427"/>
        <w:spacing w:after="0" w:line="191" w:lineRule="auto"/>
        <w:tabs>
          <w:tab w:leader="none" w:pos="1420" w:val="left"/>
        </w:tabs>
        <w:numPr>
          <w:ilvl w:val="0"/>
          <w:numId w:val="43"/>
        </w:numPr>
        <w:rPr>
          <w:rFonts w:ascii="Times New Roman" w:cs="Times New Roman" w:eastAsia="Times New Roman" w:hAnsi="Times New Roman"/>
          <w:sz w:val="28"/>
          <w:szCs w:val="28"/>
          <w:color w:val="auto"/>
          <w:vertAlign w:val="superscript"/>
        </w:rPr>
      </w:pPr>
      <w:r>
        <w:rPr>
          <w:rFonts w:ascii="Arial" w:cs="Arial" w:eastAsia="Arial" w:hAnsi="Arial"/>
          <w:sz w:val="19"/>
          <w:szCs w:val="19"/>
          <w:color w:val="auto"/>
        </w:rPr>
        <w:t>Discussed with PricewaterhouseCoopers LLP the matters required to be discussed by the applicable requirements of the Public Company Accounting Oversight Board (“PCAOB”) and the SEC; and</w:t>
      </w:r>
    </w:p>
    <w:p>
      <w:pPr>
        <w:spacing w:after="0" w:line="1" w:lineRule="exact"/>
        <w:rPr>
          <w:rFonts w:ascii="Times New Roman" w:cs="Times New Roman" w:eastAsia="Times New Roman" w:hAnsi="Times New Roman"/>
          <w:sz w:val="28"/>
          <w:szCs w:val="28"/>
          <w:color w:val="auto"/>
          <w:vertAlign w:val="superscript"/>
        </w:rPr>
      </w:pPr>
    </w:p>
    <w:p>
      <w:pPr>
        <w:ind w:left="1420" w:right="720" w:hanging="427"/>
        <w:spacing w:after="0" w:line="208" w:lineRule="auto"/>
        <w:tabs>
          <w:tab w:leader="none" w:pos="1420" w:val="left"/>
        </w:tabs>
        <w:numPr>
          <w:ilvl w:val="0"/>
          <w:numId w:val="43"/>
        </w:numPr>
        <w:rPr>
          <w:rFonts w:ascii="Times New Roman" w:cs="Times New Roman" w:eastAsia="Times New Roman" w:hAnsi="Times New Roman"/>
          <w:sz w:val="29"/>
          <w:szCs w:val="29"/>
          <w:color w:val="auto"/>
          <w:vertAlign w:val="superscript"/>
        </w:rPr>
      </w:pPr>
      <w:r>
        <w:rPr>
          <w:rFonts w:ascii="Arial" w:cs="Arial" w:eastAsia="Arial" w:hAnsi="Arial"/>
          <w:sz w:val="20"/>
          <w:szCs w:val="20"/>
          <w:color w:val="auto"/>
        </w:rPr>
        <w:t>Received the written disclosures and letter from PricewaterhouseCoopers LLP required by applicable requirements of the PCAOB regarding PricewaterhouseCoopers LLP’s communications with the Audit Committee concerning independence and has discussed with PricewaterhouseCoopers LLP their independence.</w:t>
      </w:r>
    </w:p>
    <w:p>
      <w:pPr>
        <w:spacing w:after="0" w:line="175" w:lineRule="exact"/>
        <w:rPr>
          <w:sz w:val="20"/>
          <w:szCs w:val="20"/>
          <w:color w:val="auto"/>
        </w:rPr>
      </w:pPr>
    </w:p>
    <w:p>
      <w:pPr>
        <w:ind w:left="120" w:right="140" w:firstLine="881"/>
        <w:spacing w:after="0" w:line="241" w:lineRule="auto"/>
        <w:rPr>
          <w:sz w:val="20"/>
          <w:szCs w:val="20"/>
          <w:color w:val="auto"/>
        </w:rPr>
      </w:pPr>
      <w:r>
        <w:rPr>
          <w:rFonts w:ascii="Arial" w:cs="Arial" w:eastAsia="Arial" w:hAnsi="Arial"/>
          <w:sz w:val="20"/>
          <w:szCs w:val="20"/>
          <w:color w:val="auto"/>
        </w:rPr>
        <w:t>Based upon these discussions and review, the Audit Committee recommended to the Board that the audited consolidated financial statements be included in the Company’s Annual Report on Form 10-K, and any amendment thereto, for the fiscal year ended December 31, 2024 for filing with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Members of the Audit Committee:</w:t>
      </w:r>
    </w:p>
    <w:p>
      <w:pPr>
        <w:ind w:left="120"/>
        <w:spacing w:after="0" w:line="229" w:lineRule="auto"/>
        <w:rPr>
          <w:sz w:val="20"/>
          <w:szCs w:val="20"/>
          <w:color w:val="auto"/>
        </w:rPr>
      </w:pPr>
      <w:r>
        <w:rPr>
          <w:rFonts w:ascii="Arial" w:cs="Arial" w:eastAsia="Arial" w:hAnsi="Arial"/>
          <w:sz w:val="20"/>
          <w:szCs w:val="20"/>
          <w:color w:val="auto"/>
        </w:rPr>
        <w:t>John Kyees (Chair)</w:t>
      </w:r>
    </w:p>
    <w:p>
      <w:pPr>
        <w:ind w:left="120"/>
        <w:spacing w:after="0" w:line="226" w:lineRule="auto"/>
        <w:rPr>
          <w:sz w:val="20"/>
          <w:szCs w:val="20"/>
          <w:color w:val="auto"/>
        </w:rPr>
      </w:pPr>
      <w:r>
        <w:rPr>
          <w:rFonts w:ascii="Arial" w:cs="Arial" w:eastAsia="Arial" w:hAnsi="Arial"/>
          <w:sz w:val="20"/>
          <w:szCs w:val="20"/>
          <w:color w:val="auto"/>
        </w:rPr>
        <w:t>Stuart Burgdoerfer</w:t>
      </w:r>
    </w:p>
    <w:p>
      <w:pPr>
        <w:ind w:left="120"/>
        <w:spacing w:after="0" w:line="225" w:lineRule="auto"/>
        <w:rPr>
          <w:sz w:val="20"/>
          <w:szCs w:val="20"/>
          <w:color w:val="auto"/>
        </w:rPr>
      </w:pPr>
      <w:r>
        <w:rPr>
          <w:rFonts w:ascii="Arial" w:cs="Arial" w:eastAsia="Arial" w:hAnsi="Arial"/>
          <w:sz w:val="20"/>
          <w:szCs w:val="20"/>
          <w:color w:val="auto"/>
        </w:rPr>
        <w:t>Rick Doody</w:t>
      </w:r>
    </w:p>
    <w:p>
      <w:pPr>
        <w:ind w:left="120"/>
        <w:spacing w:after="0"/>
        <w:rPr>
          <w:sz w:val="20"/>
          <w:szCs w:val="20"/>
          <w:color w:val="auto"/>
        </w:rPr>
      </w:pPr>
      <w:r>
        <w:rPr>
          <w:rFonts w:ascii="Arial" w:cs="Arial" w:eastAsia="Arial" w:hAnsi="Arial"/>
          <w:sz w:val="20"/>
          <w:szCs w:val="20"/>
          <w:color w:val="auto"/>
        </w:rPr>
        <w:t>Andrea Hyde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040"/>
          </w:cols>
          <w:pgMar w:left="320" w:top="482"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FFFFF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firstLine="881"/>
        <w:spacing w:after="0" w:line="234" w:lineRule="auto"/>
        <w:rPr>
          <w:sz w:val="20"/>
          <w:szCs w:val="20"/>
          <w:color w:val="auto"/>
        </w:rPr>
      </w:pPr>
      <w:r>
        <w:rPr>
          <w:rFonts w:ascii="Arial" w:cs="Arial" w:eastAsia="Arial" w:hAnsi="Arial"/>
          <w:sz w:val="20"/>
          <w:szCs w:val="20"/>
          <w:color w:val="auto"/>
        </w:rPr>
        <w:t>Section 16(a) of the Securities Exchange Act of 1934, as amended, requires executive officers and directors to file reports of securities ownership and changes in such ownership with the Securities and Exchange Commission (“SEC”). In addition, persons that are not executive officers or directors but who beneficially own more than ten percent (10%) of shares of common stock must also report under Section 16(a). Copies of all Section 16(a) forms filed by officers, directors, and greater-than-10% owners are required to be provided to the Company.</w:t>
      </w:r>
    </w:p>
    <w:p>
      <w:pPr>
        <w:spacing w:after="0" w:line="175" w:lineRule="exact"/>
        <w:rPr>
          <w:sz w:val="20"/>
          <w:szCs w:val="20"/>
          <w:color w:val="auto"/>
        </w:rPr>
      </w:pPr>
    </w:p>
    <w:p>
      <w:pPr>
        <w:ind w:left="120" w:firstLine="881"/>
        <w:spacing w:after="0" w:line="241" w:lineRule="auto"/>
        <w:rPr>
          <w:sz w:val="20"/>
          <w:szCs w:val="20"/>
          <w:color w:val="auto"/>
        </w:rPr>
      </w:pPr>
      <w:r>
        <w:rPr>
          <w:rFonts w:ascii="Arial" w:cs="Arial" w:eastAsia="Arial" w:hAnsi="Arial"/>
          <w:sz w:val="20"/>
          <w:szCs w:val="20"/>
          <w:color w:val="auto"/>
        </w:rPr>
        <w:t>We have reviewed the Section 16(a) forms filed for the Company. Based on our review, we believe there were two late reports representing two transactions on January 10, 2024 and two transactions on January 22, 2024 by Venkat Nachiappan. A Form 4 reporting such transactions was filed on April 16, 2024.</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0960"/>
          </w:cols>
          <w:pgMar w:left="320" w:top="482" w:right="6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FFFFFF"/>
        </w:rPr>
        <w:t>STOCKHOLDER PROPOSALS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firstLine="881"/>
        <w:spacing w:after="0" w:line="230" w:lineRule="auto"/>
        <w:rPr>
          <w:sz w:val="20"/>
          <w:szCs w:val="20"/>
          <w:color w:val="auto"/>
        </w:rPr>
      </w:pPr>
      <w:r>
        <w:rPr>
          <w:rFonts w:ascii="Arial" w:cs="Arial" w:eastAsia="Arial" w:hAnsi="Arial"/>
          <w:sz w:val="20"/>
          <w:szCs w:val="20"/>
          <w:color w:val="auto"/>
        </w:rPr>
        <w:t>If a stockholder wants to submit, in accordance with SEC Rule 14a-8 under the Exchange Act, a proposal for inclusion in our proxy statement and form of proxy for presentation at the Company’s 2026 Annual Meeting of Stockholders, the proposal must be provided in the manner set forth in SEC Rule 14a-8 and received by the Company at our principal executive offices at the address below by December 11, 2025. If a stockholder wants to propose any matter for consideration of the stockholders at the 2026 Annual Meeting of Stockholders, including Director nominations and stockholder proposals other than a matter brought pursuant to SEC Rule 14a-8, our Bylaws require the stockholder to notify our Secretary in writing at the Company’s principal executive offices (address listed below) after January 15, 2026 and on or before February 14, 2026. If the 2026 Annual Meeting is advanced or delayed by more than thirty days, then the submission dates are subject to change.</w:t>
      </w:r>
    </w:p>
    <w:p>
      <w:pPr>
        <w:spacing w:after="0" w:line="176" w:lineRule="exact"/>
        <w:rPr>
          <w:sz w:val="20"/>
          <w:szCs w:val="20"/>
          <w:color w:val="auto"/>
        </w:rPr>
      </w:pPr>
    </w:p>
    <w:p>
      <w:pPr>
        <w:ind w:left="120" w:right="100" w:firstLine="881"/>
        <w:spacing w:after="0" w:line="260" w:lineRule="auto"/>
        <w:rPr>
          <w:sz w:val="20"/>
          <w:szCs w:val="20"/>
          <w:color w:val="auto"/>
        </w:rPr>
      </w:pPr>
      <w:r>
        <w:rPr>
          <w:rFonts w:ascii="Arial" w:cs="Arial" w:eastAsia="Arial" w:hAnsi="Arial"/>
          <w:sz w:val="19"/>
          <w:szCs w:val="19"/>
          <w:color w:val="auto"/>
        </w:rPr>
        <w:t>The specific requirements and procedures for stockholder proposals and Director nominations are set forth in Article III, Section 3.2 of our Bylaws. The Company reserves the right to reject, rule out of order, or to take other appropriate action with respect to any proposal or nomination that does not comply with these and other applicable requirements.</w:t>
      </w:r>
    </w:p>
    <w:p>
      <w:pPr>
        <w:spacing w:after="0" w:line="154" w:lineRule="exact"/>
        <w:rPr>
          <w:sz w:val="20"/>
          <w:szCs w:val="20"/>
          <w:color w:val="auto"/>
        </w:rPr>
      </w:pPr>
    </w:p>
    <w:p>
      <w:pPr>
        <w:ind w:left="120" w:right="40" w:firstLine="881"/>
        <w:spacing w:after="0" w:line="231" w:lineRule="auto"/>
        <w:rPr>
          <w:sz w:val="20"/>
          <w:szCs w:val="20"/>
          <w:color w:val="auto"/>
        </w:rPr>
      </w:pPr>
      <w:r>
        <w:rPr>
          <w:rFonts w:ascii="Arial" w:cs="Arial" w:eastAsia="Arial" w:hAnsi="Arial"/>
          <w:sz w:val="20"/>
          <w:szCs w:val="20"/>
          <w:color w:val="auto"/>
        </w:rPr>
        <w:t>In addition to satisfying the requirements under our Bylaws, to comply with the universal proxy rules, a stockholder who intends to solicit proxies in support of director nominees other than the Company’s nominees must provide notice that sets forth the information required by Rule 14a-19 under the Exchange Act, which notice must be postmarked or transmitted electronically to us at our principal executive offices no later than 60 calendar days prior to the one-year anniversary date of the annual meeting (for the 2026 annual meeting, no later than March 16, 2026). If the date of the 2026 annual meeting is changed by more than 30 calendar days from such anniversary date, however, then the stockholder must provide notice by the later of 60 calendar days prior to the date of the 2026 annual meeting and the 10th calendar day following the date on which public announcement of the date of the 2026 annual meeting is first made.</w:t>
      </w:r>
    </w:p>
    <w:p>
      <w:pPr>
        <w:spacing w:after="0" w:line="173" w:lineRule="exact"/>
        <w:rPr>
          <w:sz w:val="20"/>
          <w:szCs w:val="20"/>
          <w:color w:val="auto"/>
        </w:rPr>
      </w:pPr>
    </w:p>
    <w:p>
      <w:pPr>
        <w:ind w:left="120" w:right="180" w:firstLine="881"/>
        <w:spacing w:after="0" w:line="241" w:lineRule="auto"/>
        <w:rPr>
          <w:sz w:val="20"/>
          <w:szCs w:val="20"/>
          <w:color w:val="auto"/>
        </w:rPr>
      </w:pPr>
      <w:r>
        <w:rPr>
          <w:rFonts w:ascii="Arial" w:cs="Arial" w:eastAsia="Arial" w:hAnsi="Arial"/>
          <w:sz w:val="20"/>
          <w:szCs w:val="20"/>
          <w:color w:val="auto"/>
        </w:rPr>
        <w:t>Notices of intention to present proposals or nominate Directors at the 2026 Annual Meeting, and all supporting materials required by our bylaws, must be submitted to: Arhaus, Inc., c/o Secretary, 51 E. Hines Hill Road, Boston Heights, Ohio 44236.</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020"/>
          </w:cols>
          <w:pgMar w:left="320" w:top="482"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FFFFFF"/>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firstLine="1102"/>
        <w:spacing w:after="0" w:line="229" w:lineRule="auto"/>
        <w:rPr>
          <w:sz w:val="20"/>
          <w:szCs w:val="20"/>
          <w:color w:val="auto"/>
        </w:rPr>
      </w:pPr>
      <w:r>
        <w:rPr>
          <w:rFonts w:ascii="Arial" w:cs="Arial" w:eastAsia="Arial" w:hAnsi="Arial"/>
          <w:sz w:val="20"/>
          <w:szCs w:val="20"/>
          <w:color w:val="auto"/>
        </w:rPr>
        <w:t>The SEC permits a single set of the annual report and proxy statement to be sent to any household at which two or more stockholders reside if they appear to be members of the same family. Each stockholder continues to receive a separate proxy form. This procedure, referred to as householding, reduces the volume of duplicate information stockholders receive and reduces mailing and printing costs. A number of brokerage firms have instituted householding. Only one copy of this proxy statement and the attached annual report will be sent to certain beneficial stockholders who share a single address, unless any stockholder residing at that address gave contrary instructions. If any stockholder residing at such an address desires at this time to (i) receive a separate copy of this proxy statement and the attached annual report, (ii) receive a separate proxy statement and annual report in the future, or (iii) receive only one copy of proxy statements and annual reports to their address if currently receiving more than one, the stockholder should provide such instructions to the Company by calling Investor Relations at 440-439-7700, emailing Investor Relations at invest@arhaus.com, or by writing to Investor Relations, Arhaus, Inc., 51 E. Hines Hill Road, Boston Heights, Ohio 44236.</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FFFFFF"/>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93" w:lineRule="exact"/>
        <w:rPr>
          <w:sz w:val="20"/>
          <w:szCs w:val="20"/>
          <w:color w:val="auto"/>
        </w:rPr>
      </w:pPr>
    </w:p>
    <w:p>
      <w:pPr>
        <w:ind w:left="120" w:firstLine="881"/>
        <w:spacing w:after="0" w:line="231" w:lineRule="auto"/>
        <w:rPr>
          <w:sz w:val="20"/>
          <w:szCs w:val="20"/>
          <w:color w:val="auto"/>
        </w:rPr>
      </w:pPr>
      <w:r>
        <w:rPr>
          <w:rFonts w:ascii="Arial" w:cs="Arial" w:eastAsia="Arial" w:hAnsi="Arial"/>
          <w:sz w:val="20"/>
          <w:szCs w:val="20"/>
          <w:color w:val="auto"/>
        </w:rPr>
        <w:t>If the enclosed proxy is properly executed and returned to the Company, the persons named in it will vote the shares represented by such proxy at the meeting. If you properly complete your proxy form and send it to the Company in time to vote, your proxy (one of the individuals named in the proxy form) will vote your shares as you have directed. If you sign the proxy form but do not make specific choices, your proxy will vote your shares as recommended by the Board of Directors to elect the Director nominees listed in “Election of Directors,” “FOR” the approval of our named executive officer compensation, and to approve the selection of PricewaterhouseCoopers LLP as the Company’s independent accountants. If any other matters shall properly come before the meeting, the persons named in the proxy will vote thereon in accordance with their judgment.</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Management does not know of any other matters which will be presented for action at the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 order of the Board of Directors,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/s/ Michael Nowak 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1899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Michael Nowak</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Secretary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960"/>
          </w:cols>
          <w:pgMar w:left="320" w:top="482" w:right="6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251460</wp:posOffset>
            </wp:positionV>
            <wp:extent cx="6532245" cy="2322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322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 xml:space="preserve">       </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P.O. BOX 8016, 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8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Arhaus, Inc.</w:t>
      </w:r>
      <w:r>
        <w:rPr>
          <w:sz w:val="20"/>
          <w:szCs w:val="20"/>
          <w:color w:val="auto"/>
        </w:rPr>
        <w:tab/>
      </w:r>
      <w:r>
        <w:rPr>
          <w:rFonts w:ascii="Times New Roman" w:cs="Times New Roman" w:eastAsia="Times New Roman" w:hAnsi="Times New Roman"/>
          <w:sz w:val="17"/>
          <w:szCs w:val="17"/>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19685</wp:posOffset>
            </wp:positionV>
            <wp:extent cx="480060"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0060" cy="42862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www.proxypush.com/ARHS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-53975</wp:posOffset>
            </wp:positionV>
            <wp:extent cx="384048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40480" cy="411480"/>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●     Cast your vote online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Have your Proxy Card ready</w:t>
      </w:r>
    </w:p>
    <w:p>
      <w:pPr>
        <w:spacing w:after="0" w:line="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●     Follow the simple instructions to record</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your vote</w:t>
      </w:r>
    </w:p>
    <w:p>
      <w:pPr>
        <w:sectPr>
          <w:pgSz w:w="11900" w:h="16838" w:orient="portrait"/>
          <w:cols w:equalWidth="0" w:num="1">
            <w:col w:w="11140"/>
          </w:cols>
          <w:pgMar w:left="320" w:top="482" w:right="439" w:bottom="1440" w:gutter="0" w:footer="0" w:header="0"/>
        </w:sectPr>
      </w:pPr>
    </w:p>
    <w:p>
      <w:pPr>
        <w:spacing w:after="0" w:line="261" w:lineRule="exact"/>
        <w:rPr>
          <w:sz w:val="20"/>
          <w:szCs w:val="20"/>
          <w:color w:val="auto"/>
        </w:rPr>
      </w:pPr>
    </w:p>
    <w:p>
      <w:pPr>
        <w:ind w:left="1400" w:right="1820"/>
        <w:spacing w:after="0" w:line="356" w:lineRule="auto"/>
        <w:rPr>
          <w:sz w:val="20"/>
          <w:szCs w:val="20"/>
          <w:color w:val="auto"/>
        </w:rPr>
      </w:pPr>
      <w:r>
        <w:rPr>
          <w:rFonts w:ascii="Times New Roman" w:cs="Times New Roman" w:eastAsia="Times New Roman" w:hAnsi="Times New Roman"/>
          <w:sz w:val="17"/>
          <w:szCs w:val="17"/>
          <w:color w:val="auto"/>
        </w:rPr>
        <w:t>For Stockholders of record as of March 17, 2025 Thursday, May 15, 2025 9:00 AM, Eastern Time</w:t>
      </w:r>
    </w:p>
    <w:p>
      <w:pPr>
        <w:spacing w:after="0" w:line="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Annual meeting to be held virtually via the internet - please visit</w:t>
      </w:r>
    </w:p>
    <w:p>
      <w:pPr>
        <w:spacing w:after="0" w:line="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www.proxydocs.com/ARHS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3857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PLEASE VOTE BY: 9:00 AM, Eastern Time, May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1-866-475-4767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-116840</wp:posOffset>
            </wp:positionV>
            <wp:extent cx="334645" cy="4540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645" cy="45402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Use any touch-tone 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Have your Proxy Card ready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Follow the simple recorded instructions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-90805</wp:posOffset>
            </wp:positionV>
            <wp:extent cx="454025" cy="420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4025" cy="4203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sign and date your Proxy Card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Fold and return your Proxy Card in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postage-paid envelope provided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-116840</wp:posOffset>
            </wp:positionV>
            <wp:extent cx="488950" cy="394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8950" cy="394335"/>
                    </a:xfrm>
                    <a:prstGeom prst="rect">
                      <a:avLst/>
                    </a:prstGeom>
                    <a:noFill/>
                  </pic:spPr>
                </pic:pic>
              </a:graphicData>
            </a:graphic>
          </wp:anchor>
        </w:drawing>
      </w:r>
    </w:p>
    <w:p>
      <w:pPr>
        <w:spacing w:after="0" w:line="11"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17"/>
          <w:szCs w:val="17"/>
          <w:color w:val="auto"/>
        </w:rPr>
        <w:t>You must register to attend the meeting online and/or participate at www.proxydocs.com/ARHS</w:t>
      </w:r>
    </w:p>
    <w:p>
      <w:pPr>
        <w:spacing w:after="0" w:line="482"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undersigned hereby appoints Michael Nowak and John Reed (the “Named Proxies”), and each or either of them, as the true and lawful attorneys of the undersigned, with full power of substitution and revocation, and authorizes them, and each of them, to vote all the shares of capital stock of Arhaus,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7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BE SURE TO SIGN AND DATE THIS PROXY CARD AND MARK ON THE REVERSE SIDE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BetaNXT, Inc. or its affiliates. All Rights Reserved</w:t>
      </w:r>
    </w:p>
    <w:p>
      <w:pPr>
        <w:sectPr>
          <w:pgSz w:w="11900" w:h="16838" w:orient="portrait"/>
          <w:cols w:equalWidth="0" w:num="1">
            <w:col w:w="11140"/>
          </w:cols>
          <w:pgMar w:left="320" w:top="482"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Arhaus,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1551305"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51305" cy="3086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Please make your marks like this:  </w:t>
      </w:r>
      <w:r>
        <w:rPr>
          <w:rFonts w:ascii="MS PGothic" w:cs="MS PGothic" w:eastAsia="MS PGothic" w:hAnsi="MS PGothic"/>
          <w:sz w:val="18"/>
          <w:szCs w:val="18"/>
          <w:color w:val="auto"/>
        </w:rPr>
        <w:t>☒</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31" w:lineRule="exact"/>
        <w:rPr>
          <w:sz w:val="20"/>
          <w:szCs w:val="20"/>
          <w:color w:val="auto"/>
        </w:rPr>
      </w:pPr>
    </w:p>
    <w:p>
      <w:pPr>
        <w:ind w:left="300" w:hanging="184"/>
        <w:spacing w:after="0"/>
        <w:tabs>
          <w:tab w:leader="none" w:pos="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 PROPOSALS 1, 2 AND 3</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shd w:val="clear" w:color="auto" w:fill="CCCCCC"/>
          </w:tcPr>
          <w:p>
            <w:pPr>
              <w:spacing w:after="0"/>
              <w:rPr>
                <w:sz w:val="17"/>
                <w:szCs w:val="17"/>
                <w:color w:val="auto"/>
              </w:rPr>
            </w:pPr>
          </w:p>
        </w:tc>
        <w:tc>
          <w:tcPr>
            <w:tcW w:w="380" w:type="dxa"/>
            <w:vAlign w:val="bottom"/>
            <w:shd w:val="clear" w:color="auto" w:fill="CCCCCC"/>
          </w:tcPr>
          <w:p>
            <w:pPr>
              <w:spacing w:after="0"/>
              <w:rPr>
                <w:sz w:val="17"/>
                <w:szCs w:val="17"/>
                <w:color w:val="auto"/>
              </w:rPr>
            </w:pPr>
          </w:p>
        </w:tc>
        <w:tc>
          <w:tcPr>
            <w:tcW w:w="5800" w:type="dxa"/>
            <w:vAlign w:val="bottom"/>
            <w:shd w:val="clear" w:color="auto" w:fill="CCCCCC"/>
          </w:tcPr>
          <w:p>
            <w:pPr>
              <w:spacing w:after="0"/>
              <w:rPr>
                <w:sz w:val="17"/>
                <w:szCs w:val="17"/>
                <w:color w:val="auto"/>
              </w:rPr>
            </w:pPr>
          </w:p>
        </w:tc>
        <w:tc>
          <w:tcPr>
            <w:tcW w:w="620" w:type="dxa"/>
            <w:vAlign w:val="bottom"/>
            <w:shd w:val="clear" w:color="auto" w:fill="CCCCCC"/>
          </w:tcPr>
          <w:p>
            <w:pPr>
              <w:spacing w:after="0"/>
              <w:rPr>
                <w:sz w:val="17"/>
                <w:szCs w:val="17"/>
                <w:color w:val="auto"/>
              </w:rPr>
            </w:pPr>
          </w:p>
        </w:tc>
        <w:tc>
          <w:tcPr>
            <w:tcW w:w="1280" w:type="dxa"/>
            <w:vAlign w:val="bottom"/>
            <w:shd w:val="clear" w:color="auto" w:fill="CCCCCC"/>
          </w:tcPr>
          <w:p>
            <w:pPr>
              <w:spacing w:after="0"/>
              <w:rPr>
                <w:sz w:val="17"/>
                <w:szCs w:val="17"/>
                <w:color w:val="auto"/>
              </w:rPr>
            </w:pPr>
          </w:p>
        </w:tc>
        <w:tc>
          <w:tcPr>
            <w:tcW w:w="1120" w:type="dxa"/>
            <w:vAlign w:val="bottom"/>
            <w:tcBorders>
              <w:right w:val="single" w:sz="8" w:color="auto"/>
            </w:tcBorders>
            <w:shd w:val="clear" w:color="auto" w:fill="CCCCCC"/>
          </w:tcPr>
          <w:p>
            <w:pPr>
              <w:spacing w:after="0"/>
              <w:rPr>
                <w:sz w:val="17"/>
                <w:szCs w:val="17"/>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BOARD OF</w:t>
            </w:r>
          </w:p>
        </w:tc>
        <w:tc>
          <w:tcPr>
            <w:tcW w:w="0" w:type="dxa"/>
            <w:vAlign w:val="bottom"/>
          </w:tcPr>
          <w:p>
            <w:pPr>
              <w:spacing w:after="0"/>
              <w:rPr>
                <w:sz w:val="1"/>
                <w:szCs w:val="1"/>
                <w:color w:val="auto"/>
              </w:rPr>
            </w:pPr>
          </w:p>
        </w:tc>
      </w:tr>
      <w:tr>
        <w:trPr>
          <w:trHeight w:val="238"/>
        </w:trPr>
        <w:tc>
          <w:tcPr>
            <w:tcW w:w="180" w:type="dxa"/>
            <w:vAlign w:val="bottom"/>
            <w:shd w:val="clear" w:color="auto" w:fill="CCCCCC"/>
          </w:tcPr>
          <w:p>
            <w:pPr>
              <w:spacing w:after="0"/>
              <w:rPr>
                <w:sz w:val="20"/>
                <w:szCs w:val="20"/>
                <w:color w:val="auto"/>
              </w:rPr>
            </w:pPr>
          </w:p>
        </w:tc>
        <w:tc>
          <w:tcPr>
            <w:tcW w:w="380" w:type="dxa"/>
            <w:vAlign w:val="bottom"/>
            <w:shd w:val="clear" w:color="auto" w:fill="CCCCCC"/>
          </w:tcPr>
          <w:p>
            <w:pPr>
              <w:spacing w:after="0"/>
              <w:rPr>
                <w:sz w:val="20"/>
                <w:szCs w:val="20"/>
                <w:color w:val="auto"/>
              </w:rPr>
            </w:pPr>
          </w:p>
        </w:tc>
        <w:tc>
          <w:tcPr>
            <w:tcW w:w="5800" w:type="dxa"/>
            <w:vAlign w:val="bottom"/>
            <w:shd w:val="clear" w:color="auto" w:fill="CCCCCC"/>
          </w:tcPr>
          <w:p>
            <w:pPr>
              <w:spacing w:after="0"/>
              <w:rPr>
                <w:sz w:val="20"/>
                <w:szCs w:val="20"/>
                <w:color w:val="auto"/>
              </w:rPr>
            </w:pPr>
          </w:p>
        </w:tc>
        <w:tc>
          <w:tcPr>
            <w:tcW w:w="620" w:type="dxa"/>
            <w:vAlign w:val="bottom"/>
            <w:shd w:val="clear" w:color="auto" w:fill="CCCCCC"/>
          </w:tcPr>
          <w:p>
            <w:pPr>
              <w:spacing w:after="0"/>
              <w:rPr>
                <w:sz w:val="20"/>
                <w:szCs w:val="20"/>
                <w:color w:val="auto"/>
              </w:rPr>
            </w:pPr>
          </w:p>
        </w:tc>
        <w:tc>
          <w:tcPr>
            <w:tcW w:w="1280" w:type="dxa"/>
            <w:vAlign w:val="bottom"/>
            <w:shd w:val="clear" w:color="auto" w:fill="CCCCCC"/>
          </w:tcPr>
          <w:p>
            <w:pPr>
              <w:spacing w:after="0"/>
              <w:rPr>
                <w:sz w:val="20"/>
                <w:szCs w:val="20"/>
                <w:color w:val="auto"/>
              </w:rPr>
            </w:pPr>
          </w:p>
        </w:tc>
        <w:tc>
          <w:tcPr>
            <w:tcW w:w="1120" w:type="dxa"/>
            <w:vAlign w:val="bottom"/>
            <w:tcBorders>
              <w:right w:val="single" w:sz="8" w:color="auto"/>
            </w:tcBorders>
            <w:shd w:val="clear" w:color="auto" w:fill="CCCCCC"/>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0" w:type="dxa"/>
            <w:vAlign w:val="bottom"/>
          </w:tcPr>
          <w:p>
            <w:pPr>
              <w:spacing w:after="0"/>
              <w:rPr>
                <w:sz w:val="1"/>
                <w:szCs w:val="1"/>
                <w:color w:val="auto"/>
              </w:rPr>
            </w:pPr>
          </w:p>
        </w:tc>
      </w:tr>
      <w:tr>
        <w:trPr>
          <w:trHeight w:val="216"/>
        </w:trPr>
        <w:tc>
          <w:tcPr>
            <w:tcW w:w="180" w:type="dxa"/>
            <w:vAlign w:val="bottom"/>
            <w:shd w:val="clear" w:color="auto" w:fill="CCCCCC"/>
          </w:tcPr>
          <w:p>
            <w:pPr>
              <w:spacing w:after="0"/>
              <w:rPr>
                <w:sz w:val="18"/>
                <w:szCs w:val="18"/>
                <w:color w:val="auto"/>
              </w:rPr>
            </w:pPr>
          </w:p>
        </w:tc>
        <w:tc>
          <w:tcPr>
            <w:tcW w:w="6180" w:type="dxa"/>
            <w:vAlign w:val="bottom"/>
            <w:gridSpan w:val="2"/>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20" w:type="dxa"/>
            <w:vAlign w:val="bottom"/>
            <w:shd w:val="clear" w:color="auto" w:fill="CCCCCC"/>
          </w:tcPr>
          <w:p>
            <w:pPr>
              <w:spacing w:after="0"/>
              <w:rPr>
                <w:sz w:val="18"/>
                <w:szCs w:val="18"/>
                <w:color w:val="auto"/>
              </w:rPr>
            </w:pPr>
          </w:p>
        </w:tc>
        <w:tc>
          <w:tcPr>
            <w:tcW w:w="128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YOUR VOTE</w:t>
            </w:r>
          </w:p>
        </w:tc>
        <w:tc>
          <w:tcPr>
            <w:tcW w:w="1120" w:type="dxa"/>
            <w:vAlign w:val="bottom"/>
            <w:tcBorders>
              <w:right w:val="single" w:sz="8" w:color="auto"/>
            </w:tcBorders>
            <w:shd w:val="clear" w:color="auto" w:fill="CCCCCC"/>
          </w:tcPr>
          <w:p>
            <w:pPr>
              <w:spacing w:after="0"/>
              <w:rPr>
                <w:sz w:val="18"/>
                <w:szCs w:val="18"/>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RECOMMENDS</w:t>
            </w:r>
          </w:p>
        </w:tc>
        <w:tc>
          <w:tcPr>
            <w:tcW w:w="0" w:type="dxa"/>
            <w:vAlign w:val="bottom"/>
          </w:tcPr>
          <w:p>
            <w:pPr>
              <w:spacing w:after="0"/>
              <w:rPr>
                <w:sz w:val="1"/>
                <w:szCs w:val="1"/>
                <w:color w:val="auto"/>
              </w:rPr>
            </w:pPr>
          </w:p>
        </w:tc>
      </w:tr>
      <w:tr>
        <w:trPr>
          <w:trHeight w:val="32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elect four Directors, each to serve a three-year term;</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1120" w:type="dxa"/>
            <w:vAlign w:val="bottom"/>
            <w:tcBorders>
              <w:right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1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Adams</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spacing w:after="0"/>
              <w:rPr>
                <w:sz w:val="24"/>
                <w:szCs w:val="24"/>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Burgdoerfer</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spacing w:after="0"/>
              <w:rPr>
                <w:sz w:val="24"/>
                <w:szCs w:val="24"/>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Kyees</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spacing w:after="0"/>
              <w:rPr>
                <w:sz w:val="24"/>
                <w:szCs w:val="24"/>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Roth</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spacing w:after="0"/>
              <w:rPr>
                <w:sz w:val="24"/>
                <w:szCs w:val="24"/>
                <w:color w:val="auto"/>
              </w:rPr>
            </w:pP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458"/>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1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approve, on an advisory basis, our named executive officer compensation;</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7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approve the selection of PricewaterhouseCoopers LLP as the Company’s</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Borders>
              <w:right w:val="single" w:sz="8" w:color="auto"/>
            </w:tcBorders>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independent accountants for the Company’s fiscal year ending December 31, 2025;</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meeting.</w:t>
            </w: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-2099945</wp:posOffset>
            </wp:positionV>
            <wp:extent cx="325755" cy="386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7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00" w:right="268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 must register to attend the meeting online and/or participate at www.proxydocs.com/ARHS </w:t>
      </w:r>
      <w:r>
        <w:rPr>
          <w:rFonts w:ascii="Times New Roman" w:cs="Times New Roman" w:eastAsia="Times New Roman" w:hAnsi="Times New Roman"/>
          <w:sz w:val="17"/>
          <w:szCs w:val="17"/>
          <w:color w:val="auto"/>
        </w:rPr>
        <w:t>Authorized Signatures - Must be completed for your instructions to be executed.</w:t>
      </w:r>
    </w:p>
    <w:p>
      <w:pPr>
        <w:spacing w:after="0" w:line="1"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3260" w:type="dxa"/>
            <w:vAlign w:val="bottom"/>
          </w:tcPr>
          <w:p>
            <w:pPr>
              <w:spacing w:after="0"/>
              <w:rPr>
                <w:sz w:val="14"/>
                <w:szCs w:val="14"/>
                <w:color w:val="auto"/>
              </w:rPr>
            </w:pPr>
          </w:p>
        </w:tc>
      </w:tr>
      <w:tr>
        <w:trPr>
          <w:trHeight w:val="182"/>
        </w:trPr>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(and Title if applicable)</w:t>
            </w:r>
          </w:p>
        </w:tc>
        <w:tc>
          <w:tcPr>
            <w:tcW w:w="29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                              Date</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Signature (if held jointly)</w:t>
            </w:r>
          </w:p>
        </w:tc>
        <w:tc>
          <w:tcPr>
            <w:tcW w:w="326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                              Date</w:t>
            </w:r>
          </w:p>
        </w:tc>
      </w:tr>
    </w:tbl>
    <w:p>
      <w:pPr>
        <w:spacing w:after="0" w:line="1" w:lineRule="exact"/>
        <w:rPr>
          <w:sz w:val="20"/>
          <w:szCs w:val="20"/>
          <w:color w:val="auto"/>
        </w:rPr>
      </w:pPr>
    </w:p>
    <w:sectPr>
      <w:pgSz w:w="11900" w:h="16838" w:orient="portrait"/>
      <w:cols w:equalWidth="0" w:num="1">
        <w:col w:w="11140"/>
      </w:cols>
      <w:pgMar w:left="320" w:top="4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2"/>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2"/>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3"/>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4"/>
      <w:numFmt w:val="bullet"/>
      <w:start w:val="1"/>
    </w:lvl>
  </w:abstractNum>
  <w:abstractNum w:abstractNumId="20">
    <w:nsid w:val="22221A70"/>
    <w:multiLevelType w:val="hybridMultilevel"/>
    <w:lvl w:ilvl="0">
      <w:lvlJc w:val="left"/>
      <w:lvlText w:val="5"/>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lvl w:ilvl="1">
      <w:lvlJc w:val="left"/>
      <w:lvlText w:val="(%2)"/>
      <w:numFmt w:val="lowerRoman"/>
      <w:start w:val="7"/>
    </w:lvl>
  </w:abstractNum>
  <w:abstractNum w:abstractNumId="23">
    <w:nsid w:val="614FD4A1"/>
    <w:multiLevelType w:val="hybridMultilevel"/>
    <w:lvl w:ilvl="0">
      <w:lvlJc w:val="left"/>
      <w:lvlText w:val="%1"/>
      <w:numFmt w:val="decimal"/>
      <w:start w:val="1"/>
    </w:lvl>
    <w:lvl w:ilvl="1">
      <w:lvlJc w:val="left"/>
      <w:lvlText w:val="(%2)"/>
      <w:numFmt w:val="lowerRoman"/>
      <w:start w:val="3"/>
    </w:lvl>
  </w:abstractNum>
  <w:abstractNum w:abstractNumId="24">
    <w:nsid w:val="419AC241"/>
    <w:multiLevelType w:val="hybridMultilevel"/>
    <w:lvl w:ilvl="0">
      <w:lvlJc w:val="left"/>
      <w:lvlText w:val="%1"/>
      <w:numFmt w:val="decimal"/>
      <w:start w:val="1"/>
    </w:lvl>
    <w:lvl w:ilvl="1">
      <w:lvlJc w:val="left"/>
      <w:lvlText w:val="(%2)"/>
      <w:numFmt w:val="lowerRoman"/>
      <w:start w:val="3"/>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7"/>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4"/>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lvl w:ilvl="1">
      <w:lvlJc w:val="left"/>
      <w:lvlText w:val="(%2)"/>
      <w:numFmt w:val="lowerLetter"/>
      <w:start w:val="1"/>
    </w:lvl>
  </w:abstractNum>
  <w:abstractNum w:abstractNumId="34">
    <w:nsid w:val="51EAD36B"/>
    <w:multiLevelType w:val="hybridMultilevel"/>
    <w:lvl w:ilvl="0">
      <w:lvlJc w:val="left"/>
      <w:lvlText w:val="(%1)"/>
      <w:numFmt w:val="decimal"/>
      <w:start w:val="3"/>
    </w:lvl>
    <w:lvl w:ilvl="1">
      <w:lvlJc w:val="left"/>
      <w:lvlText w:val="%2"/>
      <w:numFmt w:val="lowerLetter"/>
      <w:start w:val="1"/>
    </w:lvl>
  </w:abstractNum>
  <w:abstractNum w:abstractNumId="35">
    <w:nsid w:val="2D517796"/>
    <w:multiLevelType w:val="hybridMultilevel"/>
    <w:lvl w:ilvl="0">
      <w:lvlJc w:val="left"/>
      <w:lvlText w:val="(%1)"/>
      <w:numFmt w:val="decimal"/>
      <w:start w:val="4"/>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2025-04-10T06:08:56Z</dcterms:created>
  <dcterms:modified xsi:type="dcterms:W3CDTF">2025-04-10T06:08:56Z</dcterms:modified>
</cp:coreProperties>
</file>