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193040</wp:posOffset>
            </wp:positionH>
            <wp:positionV relativeFrom="page">
              <wp:posOffset>570865</wp:posOffset>
            </wp:positionV>
            <wp:extent cx="71621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591185</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t>UNITED STATES</w:t>
      </w:r>
    </w:p>
    <w:p>
      <w:pPr>
        <w:spacing w:after="0" w:line="4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9" w:lineRule="exact"/>
        <w:rPr>
          <w:sz w:val="24"/>
          <w:szCs w:val="24"/>
          <w:color w:val="auto"/>
        </w:rPr>
      </w:pPr>
    </w:p>
    <w:p>
      <w:pPr>
        <w:ind w:left="560" w:right="3880" w:hanging="542"/>
        <w:spacing w:after="0" w:line="272" w:lineRule="auto"/>
        <w:tabs>
          <w:tab w:leader="none" w:pos="56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4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39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2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560" w:type="dxa"/>
            <w:vAlign w:val="bottom"/>
          </w:tcPr>
          <w:p>
            <w:pPr>
              <w:spacing w:after="0"/>
              <w:rPr>
                <w:sz w:val="16"/>
                <w:szCs w:val="16"/>
                <w:color w:val="auto"/>
              </w:rPr>
            </w:pPr>
          </w:p>
        </w:tc>
      </w:tr>
      <w:tr>
        <w:trPr>
          <w:trHeight w:val="392"/>
        </w:trPr>
        <w:tc>
          <w:tcPr>
            <w:tcW w:w="3920" w:type="dxa"/>
            <w:vAlign w:val="bottom"/>
          </w:tcPr>
          <w:p>
            <w:pPr>
              <w:spacing w:after="0"/>
              <w:rPr>
                <w:sz w:val="24"/>
                <w:szCs w:val="24"/>
                <w:color w:val="auto"/>
              </w:rPr>
            </w:pPr>
          </w:p>
        </w:tc>
        <w:tc>
          <w:tcPr>
            <w:tcW w:w="282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Commission file number 001-41009</w:t>
            </w:r>
          </w:p>
        </w:tc>
        <w:tc>
          <w:tcPr>
            <w:tcW w:w="4560" w:type="dxa"/>
            <w:vAlign w:val="bottom"/>
          </w:tcPr>
          <w:p>
            <w:pPr>
              <w:spacing w:after="0"/>
              <w:rPr>
                <w:sz w:val="24"/>
                <w:szCs w:val="24"/>
                <w:color w:val="auto"/>
              </w:rPr>
            </w:pPr>
          </w:p>
        </w:tc>
      </w:tr>
      <w:tr>
        <w:trPr>
          <w:trHeight w:val="289"/>
        </w:trPr>
        <w:tc>
          <w:tcPr>
            <w:tcW w:w="3920" w:type="dxa"/>
            <w:vAlign w:val="bottom"/>
          </w:tcPr>
          <w:p>
            <w:pPr>
              <w:spacing w:after="0"/>
              <w:rPr>
                <w:sz w:val="24"/>
                <w:szCs w:val="24"/>
                <w:color w:val="auto"/>
              </w:rPr>
            </w:pPr>
          </w:p>
        </w:tc>
        <w:tc>
          <w:tcPr>
            <w:tcW w:w="2820" w:type="dxa"/>
            <w:vAlign w:val="bottom"/>
            <w:gridSpan w:val="2"/>
          </w:tcPr>
          <w:p>
            <w:pPr>
              <w:jc w:val="center"/>
              <w:ind w:left="550"/>
              <w:spacing w:after="0"/>
              <w:rPr>
                <w:sz w:val="20"/>
                <w:szCs w:val="20"/>
                <w:color w:val="auto"/>
              </w:rPr>
            </w:pPr>
            <w:r>
              <w:rPr>
                <w:rFonts w:ascii="Times New Roman" w:cs="Times New Roman" w:eastAsia="Times New Roman" w:hAnsi="Times New Roman"/>
                <w:sz w:val="14"/>
                <w:szCs w:val="14"/>
                <w:color w:val="auto"/>
                <w:w w:val="98"/>
              </w:rPr>
              <w:t>Arhaus, Inc.</w:t>
            </w:r>
          </w:p>
        </w:tc>
        <w:tc>
          <w:tcPr>
            <w:tcW w:w="4560" w:type="dxa"/>
            <w:vAlign w:val="bottom"/>
          </w:tcPr>
          <w:p>
            <w:pPr>
              <w:spacing w:after="0"/>
              <w:rPr>
                <w:sz w:val="24"/>
                <w:szCs w:val="24"/>
                <w:color w:val="auto"/>
              </w:rPr>
            </w:pPr>
          </w:p>
        </w:tc>
      </w:tr>
      <w:tr>
        <w:trPr>
          <w:trHeight w:val="185"/>
        </w:trPr>
        <w:tc>
          <w:tcPr>
            <w:tcW w:w="3920" w:type="dxa"/>
            <w:vAlign w:val="bottom"/>
          </w:tcPr>
          <w:p>
            <w:pPr>
              <w:spacing w:after="0"/>
              <w:rPr>
                <w:sz w:val="16"/>
                <w:szCs w:val="16"/>
                <w:color w:val="auto"/>
              </w:rPr>
            </w:pPr>
          </w:p>
        </w:tc>
        <w:tc>
          <w:tcPr>
            <w:tcW w:w="7380" w:type="dxa"/>
            <w:vAlign w:val="bottom"/>
            <w:gridSpan w:val="3"/>
          </w:tcPr>
          <w:p>
            <w:pPr>
              <w:jc w:val="center"/>
              <w:ind w:right="385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48"/>
        </w:trPr>
        <w:tc>
          <w:tcPr>
            <w:tcW w:w="3920" w:type="dxa"/>
            <w:vAlign w:val="bottom"/>
          </w:tcPr>
          <w:p>
            <w:pPr>
              <w:jc w:val="center"/>
              <w:ind w:left="125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tcPr>
          <w:p>
            <w:pPr>
              <w:jc w:val="right"/>
              <w:ind w:right="2190"/>
              <w:spacing w:after="0"/>
              <w:rPr>
                <w:sz w:val="20"/>
                <w:szCs w:val="20"/>
                <w:color w:val="auto"/>
              </w:rPr>
            </w:pPr>
            <w:r>
              <w:rPr>
                <w:rFonts w:ascii="Times New Roman" w:cs="Times New Roman" w:eastAsia="Times New Roman" w:hAnsi="Times New Roman"/>
                <w:sz w:val="14"/>
                <w:szCs w:val="14"/>
                <w:b w:val="1"/>
                <w:bCs w:val="1"/>
                <w:color w:val="auto"/>
              </w:rPr>
              <w:t>87-1729256</w:t>
            </w:r>
          </w:p>
        </w:tc>
      </w:tr>
      <w:tr>
        <w:trPr>
          <w:trHeight w:val="200"/>
        </w:trPr>
        <w:tc>
          <w:tcPr>
            <w:tcW w:w="6740" w:type="dxa"/>
            <w:vAlign w:val="bottom"/>
            <w:gridSpan w:val="3"/>
          </w:tcPr>
          <w:p>
            <w:pPr>
              <w:jc w:val="center"/>
              <w:ind w:right="15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560" w:type="dxa"/>
            <w:vAlign w:val="bottom"/>
          </w:tcPr>
          <w:p>
            <w:pPr>
              <w:jc w:val="center"/>
              <w:ind w:right="57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43"/>
        </w:trPr>
        <w:tc>
          <w:tcPr>
            <w:tcW w:w="3920" w:type="dxa"/>
            <w:vAlign w:val="bottom"/>
          </w:tcPr>
          <w:p>
            <w:pPr>
              <w:spacing w:after="0"/>
              <w:rPr>
                <w:sz w:val="24"/>
                <w:szCs w:val="24"/>
                <w:color w:val="auto"/>
              </w:rPr>
            </w:pPr>
          </w:p>
        </w:tc>
        <w:tc>
          <w:tcPr>
            <w:tcW w:w="7380" w:type="dxa"/>
            <w:vAlign w:val="bottom"/>
            <w:gridSpan w:val="3"/>
          </w:tcPr>
          <w:p>
            <w:pPr>
              <w:jc w:val="center"/>
              <w:ind w:right="3870"/>
              <w:spacing w:after="0"/>
              <w:rPr>
                <w:sz w:val="20"/>
                <w:szCs w:val="20"/>
                <w:color w:val="auto"/>
              </w:rPr>
            </w:pPr>
            <w:r>
              <w:rPr>
                <w:rFonts w:ascii="Times New Roman" w:cs="Times New Roman" w:eastAsia="Times New Roman" w:hAnsi="Times New Roman"/>
                <w:sz w:val="14"/>
                <w:szCs w:val="14"/>
                <w:b w:val="1"/>
                <w:bCs w:val="1"/>
                <w:color w:val="auto"/>
              </w:rPr>
              <w:t>51 E. Hines Hill Road, Boston Heights, Ohio</w:t>
            </w:r>
          </w:p>
        </w:tc>
      </w:tr>
      <w:tr>
        <w:trPr>
          <w:trHeight w:val="306"/>
        </w:trPr>
        <w:tc>
          <w:tcPr>
            <w:tcW w:w="3920" w:type="dxa"/>
            <w:vAlign w:val="bottom"/>
          </w:tcPr>
          <w:p>
            <w:pPr>
              <w:spacing w:after="0"/>
              <w:rPr>
                <w:sz w:val="24"/>
                <w:szCs w:val="24"/>
                <w:color w:val="auto"/>
              </w:rPr>
            </w:pPr>
          </w:p>
        </w:tc>
        <w:tc>
          <w:tcPr>
            <w:tcW w:w="7380" w:type="dxa"/>
            <w:vAlign w:val="bottom"/>
            <w:gridSpan w:val="3"/>
          </w:tcPr>
          <w:p>
            <w:pPr>
              <w:jc w:val="center"/>
              <w:ind w:right="387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r>
      <w:tr>
        <w:trPr>
          <w:trHeight w:val="306"/>
        </w:trPr>
        <w:tc>
          <w:tcPr>
            <w:tcW w:w="3920" w:type="dxa"/>
            <w:vAlign w:val="bottom"/>
          </w:tcPr>
          <w:p>
            <w:pPr>
              <w:spacing w:after="0"/>
              <w:rPr>
                <w:sz w:val="24"/>
                <w:szCs w:val="24"/>
                <w:color w:val="auto"/>
              </w:rPr>
            </w:pPr>
          </w:p>
        </w:tc>
        <w:tc>
          <w:tcPr>
            <w:tcW w:w="240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44236</w:t>
            </w:r>
          </w:p>
        </w:tc>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306"/>
        </w:trPr>
        <w:tc>
          <w:tcPr>
            <w:tcW w:w="3920" w:type="dxa"/>
            <w:vAlign w:val="bottom"/>
          </w:tcPr>
          <w:p>
            <w:pPr>
              <w:spacing w:after="0"/>
              <w:rPr>
                <w:sz w:val="24"/>
                <w:szCs w:val="24"/>
                <w:color w:val="auto"/>
              </w:rPr>
            </w:pPr>
          </w:p>
        </w:tc>
        <w:tc>
          <w:tcPr>
            <w:tcW w:w="2820" w:type="dxa"/>
            <w:vAlign w:val="bottom"/>
            <w:gridSpan w:val="2"/>
          </w:tcPr>
          <w:p>
            <w:pPr>
              <w:jc w:val="center"/>
              <w:ind w:left="570"/>
              <w:spacing w:after="0"/>
              <w:rPr>
                <w:sz w:val="20"/>
                <w:szCs w:val="20"/>
                <w:color w:val="auto"/>
              </w:rPr>
            </w:pPr>
            <w:r>
              <w:rPr>
                <w:rFonts w:ascii="Times New Roman" w:cs="Times New Roman" w:eastAsia="Times New Roman" w:hAnsi="Times New Roman"/>
                <w:sz w:val="14"/>
                <w:szCs w:val="14"/>
                <w:color w:val="auto"/>
              </w:rPr>
              <w:t>(Zip Code)</w:t>
            </w:r>
          </w:p>
        </w:tc>
        <w:tc>
          <w:tcPr>
            <w:tcW w:w="4560" w:type="dxa"/>
            <w:vAlign w:val="bottom"/>
          </w:tcPr>
          <w:p>
            <w:pPr>
              <w:spacing w:after="0"/>
              <w:rPr>
                <w:sz w:val="24"/>
                <w:szCs w:val="24"/>
                <w:color w:val="auto"/>
              </w:rPr>
            </w:pPr>
          </w:p>
        </w:tc>
      </w:tr>
      <w:tr>
        <w:trPr>
          <w:trHeight w:val="302"/>
        </w:trPr>
        <w:tc>
          <w:tcPr>
            <w:tcW w:w="3920" w:type="dxa"/>
            <w:vAlign w:val="bottom"/>
          </w:tcPr>
          <w:p>
            <w:pPr>
              <w:spacing w:after="0"/>
              <w:rPr>
                <w:sz w:val="24"/>
                <w:szCs w:val="24"/>
                <w:color w:val="auto"/>
              </w:rPr>
            </w:pPr>
          </w:p>
        </w:tc>
        <w:tc>
          <w:tcPr>
            <w:tcW w:w="240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(440) 439-7700</w:t>
            </w:r>
          </w:p>
        </w:tc>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83"/>
        </w:trPr>
        <w:tc>
          <w:tcPr>
            <w:tcW w:w="3920" w:type="dxa"/>
            <w:vAlign w:val="bottom"/>
          </w:tcPr>
          <w:p>
            <w:pPr>
              <w:spacing w:after="0"/>
              <w:rPr>
                <w:sz w:val="15"/>
                <w:szCs w:val="15"/>
                <w:color w:val="auto"/>
              </w:rPr>
            </w:pPr>
          </w:p>
        </w:tc>
        <w:tc>
          <w:tcPr>
            <w:tcW w:w="7380" w:type="dxa"/>
            <w:vAlign w:val="bottom"/>
            <w:gridSpan w:val="3"/>
          </w:tcPr>
          <w:p>
            <w:pPr>
              <w:jc w:val="center"/>
              <w:ind w:right="387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68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158"/>
        </w:trPr>
        <w:tc>
          <w:tcPr>
            <w:tcW w:w="39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560" w:type="dxa"/>
            <w:vAlign w:val="bottom"/>
            <w:tcBorders>
              <w:bottom w:val="single" w:sz="8" w:color="auto"/>
            </w:tcBorders>
          </w:tcPr>
          <w:p>
            <w:pPr>
              <w:spacing w:after="0"/>
              <w:rPr>
                <w:sz w:val="13"/>
                <w:szCs w:val="13"/>
                <w:color w:val="auto"/>
              </w:rPr>
            </w:pPr>
          </w:p>
        </w:tc>
      </w:tr>
      <w:tr>
        <w:trPr>
          <w:trHeight w:val="17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 w:type="dxa"/>
            <w:vAlign w:val="bottom"/>
            <w:tcBorders>
              <w:bottom w:val="single" w:sz="8" w:color="auto"/>
            </w:tcBorders>
          </w:tcPr>
          <w:p>
            <w:pPr>
              <w:spacing w:after="0"/>
              <w:rPr>
                <w:sz w:val="14"/>
                <w:szCs w:val="14"/>
                <w:color w:val="auto"/>
              </w:rPr>
            </w:pPr>
          </w:p>
        </w:tc>
        <w:tc>
          <w:tcPr>
            <w:tcW w:w="4560" w:type="dxa"/>
            <w:vAlign w:val="bottom"/>
            <w:tcBorders>
              <w:bottom w:val="single" w:sz="8" w:color="auto"/>
              <w:right w:val="single" w:sz="8" w:color="auto"/>
            </w:tcBorders>
          </w:tcPr>
          <w:p>
            <w:pPr>
              <w:jc w:val="center"/>
              <w:ind w:right="37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70"/>
        </w:trPr>
        <w:tc>
          <w:tcPr>
            <w:tcW w:w="392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Class A common stock, $0.001 par value per share</w:t>
            </w:r>
          </w:p>
        </w:tc>
        <w:tc>
          <w:tcPr>
            <w:tcW w:w="2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ARHS</w:t>
            </w:r>
          </w:p>
        </w:tc>
        <w:tc>
          <w:tcPr>
            <w:tcW w:w="420" w:type="dxa"/>
            <w:vAlign w:val="bottom"/>
            <w:tcBorders>
              <w:bottom w:val="single" w:sz="8" w:color="auto"/>
            </w:tcBorders>
            <w:shd w:val="clear" w:color="auto" w:fill="CCEEFF"/>
          </w:tcPr>
          <w:p>
            <w:pPr>
              <w:spacing w:after="0"/>
              <w:rPr>
                <w:sz w:val="14"/>
                <w:szCs w:val="14"/>
                <w:color w:val="auto"/>
              </w:rPr>
            </w:pPr>
          </w:p>
        </w:tc>
        <w:tc>
          <w:tcPr>
            <w:tcW w:w="4560" w:type="dxa"/>
            <w:vAlign w:val="bottom"/>
            <w:tcBorders>
              <w:bottom w:val="single" w:sz="8" w:color="auto"/>
              <w:right w:val="single" w:sz="8" w:color="auto"/>
            </w:tcBorders>
            <w:shd w:val="clear" w:color="auto" w:fill="CCEEFF"/>
          </w:tcPr>
          <w:p>
            <w:pPr>
              <w:jc w:val="center"/>
              <w:ind w:right="370"/>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370"/>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r>
      <w:tr>
        <w:trPr>
          <w:trHeight w:val="506"/>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45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r>
    </w:tbl>
    <w:p>
      <w:pPr>
        <w:spacing w:after="0" w:line="175" w:lineRule="exact"/>
        <w:rPr>
          <w:sz w:val="24"/>
          <w:szCs w:val="24"/>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424180</wp:posOffset>
            </wp:positionV>
            <wp:extent cx="7187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1" w:name="page2"/>
    <w:bookmarkEnd w:id="1"/>
    <w:p>
      <w:pPr>
        <w:ind w:right="400"/>
        <w:spacing w:after="0" w:line="28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560" w:type="dxa"/>
            <w:vAlign w:val="bottom"/>
            <w:vMerge w:val="restart"/>
          </w:tcPr>
          <w:p>
            <w:pPr>
              <w:ind w:left="1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5"/>
        </w:trPr>
        <w:tc>
          <w:tcPr>
            <w:tcW w:w="5120" w:type="dxa"/>
            <w:vAlign w:val="bottom"/>
          </w:tcPr>
          <w:p>
            <w:pPr>
              <w:ind w:left="438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8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560" w:type="dxa"/>
            <w:vAlign w:val="bottom"/>
          </w:tcPr>
          <w:p>
            <w:pPr>
              <w:ind w:left="1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36"/>
        </w:trPr>
        <w:tc>
          <w:tcPr>
            <w:tcW w:w="5120" w:type="dxa"/>
            <w:vAlign w:val="bottom"/>
          </w:tcPr>
          <w:p>
            <w:pPr>
              <w:ind w:left="4380"/>
              <w:spacing w:after="0" w:line="141" w:lineRule="exact"/>
              <w:rPr>
                <w:sz w:val="20"/>
                <w:szCs w:val="20"/>
                <w:color w:val="auto"/>
              </w:rPr>
            </w:pPr>
            <w:r>
              <w:rPr>
                <w:rFonts w:ascii="MS PGothic" w:cs="MS PGothic" w:eastAsia="MS PGothic" w:hAnsi="MS PGothic"/>
                <w:sz w:val="14"/>
                <w:szCs w:val="14"/>
                <w:color w:val="auto"/>
              </w:rPr>
              <w:t>☐</w:t>
            </w:r>
          </w:p>
        </w:tc>
        <w:tc>
          <w:tcPr>
            <w:tcW w:w="35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560" w:type="dxa"/>
            <w:vAlign w:val="bottom"/>
            <w:vMerge w:val="restart"/>
          </w:tcPr>
          <w:p>
            <w:pPr>
              <w:ind w:left="14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65"/>
        </w:trPr>
        <w:tc>
          <w:tcPr>
            <w:tcW w:w="5120" w:type="dxa"/>
            <w:vAlign w:val="bottom"/>
          </w:tcPr>
          <w:p>
            <w:pPr>
              <w:spacing w:after="0"/>
              <w:rPr>
                <w:sz w:val="14"/>
                <w:szCs w:val="14"/>
                <w:color w:val="auto"/>
              </w:rPr>
            </w:pPr>
          </w:p>
        </w:tc>
        <w:tc>
          <w:tcPr>
            <w:tcW w:w="35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00"/>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1" w:lineRule="exact"/>
        <w:rPr>
          <w:sz w:val="20"/>
          <w:szCs w:val="20"/>
          <w:color w:val="auto"/>
        </w:rPr>
      </w:pPr>
    </w:p>
    <w:p>
      <w:pPr>
        <w:ind w:right="360"/>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4" w:lineRule="exact"/>
        <w:rPr>
          <w:sz w:val="20"/>
          <w:szCs w:val="20"/>
          <w:color w:val="auto"/>
        </w:rPr>
      </w:pPr>
    </w:p>
    <w:p>
      <w:pPr>
        <w:ind w:right="420"/>
        <w:spacing w:after="0" w:line="187"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4" w:lineRule="exact"/>
        <w:rPr>
          <w:sz w:val="20"/>
          <w:szCs w:val="20"/>
          <w:color w:val="auto"/>
        </w:rPr>
      </w:pPr>
    </w:p>
    <w:p>
      <w:pPr>
        <w:ind w:right="120"/>
        <w:spacing w:after="0" w:line="18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3" w:lineRule="exact"/>
        <w:rPr>
          <w:sz w:val="20"/>
          <w:szCs w:val="20"/>
          <w:color w:val="auto"/>
        </w:rPr>
      </w:pPr>
    </w:p>
    <w:p>
      <w:pPr>
        <w:spacing w:after="0" w:line="161" w:lineRule="exact"/>
        <w:tabs>
          <w:tab w:leader="none" w:pos="5940" w:val="left"/>
          <w:tab w:leader="none" w:pos="65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2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Based on the closing sales price as reported on The Nasdaq Global Select Market on June 30, 2025, the aggregate market value of the registrant's common stock held by non-affiliates of the registrant on that date was approximately $458.9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20, 2026, the registrant had 54,006,720 shares of Class A common stock and 87,115,600 shares of Class B common stock outstanding.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Portions of the registrant’s Proxy Statement for the Annual Meeting of Stockholders to be held May 14, 2026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641985</wp:posOffset>
            </wp:positionV>
            <wp:extent cx="71875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75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125730</wp:posOffset>
            </wp:positionV>
            <wp:extent cx="71621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71621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9700" w:type="dxa"/>
            <w:vAlign w:val="bottom"/>
          </w:tcPr>
          <w:p>
            <w:pPr>
              <w:ind w:left="43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760" w:type="dxa"/>
            <w:vAlign w:val="bottom"/>
          </w:tcPr>
          <w:p>
            <w:pPr>
              <w:spacing w:after="0"/>
              <w:rPr>
                <w:sz w:val="16"/>
                <w:szCs w:val="16"/>
                <w:color w:val="auto"/>
              </w:rPr>
            </w:pPr>
          </w:p>
        </w:tc>
      </w:tr>
      <w:tr>
        <w:trPr>
          <w:trHeight w:val="369"/>
        </w:trPr>
        <w:tc>
          <w:tcPr>
            <w:tcW w:w="8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1"/>
        </w:trPr>
        <w:tc>
          <w:tcPr>
            <w:tcW w:w="82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9"/>
        </w:trPr>
        <w:tc>
          <w:tcPr>
            <w:tcW w:w="820" w:type="dxa"/>
            <w:vAlign w:val="bottom"/>
            <w:shd w:val="clear" w:color="auto" w:fill="CCEEFF"/>
          </w:tcPr>
          <w:p>
            <w:pPr>
              <w:spacing w:after="0"/>
              <w:rPr>
                <w:sz w:val="15"/>
                <w:szCs w:val="15"/>
                <w:color w:val="auto"/>
              </w:rPr>
            </w:pPr>
          </w:p>
        </w:tc>
        <w:tc>
          <w:tcPr>
            <w:tcW w:w="970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Business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Risk Factors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1B.</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1C.</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Cybersecurity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Proceedings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 Safety Disclosures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39</w:t>
            </w:r>
          </w:p>
        </w:tc>
      </w:tr>
      <w:tr>
        <w:trPr>
          <w:trHeight w:val="179"/>
        </w:trPr>
        <w:tc>
          <w:tcPr>
            <w:tcW w:w="820" w:type="dxa"/>
            <w:vAlign w:val="bottom"/>
            <w:shd w:val="clear" w:color="auto" w:fill="CCEEFF"/>
          </w:tcPr>
          <w:p>
            <w:pPr>
              <w:spacing w:after="0"/>
              <w:rPr>
                <w:sz w:val="15"/>
                <w:szCs w:val="15"/>
                <w:color w:val="auto"/>
              </w:rPr>
            </w:pPr>
          </w:p>
        </w:tc>
        <w:tc>
          <w:tcPr>
            <w:tcW w:w="970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w w:val="97"/>
              </w:rPr>
              <w:t>Part II</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[Reserved]</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41</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7.</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7A.</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51</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8.</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r>
      <w:tr>
        <w:trPr>
          <w:trHeight w:val="179"/>
        </w:trPr>
        <w:tc>
          <w:tcPr>
            <w:tcW w:w="820" w:type="dxa"/>
            <w:vAlign w:val="bottom"/>
            <w:shd w:val="clear" w:color="auto" w:fill="CCEEFF"/>
          </w:tcPr>
          <w:p>
            <w:pPr>
              <w:spacing w:after="0"/>
              <w:rPr>
                <w:sz w:val="15"/>
                <w:szCs w:val="15"/>
                <w:color w:val="auto"/>
              </w:rPr>
            </w:pPr>
          </w:p>
        </w:tc>
        <w:tc>
          <w:tcPr>
            <w:tcW w:w="9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Consolidated Balance Sheets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r>
      <w:tr>
        <w:trPr>
          <w:trHeight w:val="179"/>
        </w:trPr>
        <w:tc>
          <w:tcPr>
            <w:tcW w:w="820" w:type="dxa"/>
            <w:vAlign w:val="bottom"/>
          </w:tcPr>
          <w:p>
            <w:pPr>
              <w:spacing w:after="0"/>
              <w:rPr>
                <w:sz w:val="15"/>
                <w:szCs w:val="15"/>
                <w:color w:val="auto"/>
              </w:rPr>
            </w:pPr>
          </w:p>
        </w:tc>
        <w:tc>
          <w:tcPr>
            <w:tcW w:w="9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Consolidated Statements of Comprehensive Income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r>
      <w:tr>
        <w:trPr>
          <w:trHeight w:val="179"/>
        </w:trPr>
        <w:tc>
          <w:tcPr>
            <w:tcW w:w="820" w:type="dxa"/>
            <w:vAlign w:val="bottom"/>
            <w:shd w:val="clear" w:color="auto" w:fill="CCEEFF"/>
          </w:tcPr>
          <w:p>
            <w:pPr>
              <w:spacing w:after="0"/>
              <w:rPr>
                <w:sz w:val="15"/>
                <w:szCs w:val="15"/>
                <w:color w:val="auto"/>
              </w:rPr>
            </w:pPr>
          </w:p>
        </w:tc>
        <w:tc>
          <w:tcPr>
            <w:tcW w:w="9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Consolidated Statements of Changes in Stockholders’ Equity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r>
      <w:tr>
        <w:trPr>
          <w:trHeight w:val="179"/>
        </w:trPr>
        <w:tc>
          <w:tcPr>
            <w:tcW w:w="820" w:type="dxa"/>
            <w:vAlign w:val="bottom"/>
          </w:tcPr>
          <w:p>
            <w:pPr>
              <w:spacing w:after="0"/>
              <w:rPr>
                <w:sz w:val="15"/>
                <w:szCs w:val="15"/>
                <w:color w:val="auto"/>
              </w:rPr>
            </w:pPr>
          </w:p>
        </w:tc>
        <w:tc>
          <w:tcPr>
            <w:tcW w:w="97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Consolidated Statements of Cash Flows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59</w:t>
            </w:r>
          </w:p>
        </w:tc>
      </w:tr>
      <w:tr>
        <w:trPr>
          <w:trHeight w:val="179"/>
        </w:trPr>
        <w:tc>
          <w:tcPr>
            <w:tcW w:w="820" w:type="dxa"/>
            <w:vAlign w:val="bottom"/>
            <w:shd w:val="clear" w:color="auto" w:fill="CCEEFF"/>
          </w:tcPr>
          <w:p>
            <w:pPr>
              <w:spacing w:after="0"/>
              <w:rPr>
                <w:sz w:val="15"/>
                <w:szCs w:val="15"/>
                <w:color w:val="auto"/>
              </w:rPr>
            </w:pPr>
          </w:p>
        </w:tc>
        <w:tc>
          <w:tcPr>
            <w:tcW w:w="9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Disclosures</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9A.</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Controls and Procedures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83</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9B.</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Information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9C.</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86</w:t>
            </w:r>
          </w:p>
        </w:tc>
      </w:tr>
      <w:tr>
        <w:trPr>
          <w:trHeight w:val="179"/>
        </w:trPr>
        <w:tc>
          <w:tcPr>
            <w:tcW w:w="820" w:type="dxa"/>
            <w:vAlign w:val="bottom"/>
          </w:tcPr>
          <w:p>
            <w:pPr>
              <w:spacing w:after="0"/>
              <w:rPr>
                <w:sz w:val="15"/>
                <w:szCs w:val="15"/>
                <w:color w:val="auto"/>
              </w:rPr>
            </w:pPr>
          </w:p>
        </w:tc>
        <w:tc>
          <w:tcPr>
            <w:tcW w:w="9700" w:type="dxa"/>
            <w:vAlign w:val="bottom"/>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10.</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87</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11.</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Executive Compensation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12.</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13.</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14.</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Principal Accountant Fees and Services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88</w:t>
            </w:r>
          </w:p>
        </w:tc>
      </w:tr>
      <w:tr>
        <w:trPr>
          <w:trHeight w:val="179"/>
        </w:trPr>
        <w:tc>
          <w:tcPr>
            <w:tcW w:w="820" w:type="dxa"/>
            <w:vAlign w:val="bottom"/>
          </w:tcPr>
          <w:p>
            <w:pPr>
              <w:spacing w:after="0"/>
              <w:rPr>
                <w:sz w:val="15"/>
                <w:szCs w:val="15"/>
                <w:color w:val="auto"/>
              </w:rPr>
            </w:pPr>
          </w:p>
        </w:tc>
        <w:tc>
          <w:tcPr>
            <w:tcW w:w="9700" w:type="dxa"/>
            <w:vAlign w:val="bottom"/>
          </w:tcPr>
          <w:p>
            <w:pPr>
              <w:jc w:val="center"/>
              <w:ind w:right="750"/>
              <w:spacing w:after="0"/>
              <w:rPr>
                <w:sz w:val="20"/>
                <w:szCs w:val="20"/>
                <w:color w:val="auto"/>
              </w:rPr>
            </w:pPr>
            <w:r>
              <w:rPr>
                <w:rFonts w:ascii="Times New Roman" w:cs="Times New Roman" w:eastAsia="Times New Roman" w:hAnsi="Times New Roman"/>
                <w:sz w:val="14"/>
                <w:szCs w:val="14"/>
                <w:b w:val="1"/>
                <w:bCs w:val="1"/>
                <w:color w:val="auto"/>
                <w:w w:val="96"/>
              </w:rPr>
              <w:t>Part IV</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 15.</w:t>
            </w:r>
          </w:p>
        </w:tc>
        <w:tc>
          <w:tcPr>
            <w:tcW w:w="9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89</w:t>
            </w:r>
          </w:p>
        </w:tc>
      </w:tr>
      <w:tr>
        <w:trPr>
          <w:trHeight w:val="179"/>
        </w:trPr>
        <w:tc>
          <w:tcPr>
            <w:tcW w:w="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16.</w:t>
            </w:r>
          </w:p>
        </w:tc>
        <w:tc>
          <w:tcPr>
            <w:tcW w:w="9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Form 10-K Summary</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93</w:t>
            </w:r>
          </w:p>
        </w:tc>
      </w:tr>
      <w:tr>
        <w:trPr>
          <w:trHeight w:val="17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97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94</w:t>
            </w:r>
          </w:p>
        </w:tc>
      </w:tr>
      <w:tr>
        <w:trPr>
          <w:trHeight w:val="896"/>
        </w:trPr>
        <w:tc>
          <w:tcPr>
            <w:tcW w:w="820" w:type="dxa"/>
            <w:vAlign w:val="bottom"/>
          </w:tcPr>
          <w:p>
            <w:pPr>
              <w:spacing w:after="0"/>
              <w:rPr>
                <w:sz w:val="24"/>
                <w:szCs w:val="24"/>
                <w:color w:val="auto"/>
              </w:rPr>
            </w:pPr>
          </w:p>
        </w:tc>
        <w:tc>
          <w:tcPr>
            <w:tcW w:w="9700" w:type="dxa"/>
            <w:vAlign w:val="bottom"/>
          </w:tcPr>
          <w:p>
            <w:pPr>
              <w:ind w:left="5040"/>
              <w:spacing w:after="0"/>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spacing w:after="0"/>
              <w:rPr>
                <w:sz w:val="24"/>
                <w:szCs w:val="24"/>
                <w:color w:val="auto"/>
              </w:rPr>
            </w:pPr>
          </w:p>
        </w:tc>
      </w:tr>
      <w:tr>
        <w:trPr>
          <w:trHeight w:val="86"/>
        </w:trPr>
        <w:tc>
          <w:tcPr>
            <w:tcW w:w="820" w:type="dxa"/>
            <w:vAlign w:val="bottom"/>
            <w:tcBorders>
              <w:bottom w:val="single" w:sz="8" w:color="9A9A9A"/>
            </w:tcBorders>
          </w:tcPr>
          <w:p>
            <w:pPr>
              <w:spacing w:after="0"/>
              <w:rPr>
                <w:sz w:val="7"/>
                <w:szCs w:val="7"/>
                <w:color w:val="auto"/>
              </w:rPr>
            </w:pPr>
          </w:p>
        </w:tc>
        <w:tc>
          <w:tcPr>
            <w:tcW w:w="97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You should read the following discussion and analysis of our financial condition and results of operations together with our consolidated financial statements and the related notes included elsewhere in this Annual Report on Form 10-K for the fiscal year ended December 31, 2025 (the “Annual Report” or “10-K”). This 10-K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spacing w:after="0" w:line="113" w:lineRule="exact"/>
        <w:rPr>
          <w:sz w:val="20"/>
          <w:szCs w:val="20"/>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and maintain the growth rate of our business;</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quality merchandise in sufficient quantities;</w:t>
      </w:r>
    </w:p>
    <w:p>
      <w:pPr>
        <w:spacing w:after="0" w:line="7" w:lineRule="exact"/>
        <w:rPr>
          <w:rFonts w:ascii="Times New Roman" w:cs="Times New Roman" w:eastAsia="Times New Roman" w:hAnsi="Times New Roman"/>
          <w:sz w:val="14"/>
          <w:szCs w:val="14"/>
          <w:color w:val="auto"/>
        </w:rPr>
      </w:pPr>
    </w:p>
    <w:p>
      <w:pPr>
        <w:ind w:left="520" w:hanging="263"/>
        <w:spacing w:after="0" w:line="25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our receiving and distribution system, including delays in the integration of our distribution centers and the possibility that we may not realize the anticipated benefits of multiple distribution centers;</w:t>
      </w: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new or proposed tariffs and changes to international trade policies and agreements;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of cyberattacks and our ability to maintain adequate cybersecurity systems and procedures;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corruption and misappropriation of data and information relating to clients and employees;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applicable data privacy rules and regulations;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 a result of constraints in our supply chain or disruptions due to geopolitical events such as acts of war and/or terrorism or other hostilities;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of our vendors to meet our quality standards;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Declines in general economic conditions that affect consumer confidence and consumer spending that could adversely affect our revenue;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anticipate changes in consumer preferences;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maintaining and increasing Showroom traffic and sales;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in our market;</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protect our intellectual property;</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applicable governmental regulations;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managing our eCommerce sales channel and digital marketing efforts;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third-party transportation carriers and risks associated with freight and transportation costs;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SEC rules and regulations as a public reporting company.</w:t>
      </w:r>
    </w:p>
    <w:p>
      <w:pPr>
        <w:spacing w:after="0" w:line="1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 xml:space="preserve">The risks, uncertainties and assumptions referred to above that could cause our results to differ materially from the results expressed or implied by such forward-looking statements include, but are not limited to, those discussed under </w:t>
      </w:r>
      <w:r>
        <w:rPr>
          <w:rFonts w:ascii="Times New Roman" w:cs="Times New Roman" w:eastAsia="Times New Roman" w:hAnsi="Times New Roman"/>
          <w:sz w:val="14"/>
          <w:szCs w:val="14"/>
          <w:i w:val="1"/>
          <w:iCs w:val="1"/>
          <w:color w:val="auto"/>
        </w:rPr>
        <w:t>Item 1A. Risk Factors, Item 7. Management’s Discussion and Analysis of Financial Condition and Results of Operations,</w:t>
      </w:r>
      <w:r>
        <w:rPr>
          <w:rFonts w:ascii="Times New Roman" w:cs="Times New Roman" w:eastAsia="Times New Roman" w:hAnsi="Times New Roman"/>
          <w:sz w:val="14"/>
          <w:szCs w:val="14"/>
          <w:color w:val="auto"/>
        </w:rPr>
        <w:t xml:space="preserve"> and elsewhere in this Annual Report. All forward-looking statements included in this document are based on information available to us as of the date hereof, and we assume no obligation to update these forward-looking statements. These statements are based on information available to us as of the date of this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We are including this cautionary note to make applicable and take advantage of the safe harbor provisions of the Private Securities Litigation Reform Act of 1995 for forward-looking statements. We undertake no obligation to update or revise any forward-looking statements, whether as a result of new information, future events or for any other reason.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Founded in 1986 by John Reed, our Chief Executive Officer (“CEO”), and his father, Arhaus, Inc. (“Arhaus”, “Company”, “we”, “us” or “our”) is a premium home furnishings brand built on a simple idea: furniture and décor should be responsibly sourced, lovingly made, and built to last. We operate a vertically integrated model, designing and sourcing products directly from skilled artisans and carefully selected manufacturing vendors around the world, including domestic upholstery production at our own North Carolina manufacturing facility. This approach enables us to offer a highly exclusive and customizable assortment of heirloom-quality furniture and décor designed to be used and enjoyed for generations. Design is at the core of everything Arhaus does. With more than 100 Showroom locations across the United States, our integrated omni-channel model connects every client touchpoint, from Showroom and interior design to eCommerce and catalog, allowing us to meet clients wherever and however they choose to shop while delivering a highly personalized client-first experience from discovery through delivery. On November 4, 2021, the Company completed its initial public offering (“IPO”) of its Class A common stock, which is traded on the Nasdaq Global Select Market (the “Nasdaq”) under the symbol “ARHS”.</w:t>
      </w:r>
    </w:p>
    <w:p>
      <w:pPr>
        <w:spacing w:after="0" w:line="11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Our vertically integrated model, inclusive of design and product development teams, upholstery manufacturing capabilities, direct vendor sourcing, direct-to-consumer and direct-to-trade selling, allows Arhaus to maintain greater control over product quality, design integrity, and value. We offer merchandise across a broad range of categories, including furniture, outdoor, bath, lighting, textiles and décor. Our curated assortments are presented across our sales channels in sophisticated, family-friendly and lifestyle-oriented settings.</w:t>
      </w:r>
    </w:p>
    <w:p>
      <w:pPr>
        <w:spacing w:after="0" w:line="11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Based on third-party reports, publicly available data, and our internal research, we believe the United States premium home furnishings market is approximately $100 billion. This highly fragmented market is served by a large number of independent retailers, which we believe provides us a meaningful opportunity to increase market share over time. We believe that we are well positioned to grow market share through our differentiated brand positioning, scale, and strong resonance with affluent clients who value quality, craftsmanship, and design.</w:t>
      </w:r>
    </w:p>
    <w:p>
      <w:pPr>
        <w:spacing w:after="0" w:line="10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Products are designed for use throughout the home and are sourced directly from a global network of nearly 400 vendors. Through close collaboration with Arhaus product development teams and sourcing relationships, and supported by our vertically integrated model, we believe we are able to deliver high-quality products at a compelling value.</w:t>
      </w:r>
    </w:p>
    <w:p>
      <w:pPr>
        <w:spacing w:after="0" w:line="9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Arhaus strives to deliver a welcoming and inspirational experience across both Showrooms and eCommerce, guided by our belief that retail is theater. Showrooms are immersive, design-forward spaces that serve as an important driver of brand awareness and client engagement, while our eCommerce channel functions as a seamless extension of the physical Showroom experience. Our experienced design consultants and interior designers provide expert guidance and personalized service, supporting clients throughout their shopping journey. As of December 31, 2025, the Company operated 107 Showrooms in 31 states, consisting of 90 Traditional Showrooms, 9 Design Studios and 8 Lofts.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Our financial and operating performance are summarized in the following table:</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31"/>
        </w:trPr>
        <w:tc>
          <w:tcPr>
            <w:tcW w:w="6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5"/>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70"/>
        </w:trPr>
        <w:tc>
          <w:tcPr>
            <w:tcW w:w="65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1,379,222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1,271,107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1,287,704</w:t>
            </w:r>
          </w:p>
        </w:tc>
      </w:tr>
      <w:tr>
        <w:trPr>
          <w:trHeight w:val="179"/>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revenue growth (decline)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7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 as a % of net revenue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42.0 %</w:t>
            </w:r>
          </w:p>
        </w:tc>
      </w:tr>
      <w:tr>
        <w:trPr>
          <w:trHeight w:val="18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as a % of revenue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9.7 %</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Design-Led, Artisan-Crafted Concept Delivering Livable Luxury</w:t>
      </w:r>
    </w:p>
    <w:p>
      <w:pPr>
        <w:spacing w:after="0" w:line="14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We offer a differentiated concept within the premium home furnishing and décor market by combining design-led products, quality craftsmanship, compelling value, and an integrated omni-channel model. Our artisan-crafted, globally curated products are designed to balance elevated style with durability and everyday livability.</w:t>
      </w:r>
    </w:p>
    <w:p>
      <w:pPr>
        <w:spacing w:after="0" w:line="200" w:lineRule="exact"/>
        <w:rPr>
          <w:sz w:val="20"/>
          <w:szCs w:val="20"/>
          <w:color w:val="auto"/>
        </w:rPr>
      </w:pPr>
    </w:p>
    <w:p>
      <w:pPr>
        <w:spacing w:after="0" w:line="2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engage clients through an omni-channel model grounded in our long-standing conviction that retail is theater, with physical Showrooms serving as immersive, inspirational brand environments and our eCommerce channel functioning as a natural extension of those spaces.</w:t>
      </w:r>
    </w:p>
    <w:p>
      <w:pPr>
        <w:spacing w:after="0" w:line="10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4"/>
          <w:szCs w:val="14"/>
          <w:color w:val="auto"/>
        </w:rPr>
        <w:t>In a highly fragmented market with limited scale, we believe our premium positioning, vertically integrated model, service-oriented approach, and curated product assortment position us well to expand brand awareness and gain market share over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Highly Experiential, Integrated Omni-Channel Model</w:t>
      </w:r>
    </w:p>
    <w:p>
      <w:pPr>
        <w:spacing w:after="0" w:line="19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Our integrated omni-channel model supports a premium, high-touch client experience and the execution of our growth strategy. By combining immersive Showrooms with digital engagement, interior design services, exclusive artisan-crafted products, and white-glove fulfillment, our omni-channel model offers purchasing and personalized service at scale. This integrated approach allows product, service, and engagement channels to reinforce one another, supporting higher client engagement, repeat behavior, and durable revenue growth over time.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the “</w:t>
      </w:r>
      <w:r>
        <w:rPr>
          <w:rFonts w:ascii="Times New Roman" w:cs="Times New Roman" w:eastAsia="Times New Roman" w:hAnsi="Times New Roman"/>
          <w:sz w:val="14"/>
          <w:szCs w:val="14"/>
          <w:b w:val="1"/>
          <w:bCs w:val="1"/>
          <w:i w:val="1"/>
          <w:iCs w:val="1"/>
          <w:color w:val="auto"/>
        </w:rPr>
        <w:t>Omni-Channel Model</w:t>
      </w:r>
      <w:r>
        <w:rPr>
          <w:rFonts w:ascii="Times New Roman" w:cs="Times New Roman" w:eastAsia="Times New Roman" w:hAnsi="Times New Roman"/>
          <w:sz w:val="14"/>
          <w:szCs w:val="14"/>
          <w:color w:val="auto"/>
        </w:rPr>
        <w:t xml:space="preserve"> ” section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Customer Mix</w:t>
      </w:r>
    </w:p>
    <w:p>
      <w:pPr>
        <w:spacing w:after="0" w:line="14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Our business is supported by a mix of customers, including our core customer, customers that work with our Arhaus interior designers, and trade. Interior designer-assisted projects generally exhibit higher average order values (“AOVs”), repeat purchasing behavior, and increased visibility into future projects. This customer mix is supported by our omni-channel model and service-oriented approach.</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Industry-Leading Personalization and Customization</w:t>
      </w:r>
    </w:p>
    <w:p>
      <w:pPr>
        <w:spacing w:after="0" w:line="15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Our omni-channel model supports extensive personalization and customization, allowing clients and designers to tailor products across hundreds of silhouettes, fabrics, and leathers. These capabilities are supported in Traditional Showrooms, Design Studios, and eCommerce and are enabled by our vertically integrated sourcing model and domestic manufacturing capabilities.</w:t>
      </w:r>
    </w:p>
    <w:p>
      <w:pPr>
        <w:spacing w:after="0" w:line="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A significant portion of our upholstery assortment is produced domestically in the United States, with approximately 70% sourced domestically based on merchandise receipts in 2025. The largest portion of this production occurs at our own manufacturing facility in North Carolina, which provides enhanced control over design, quality, and lead time. We believe these capabilities differentiate Arhaus, support deeper client engagement, and reinforce our ability to deliver highly personalized, lifestyle-driven products.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Direct Global Sourcing Relationships</w:t>
      </w:r>
    </w:p>
    <w:p>
      <w:pPr>
        <w:spacing w:after="0" w:line="15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Our direct global sourcing relationships enable us to offer high-quality, differentiated products with compelling value. We maintain long-standing relationships with a network of global vendors and artisans, supporting consistent product quality, supply chain resilience, and a high degree of product exclusivity. As of 2025, over 90% of our products, based on net revenue, are exclusive to Arhaus.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in-house design and product development teams work closely with our sourcing relationships to innovate and bring new assortments to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the “Our Premium, Artisan-Crafted Products” section herein.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Discipline, Scalable Infrastructure, and Superior Unit Economics</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Showroom expansion strategy is grounded in a disciplined, market-by-market approach, with rigorous evaluation applied to each investment based on location, format, and customer demographics. While performance varies by Showroom, our Showrooms have delivered attractive unit-level financial performance across our footprint and have operated successfully across a range of geographic regions, market sizes, and Showroom formats. Our Showroom experience spans large and small markets, as well as urban and suburban locations, with generally comparable average unit volumes across the Northeast, West, Midwest and South regions. This Showroom experience informs our site selection and capital deployment decisions as we continue to penetrate new markets in a selective and disciplined manner.</w:t>
      </w:r>
    </w:p>
    <w:p>
      <w:pPr>
        <w:spacing w:after="0" w:line="200" w:lineRule="exact"/>
        <w:rPr>
          <w:sz w:val="20"/>
          <w:szCs w:val="20"/>
          <w:color w:val="auto"/>
        </w:rPr>
      </w:pPr>
    </w:p>
    <w:p>
      <w:pPr>
        <w:spacing w:after="0" w:line="2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the “Showrooms and Real Estate Strategy” section herein.</w:t>
      </w:r>
    </w:p>
    <w:p>
      <w:pPr>
        <w:spacing w:after="0" w:line="15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In addition, we are making significant, multi-year investments in technology, distribution, and manufacturing infrastructure designed to support growth, improve operational efficiency, and enhance client experience.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the “Investments in Scalable Infrastructure, Distribution, and Delivery” section herein.</w:t>
      </w:r>
    </w:p>
    <w:p>
      <w:pPr>
        <w:spacing w:after="0" w:line="14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4"/>
          <w:szCs w:val="14"/>
          <w:color w:val="auto"/>
        </w:rPr>
        <w:t>Our debt-free balance sheet, strong liquidity, and disciplined capital allocation framework, provide financial flexibility to invest through economic cycles while maintaining financial strength. We believe this long-term, disciplined approach supports sustainable value creation.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Growth Strategies</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We believe there is meaningful opportunity to drive sustainable growth and profitability by expanding brand awareness and deepening client engagement through disciplined execution of our operating model. Our growth initiatives, supported by our omni-channel model, are designed to deliver net revenue growth, improve operating leverage, and long-term value creation.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funded these investments through operating cash flows, reflecting our disciplined capital allocation approach and focus on maintaining financial flexibility.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growth initiatives include:</w:t>
      </w:r>
    </w:p>
    <w:p>
      <w:pPr>
        <w:spacing w:after="0" w:line="132" w:lineRule="exact"/>
        <w:rPr>
          <w:sz w:val="20"/>
          <w:szCs w:val="20"/>
          <w:color w:val="auto"/>
        </w:rPr>
      </w:pPr>
    </w:p>
    <w:p>
      <w:pPr>
        <w:ind w:left="500" w:hanging="24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Premium, artisan-crafted product </w:t>
      </w:r>
      <w:r>
        <w:rPr>
          <w:rFonts w:ascii="Times New Roman" w:cs="Times New Roman" w:eastAsia="Times New Roman" w:hAnsi="Times New Roman"/>
          <w:sz w:val="14"/>
          <w:szCs w:val="14"/>
          <w:color w:val="auto"/>
        </w:rPr>
        <w:t>that differentiates the brand</w:t>
      </w:r>
    </w:p>
    <w:p>
      <w:pPr>
        <w:spacing w:after="0" w:line="144"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Expansion of our Showroom footprint </w:t>
      </w:r>
      <w:r>
        <w:rPr>
          <w:rFonts w:ascii="Times New Roman" w:cs="Times New Roman" w:eastAsia="Times New Roman" w:hAnsi="Times New Roman"/>
          <w:sz w:val="14"/>
          <w:szCs w:val="14"/>
          <w:color w:val="auto"/>
        </w:rPr>
        <w:t>to increase awareness, engagement, and conversion</w:t>
      </w:r>
    </w:p>
    <w:p>
      <w:pPr>
        <w:spacing w:after="0" w:line="144"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Increased brand awareness and client engagement </w:t>
      </w:r>
      <w:r>
        <w:rPr>
          <w:rFonts w:ascii="Times New Roman" w:cs="Times New Roman" w:eastAsia="Times New Roman" w:hAnsi="Times New Roman"/>
          <w:sz w:val="14"/>
          <w:szCs w:val="14"/>
          <w:color w:val="auto"/>
        </w:rPr>
        <w:t>through immersive experiences and storytelling, including catalogs and social media</w:t>
      </w:r>
    </w:p>
    <w:p>
      <w:pPr>
        <w:spacing w:after="0" w:line="134"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An integrated omni-channel model </w:t>
      </w:r>
      <w:r>
        <w:rPr>
          <w:rFonts w:ascii="Times New Roman" w:cs="Times New Roman" w:eastAsia="Times New Roman" w:hAnsi="Times New Roman"/>
          <w:sz w:val="14"/>
          <w:szCs w:val="14"/>
          <w:color w:val="auto"/>
        </w:rPr>
        <w:t>that supports a connected client journey</w:t>
      </w:r>
    </w:p>
    <w:p>
      <w:pPr>
        <w:spacing w:after="0" w:line="144"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Investments in scalable infrastructure </w:t>
      </w:r>
      <w:r>
        <w:rPr>
          <w:rFonts w:ascii="Times New Roman" w:cs="Times New Roman" w:eastAsia="Times New Roman" w:hAnsi="Times New Roman"/>
          <w:sz w:val="14"/>
          <w:szCs w:val="14"/>
          <w:color w:val="auto"/>
        </w:rPr>
        <w:t>to support growth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Premium, Artisan-Crafted Products</w:t>
      </w:r>
    </w:p>
    <w:p>
      <w:pPr>
        <w:spacing w:after="0" w:line="18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4"/>
          <w:szCs w:val="14"/>
          <w:color w:val="auto"/>
        </w:rPr>
        <w:t>We are a lifestyle brand and omni-channel retailer of premium home furnishings and décor focused on providing livable luxury to clients. Our differentiated concept is centered on offering heirloom quality, artisan-crafted furniture and décor designed to be used and enjoyed throughout the home. We travel globally to gather inspiration, curate our collection, and select vendors that share our commitment to design responsibly sourced, lovingly made, and built to last premium products.</w:t>
      </w:r>
    </w:p>
    <w:p>
      <w:pPr>
        <w:spacing w:after="0" w:line="9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We have longstanding relationships with many of our vendors, which provide several competitive advantages, including consistent product quality and a high degree of exclusivity. Over 90% of our products, based on net revenue in 2025, are exclusive to Arhaus and are not available through other retailers. We offer a broad range of product assortment across furniture, outdoor, bath, lighting, textiles and décor categories, enabling clients to furnish entire homes through a single, integrated brand.</w:t>
      </w:r>
    </w:p>
    <w:p>
      <w:pPr>
        <w:spacing w:after="0" w:line="11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Our product assortments span a wide range of categories and styles, including bedroom, dining room, living room, home office furnishings, and include sofas, dining tables and chairs, accent chairs, console and coffee tables, beds, headboards, dressers, desks, bookcases, modular storage, among many more items. Our outdoor product assortment includes outdoor dining tables, chairs, chaises and other furniture, lighting, textiles, décor, umbrellas and fire pits. Our bath product assortment includes vanities and storage pieces, faucets and hardware, and Turkish bath towels. Our lighting product assortment consists of a variety of distinct and artistic lighting fixtures, including chandeliers, pendants, table and floor lamps and sconces. Our textile product assortment includes handcrafted indoor and outdoor rugs, bed linens, and pillows and throws. Our décor product assortment ranges from wall art to mirrors, vases to candles, and many other decorative accessories.</w:t>
      </w:r>
    </w:p>
    <w:p>
      <w:pPr>
        <w:spacing w:after="0" w:line="11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4"/>
          <w:szCs w:val="14"/>
          <w:color w:val="auto"/>
        </w:rPr>
        <w:t>Many of our products are conceived and developed by our in-house design team of highly skilled and experienced members. We have invested, and expect to continue investing, in our product development capabilities. We believe these investments enhance our competitive advantages by offering clients premium quality and customized product at a compelling value and ultimately drive long-term net revenue growth.</w:t>
      </w:r>
    </w:p>
    <w:p>
      <w:pPr>
        <w:spacing w:after="0" w:line="10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4"/>
          <w:szCs w:val="14"/>
          <w:color w:val="auto"/>
        </w:rPr>
        <w:t>We maintain relationships with nearly 400 vendors, and our top 10 vendors, including our internal manufacturer, represent approximately 50% of our net revenue in 2025. Only one of our external vendors accounts for more than 10% of our net revenue, and two other external vendors each account for more than 5% of net revenue. With respect to sourcing, the United</w:t>
      </w:r>
    </w:p>
    <w:p>
      <w:pPr>
        <w:spacing w:after="0" w:line="200" w:lineRule="exact"/>
        <w:rPr>
          <w:sz w:val="20"/>
          <w:szCs w:val="20"/>
          <w:color w:val="auto"/>
        </w:rPr>
      </w:pPr>
    </w:p>
    <w:p>
      <w:pPr>
        <w:spacing w:after="0" w:line="22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States accounts for the largest share of our net revenue, including our internal manufacturing, with the remainder sourced across multiple countries.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In addition to product design and development, we have upholstery manufacturing capabilities which allow us to create intricate, high quality products at attractive prices and margins. Our ability to design, customize, and scale products and services across our omni-channel model enables us to deliver a consistent client experience while supporting operating efficiency and growth. Our vertically integrated model and direct sourcing allows us to offer a compelling value for clients while supporting attractive profitability. We reported gross margin as a percent of net revenue of 38.9%, 39.4% and 42.0% for the years ended December 31, 2025, 2024 and 2023,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Showrooms and Real Estate Strategy</w:t>
      </w:r>
    </w:p>
    <w:p>
      <w:pPr>
        <w:spacing w:after="0" w:line="14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As of December 31, 2025, we operated 107 Showrooms across 31 states. Our top 10 Showrooms as measured by net revenue in 2025 are located across 9 different states, reflecting broad geographic demand.</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Our Showroom portfolio includes Traditional Showrooms, Design Studios, and Lofts, which are outlets we operate under the branding “Arhaus the Loft”. These locations represent a component of our retail footprint complementing our Traditional Showrooms and Design Studios.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Traditional Showrooms are larger-format spaces averaging approximately 17,100 square feet and are designed to showcase complete lifestyle vignettes and curated assortments across categories.</w:t>
      </w:r>
    </w:p>
    <w:p>
      <w:pPr>
        <w:spacing w:after="0" w:line="14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Design Studios are smaller-format locations averaging approximately 5,700 square feet and serve as an extension of our interior design services, offering a highly curated product selection in select markets where a more compact footprint is appropriate, including affluent second-home destinations. Both formats are designed to support high-touch and personalized service.</w:t>
      </w:r>
    </w:p>
    <w:p>
      <w:pPr>
        <w:spacing w:after="0" w:line="10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Our Showrooms are staffed by trained design consultants and interior designers who provide product expertise and design guidance. These teams are compensated in part through commission-based structures, which may represent a significant portion of their total compensation.</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Our real estate strategy focuses on locating Showrooms in high traffic, top tier retail locations that we believe align with the demographics, lifestyle preferences, and shopping behaviors of our target clients. We generally favor locations near other luxury and contemporary retailers that complement our brand positioning and enhance visibility and brand awareness.</w:t>
      </w:r>
    </w:p>
    <w:p>
      <w:pPr>
        <w:spacing w:after="0" w:line="104"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4"/>
          <w:szCs w:val="14"/>
          <w:color w:val="auto"/>
        </w:rPr>
        <w:t>We believe there is significant whitespace opportunity in both existing and new markets. Based on our analysis, we have identified approximately 165 total locations in the United States that could support Traditional Showrooms and approximately 50 total locations that could support Design Studios. This current view of the domestic opportunity may evolve over time as market conditions, client demand, and operating experience continue to develop.</w:t>
      </w:r>
    </w:p>
    <w:p>
      <w:pPr>
        <w:spacing w:after="0" w:line="200" w:lineRule="exact"/>
        <w:rPr>
          <w:sz w:val="20"/>
          <w:szCs w:val="20"/>
          <w:color w:val="auto"/>
        </w:rPr>
      </w:pPr>
    </w:p>
    <w:p>
      <w:pPr>
        <w:spacing w:after="0" w:line="2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lists the number of Showrooms in each state where we operate within the United States as of December 31, 2025:</w:t>
      </w:r>
    </w:p>
    <w:p>
      <w:pPr>
        <w:sectPr>
          <w:pgSz w:w="11900" w:h="16838" w:orient="portrait"/>
          <w:cols w:equalWidth="0" w:num="1">
            <w:col w:w="11260"/>
          </w:cols>
          <w:pgMar w:left="300" w:top="125" w:right="33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Locations</w:t>
            </w:r>
          </w:p>
        </w:tc>
        <w:tc>
          <w:tcPr>
            <w:tcW w:w="22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Showrooms</w:t>
            </w:r>
          </w:p>
        </w:tc>
      </w:tr>
      <w:tr>
        <w:trPr>
          <w:trHeight w:val="174"/>
        </w:trPr>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Alabama</w:t>
            </w:r>
          </w:p>
        </w:tc>
        <w:tc>
          <w:tcPr>
            <w:tcW w:w="100" w:type="dxa"/>
            <w:vAlign w:val="bottom"/>
          </w:tcPr>
          <w:p>
            <w:pPr>
              <w:spacing w:after="0"/>
              <w:rPr>
                <w:sz w:val="15"/>
                <w:szCs w:val="15"/>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r>
        <w:trPr>
          <w:trHeight w:val="196"/>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Arizona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California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Colorado</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Connecticut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Florida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Georgia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Illinois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Indiana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Kansas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Kentucky</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Louisiana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Maryland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Massachusetts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Michigan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3</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Minnesota</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-2027555</wp:posOffset>
            </wp:positionV>
            <wp:extent cx="6318885" cy="133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8885" cy="133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-1766570</wp:posOffset>
            </wp:positionV>
            <wp:extent cx="6318885"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-1511935</wp:posOffset>
            </wp:positionV>
            <wp:extent cx="6318885"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-1257935</wp:posOffset>
            </wp:positionV>
            <wp:extent cx="6318885" cy="127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-1003300</wp:posOffset>
            </wp:positionV>
            <wp:extent cx="6318885" cy="127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-748665</wp:posOffset>
            </wp:positionV>
            <wp:extent cx="6318885" cy="127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wp:posOffset>
            </wp:positionV>
            <wp:extent cx="6318885" cy="127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888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-240030</wp:posOffset>
            </wp:positionV>
            <wp:extent cx="6318885"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8885" cy="12700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lists the composition of our Showrooms as of each period presented:</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Traditional Showrooms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Design Studios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Lofts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Showrooms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Locations</w:t>
            </w:r>
          </w:p>
        </w:tc>
        <w:tc>
          <w:tcPr>
            <w:tcW w:w="8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Showrooms</w:t>
            </w:r>
          </w:p>
        </w:tc>
      </w:tr>
      <w:tr>
        <w:trPr>
          <w:trHeight w:val="191"/>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Missouri</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Montana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New Hampshire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New Jersey</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New York</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North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Ohio</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Oklahoma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Pennsylvania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South Carolina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Tennessee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Texas</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r>
      <w:tr>
        <w:trPr>
          <w:trHeight w:val="200"/>
        </w:trPr>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Utah</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Virginia</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00"/>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Wisconsin</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3300" w:type="dxa"/>
        <w:tblCellMar>
          <w:top w:w="0" w:type="dxa"/>
          <w:left w:w="0" w:type="dxa"/>
          <w:bottom w:w="0" w:type="dxa"/>
          <w:right w:w="0" w:type="dxa"/>
        </w:tblCellMar>
      </w:tblPr>
      <w:tr>
        <w:trPr>
          <w:trHeight w:val="203"/>
        </w:trPr>
        <w:tc>
          <w:tcPr>
            <w:tcW w:w="14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1"/>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6"/>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0"/>
        </w:trPr>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2"/>
        </w:trPr>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-548005</wp:posOffset>
            </wp:positionV>
            <wp:extent cx="7148830" cy="13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830" cy="13398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-287020</wp:posOffset>
            </wp:positionV>
            <wp:extent cx="7148830" cy="127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830" cy="12700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5000" w:space="20"/>
            <w:col w:w="6240"/>
          </w:cols>
          <w:pgMar w:left="300" w:top="1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From January 1, 2024 to December 31, 2025, we successfully opened or relocated 28 new Showrooms. Our recent Showroom growth is summarized in the following table:</w:t>
      </w:r>
    </w:p>
    <w:p>
      <w:pPr>
        <w:spacing w:after="0" w:line="174"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beginning of period</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9"/>
        </w:trPr>
        <w:tc>
          <w:tcPr>
            <w:tcW w:w="9340" w:type="dxa"/>
            <w:vAlign w:val="bottom"/>
            <w:gridSpan w:val="2"/>
          </w:tcPr>
          <w:p>
            <w:pPr>
              <w:ind w:left="100"/>
              <w:spacing w:after="0" w:line="179" w:lineRule="exact"/>
              <w:rPr>
                <w:sz w:val="20"/>
                <w:szCs w:val="20"/>
                <w:color w:val="auto"/>
              </w:rPr>
            </w:pPr>
            <w:r>
              <w:rPr>
                <w:rFonts w:ascii="Times New Roman" w:cs="Times New Roman" w:eastAsia="Times New Roman" w:hAnsi="Times New Roman"/>
                <w:sz w:val="14"/>
                <w:szCs w:val="14"/>
                <w:color w:val="auto"/>
              </w:rPr>
              <w:t xml:space="preserve">Showrooms opened </w:t>
            </w:r>
            <w:r>
              <w:rPr>
                <w:rFonts w:ascii="Times New Roman" w:cs="Times New Roman" w:eastAsia="Times New Roman" w:hAnsi="Times New Roman"/>
                <w:sz w:val="18"/>
                <w:szCs w:val="18"/>
                <w:color w:val="auto"/>
                <w:vertAlign w:val="superscript"/>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9"/>
        </w:trPr>
        <w:tc>
          <w:tcPr>
            <w:tcW w:w="9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Showrooms closed for relocations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9"/>
        </w:trPr>
        <w:tc>
          <w:tcPr>
            <w:tcW w:w="8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Showrooms closed permanently</w:t>
            </w:r>
          </w:p>
        </w:tc>
        <w:tc>
          <w:tcPr>
            <w:tcW w:w="10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end of period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00" w:hanging="96"/>
        <w:spacing w:after="0"/>
        <w:tabs>
          <w:tab w:leader="none" w:pos="100" w:val="left"/>
        </w:tabs>
        <w:numPr>
          <w:ilvl w:val="0"/>
          <w:numId w:val="4"/>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Showrooms opened during the respective periods includes both new and relocated Showrooms.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Brand Awareness and Client Engagement</w:t>
      </w:r>
    </w:p>
    <w:p>
      <w:pPr>
        <w:spacing w:after="0" w:line="189"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4"/>
          <w:szCs w:val="14"/>
          <w:color w:val="auto"/>
        </w:rPr>
        <w:t>We seek to increase brand awareness and client engagement through an omni-channel model that combines physical Showrooms, eCommerce, interior design services, and a differentiated product assortment. We believe this approach supports consistent client engagement across multiple touchpoints.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Omni-Channel Model</w:t>
      </w:r>
    </w:p>
    <w:p>
      <w:pPr>
        <w:spacing w:after="0" w:line="14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engage clients through an omni-channel model that serves as the operating foundation of our growth strategy, linking product, Showrooms, brand engagement, service, and fulfillment into a single, integrated system. Leveraging data, technology, and design capabilities, we meet clients wherever and however they choose to shop.</w:t>
      </w:r>
    </w:p>
    <w:p>
      <w:pPr>
        <w:spacing w:after="0" w:line="200" w:lineRule="exact"/>
        <w:rPr>
          <w:sz w:val="20"/>
          <w:szCs w:val="20"/>
          <w:color w:val="auto"/>
        </w:rPr>
      </w:pP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4"/>
          <w:szCs w:val="14"/>
          <w:color w:val="auto"/>
        </w:rPr>
        <w:t>Our omni-channel model integrates immersive physical Showrooms, eCommerce, catalogs and digital media, interior designer services, trade services, and personalized client engagement, ensuring each touchpoint reinforces the others and amplifies the impact of our growth investments. This integrated approach supports brand awareness, engagement, conversion, and long-term client relationships.</w:t>
      </w:r>
    </w:p>
    <w:p>
      <w:pPr>
        <w:spacing w:after="0" w:line="15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color w:val="auto"/>
        </w:rPr>
        <w:t>Our product development and omni-channel model, together with our infrastructure and scale, enable growth to compound across channels rather than operate in silos, delivering a compelling combination of design, quality, and value. Clients can begin, continue, and complete their journey seamlessly across touchpoints, supporting higher engagement, repeat behavior, and durable revenue over time.</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Showrooms</w:t>
      </w:r>
    </w:p>
    <w:p>
      <w:pPr>
        <w:spacing w:after="0" w:line="136" w:lineRule="exact"/>
        <w:rPr>
          <w:sz w:val="20"/>
          <w:szCs w:val="20"/>
          <w:color w:val="auto"/>
        </w:rPr>
      </w:pPr>
    </w:p>
    <w:p>
      <w:pPr>
        <w:ind w:left="520" w:right="60"/>
        <w:spacing w:after="0" w:line="260" w:lineRule="auto"/>
        <w:rPr>
          <w:sz w:val="20"/>
          <w:szCs w:val="20"/>
          <w:color w:val="auto"/>
        </w:rPr>
      </w:pPr>
      <w:r>
        <w:rPr>
          <w:rFonts w:ascii="Times New Roman" w:cs="Times New Roman" w:eastAsia="Times New Roman" w:hAnsi="Times New Roman"/>
          <w:sz w:val="14"/>
          <w:szCs w:val="14"/>
          <w:color w:val="auto"/>
        </w:rPr>
        <w:t>Our Showrooms are immersive, design-forward environments and serve as an important driver of brand awareness, client acquisition, and engagement. They are designed to convey our curated, livable luxury concept through fully appointed room vignettes that allow clients to experience our products in a tangible and inspirational way and reimagine how those products may be used in their own homes.</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Within our Showroom strategy, we operate complementary formats including Traditional Showrooms and Design Studios, each serving a distinct role in our omni-channel model:</w:t>
      </w:r>
    </w:p>
    <w:p>
      <w:pPr>
        <w:spacing w:after="0" w:line="134" w:lineRule="exact"/>
        <w:rPr>
          <w:sz w:val="20"/>
          <w:szCs w:val="20"/>
          <w:color w:val="auto"/>
        </w:rPr>
      </w:pPr>
    </w:p>
    <w:p>
      <w:pPr>
        <w:ind w:left="520" w:right="220"/>
        <w:spacing w:after="0" w:line="284" w:lineRule="auto"/>
        <w:rPr>
          <w:sz w:val="20"/>
          <w:szCs w:val="20"/>
          <w:color w:val="auto"/>
        </w:rPr>
      </w:pPr>
      <w:r>
        <w:rPr>
          <w:rFonts w:ascii="Times New Roman" w:cs="Times New Roman" w:eastAsia="Times New Roman" w:hAnsi="Times New Roman"/>
          <w:sz w:val="14"/>
          <w:szCs w:val="14"/>
          <w:color w:val="auto"/>
        </w:rPr>
        <w:t>Traditional Showrooms represent our full, immersive brand expression. These locations are inspirational environments that showcase a broad assortment of furniture and décor across fully styled room settings. They are designed to inspire clients, build emotional connection to the brand, and support full-home and multi-room projects.</w:t>
      </w:r>
    </w:p>
    <w:p>
      <w:pPr>
        <w:spacing w:after="0" w:line="83" w:lineRule="exact"/>
        <w:rPr>
          <w:sz w:val="20"/>
          <w:szCs w:val="20"/>
          <w:color w:val="auto"/>
        </w:rPr>
      </w:pPr>
    </w:p>
    <w:p>
      <w:pPr>
        <w:ind w:left="520" w:right="60"/>
        <w:spacing w:after="0" w:line="260" w:lineRule="auto"/>
        <w:rPr>
          <w:sz w:val="20"/>
          <w:szCs w:val="20"/>
          <w:color w:val="auto"/>
        </w:rPr>
      </w:pPr>
      <w:r>
        <w:rPr>
          <w:rFonts w:ascii="Times New Roman" w:cs="Times New Roman" w:eastAsia="Times New Roman" w:hAnsi="Times New Roman"/>
          <w:sz w:val="14"/>
          <w:szCs w:val="14"/>
          <w:color w:val="auto"/>
        </w:rPr>
        <w:t>Design Studios are purpose built, project focused environments. These locations are highly curated and tailored for more targeted client and trade interactions, providing a dedicated setting to collaborate with interior designers, review materials and finishes, and work through specific room or whole-home projects. Design Studios are intended to be efficient, design centric spaces that support customization and high touch service.</w:t>
      </w:r>
    </w:p>
    <w:p>
      <w:pPr>
        <w:spacing w:after="0" w:line="109" w:lineRule="exact"/>
        <w:rPr>
          <w:sz w:val="20"/>
          <w:szCs w:val="20"/>
          <w:color w:val="auto"/>
        </w:rPr>
      </w:pPr>
    </w:p>
    <w:p>
      <w:pPr>
        <w:ind w:left="520" w:right="280"/>
        <w:spacing w:after="0" w:line="252" w:lineRule="auto"/>
        <w:rPr>
          <w:sz w:val="20"/>
          <w:szCs w:val="20"/>
          <w:color w:val="auto"/>
        </w:rPr>
      </w:pPr>
      <w:r>
        <w:rPr>
          <w:rFonts w:ascii="Times New Roman" w:cs="Times New Roman" w:eastAsia="Times New Roman" w:hAnsi="Times New Roman"/>
          <w:sz w:val="14"/>
          <w:szCs w:val="14"/>
          <w:color w:val="auto"/>
        </w:rPr>
        <w:t>Both formats are guided by a consistent brand vision, product mix, and design elements, while allowing flexibility to reflect regional market characteristics and local design preferences. Layouts are refreshed regularly as visual merchandising teams update displays to highlight new collections and enhance the client experience. Our Showroom formats extend our physical footprint and support our omni-channel model by meeting clients wherever they choose to engage with the brand.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eCommerce</w:t>
      </w:r>
    </w:p>
    <w:p>
      <w:pPr>
        <w:spacing w:after="0" w:line="147" w:lineRule="exact"/>
        <w:rPr>
          <w:sz w:val="20"/>
          <w:szCs w:val="20"/>
          <w:color w:val="auto"/>
        </w:rPr>
      </w:pPr>
    </w:p>
    <w:p>
      <w:pPr>
        <w:ind w:left="520" w:right="120"/>
        <w:spacing w:after="0" w:line="252" w:lineRule="auto"/>
        <w:rPr>
          <w:sz w:val="20"/>
          <w:szCs w:val="20"/>
          <w:color w:val="auto"/>
        </w:rPr>
      </w:pPr>
      <w:r>
        <w:rPr>
          <w:rFonts w:ascii="Times New Roman" w:cs="Times New Roman" w:eastAsia="Times New Roman" w:hAnsi="Times New Roman"/>
          <w:sz w:val="14"/>
          <w:szCs w:val="14"/>
          <w:color w:val="auto"/>
        </w:rPr>
        <w:t>Our eCommerce platform serves as a key entry point into the Arhaus ecosystem. It enables clients to research, discover, and engage with our assortment, access inspirational and educational content, and transact digitally. The website functions as a virtual extension of our Showrooms. Clients may begin, continue, or complete their shopping journey online, supported by digital tools and access to design experts. We continue to invest in our digital platform to enhance functionality, integration, and personalization across our omni-channel model.</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Print and Digital Media</w:t>
      </w:r>
    </w:p>
    <w:p>
      <w:pPr>
        <w:spacing w:after="0" w:line="147"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4"/>
          <w:szCs w:val="14"/>
          <w:color w:val="auto"/>
        </w:rPr>
        <w:t>We utilize a combination of print and digital media as core storytelling and demand-generation tools. Seasonal catalogs, typically distributed for the spring and fall, are offered in both physical and digital format and are supported by additional targeted direct mailings throughout the year. These catalogs play an important role in showcasing our products, highlighting craftsmanship and artisans, and reinforcing emotional connections to the brand. In addition to catalogs, we maintain an active digital and social media presence to support storytelling, highlight new collections, and drive traffic to both our Showrooms and eCommerce platform.</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Interior Designer Services</w:t>
      </w:r>
    </w:p>
    <w:p>
      <w:pPr>
        <w:spacing w:after="0" w:line="147" w:lineRule="exact"/>
        <w:rPr>
          <w:sz w:val="20"/>
          <w:szCs w:val="20"/>
          <w:color w:val="auto"/>
        </w:rPr>
      </w:pPr>
    </w:p>
    <w:p>
      <w:pPr>
        <w:jc w:val="both"/>
        <w:ind w:left="520" w:right="60"/>
        <w:spacing w:after="0" w:line="252" w:lineRule="auto"/>
        <w:rPr>
          <w:sz w:val="20"/>
          <w:szCs w:val="20"/>
          <w:color w:val="auto"/>
        </w:rPr>
      </w:pPr>
      <w:r>
        <w:rPr>
          <w:rFonts w:ascii="Times New Roman" w:cs="Times New Roman" w:eastAsia="Times New Roman" w:hAnsi="Times New Roman"/>
          <w:sz w:val="14"/>
          <w:szCs w:val="14"/>
          <w:color w:val="auto"/>
        </w:rPr>
        <w:t>We offer complimentary interior design services that provide personalized support across the design and purchasing process. Our interior designers work closely with clients in Showrooms, online, and within their residences to convert inspiration into full-room and whole-home projects. Clients who engage with our interior design services generate AOVs over four times higher than those of a standard order, and approximately 40% of these clients become repeat purchasers. We believe interior design services represent a scalable, underpenetrated growth opportunity that deepens engagement, increases lifetime value, and supports revenue growth.</w:t>
      </w:r>
    </w:p>
    <w:p>
      <w:pPr>
        <w:spacing w:after="0" w:line="200" w:lineRule="exact"/>
        <w:rPr>
          <w:sz w:val="20"/>
          <w:szCs w:val="20"/>
          <w:color w:val="auto"/>
        </w:rPr>
      </w:pPr>
    </w:p>
    <w:p>
      <w:pPr>
        <w:spacing w:after="0" w:line="2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right="540"/>
        <w:spacing w:after="0" w:line="284" w:lineRule="auto"/>
        <w:rPr>
          <w:sz w:val="20"/>
          <w:szCs w:val="20"/>
          <w:color w:val="auto"/>
        </w:rPr>
      </w:pPr>
      <w:r>
        <w:rPr>
          <w:rFonts w:ascii="Times New Roman" w:cs="Times New Roman" w:eastAsia="Times New Roman" w:hAnsi="Times New Roman"/>
          <w:sz w:val="14"/>
          <w:szCs w:val="14"/>
          <w:color w:val="auto"/>
        </w:rPr>
        <w:t>We welcome all clients to use our complimentary interior designer services with no appointment required. As of December 31, 2025, we had 142 interior designers in 97 Showrooms compared to 130 interior designers in 89 Showrooms as of December 31, 2024.</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Trade and Professional Services</w:t>
      </w:r>
    </w:p>
    <w:p>
      <w:pPr>
        <w:spacing w:after="0" w:line="157" w:lineRule="exact"/>
        <w:rPr>
          <w:sz w:val="20"/>
          <w:szCs w:val="20"/>
          <w:color w:val="auto"/>
        </w:rPr>
      </w:pPr>
    </w:p>
    <w:p>
      <w:pPr>
        <w:ind w:left="520" w:right="40"/>
        <w:spacing w:after="0" w:line="252" w:lineRule="auto"/>
        <w:rPr>
          <w:sz w:val="20"/>
          <w:szCs w:val="20"/>
          <w:color w:val="auto"/>
        </w:rPr>
      </w:pPr>
      <w:r>
        <w:rPr>
          <w:rFonts w:ascii="Times New Roman" w:cs="Times New Roman" w:eastAsia="Times New Roman" w:hAnsi="Times New Roman"/>
          <w:sz w:val="14"/>
          <w:szCs w:val="14"/>
          <w:color w:val="auto"/>
        </w:rPr>
        <w:t>We support interior designers and other trade professionals through a dedicated program that provides access to our premium product assortment, design resources, customization capabilities, and service offerings. With trade underpenetrated relative to the size of the addressable market, we believe this channel represents a meaningful long-term growth opportunity. These relationships typically generate planned, project-based demand, larger project scope, and increased visibility into future activity.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Scalable Infrastructure, Distribution, and Delivery</w:t>
      </w:r>
    </w:p>
    <w:p>
      <w:pPr>
        <w:spacing w:after="0" w:line="1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We manage the distribution and delivery of our products through a network of distribution centers located in Boston Heights, Ohio; Dallas, Texas; and Conover, North Carolina. These facilities support fulfillment across all our sales channels.</w:t>
      </w:r>
    </w:p>
    <w:p>
      <w:pPr>
        <w:spacing w:after="0" w:line="8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Our Boston Heights, Ohio distribution facilities comprise approximately 1,028,500 square feet, of which approximately 900,000 square feet is dedicated to distribution, with the remainder serving as our corporate headquarters.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Dallas, Texas distribution center consists of approximately 800,700 square feet. The facility was previously managed by a third-party logistics provider and was transitioned to Arhaus in 2025.</w:t>
      </w:r>
    </w:p>
    <w:p>
      <w:pPr>
        <w:spacing w:after="0" w:line="14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4"/>
          <w:szCs w:val="14"/>
          <w:color w:val="auto"/>
        </w:rPr>
        <w:t>Our Conover, North Carolina facility totals approximately 497,000 square feet, of which approximately 307,000 square feet is dedicated to distribution, with the remainder primarily supporting manufacturing.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our distribution centers, we partner with third-party service providers to manage home delivery services for our clients.</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We have made significant, multi-year investments in technology, distribution, and manufacturing to support growth and improve operational efficiency. Our view is that a debt-free balance sheet, strong liquidity, and disciplined capital allocation provides financial flexibility to invest through economic cycles while maintaining financial strength. We believe this long-term, disciplined approach supports sustainable value creation.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the “Liquidity and Capital Resources” section herein.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and Advertising</w:t>
      </w:r>
    </w:p>
    <w:p>
      <w:pPr>
        <w:spacing w:after="0" w:line="15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We use a variety of marketing and advertising approaches to generate client traffic across all of our sales channels, strengthen and reinforce brand awareness, attract new clients and encourage repeat purchases from existing clients. We believe our Showrooms and website, catalogs, mailings, digital offerings and social media engagement, among other things, act as important branding and advertising vehicles.</w:t>
      </w:r>
    </w:p>
    <w:p>
      <w:pPr>
        <w:spacing w:after="0" w:line="10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Our print and digital media strategy serves as a key driver of net revenue through both our Showrooms and website. Our clients respond to the catalogs mailings and digital offerings across all of our sales channels. We continue to evaluate and optimize our print and digital media strategy based on our experience.</w:t>
      </w:r>
    </w:p>
    <w:p>
      <w:pPr>
        <w:spacing w:after="0" w:line="93"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4"/>
          <w:szCs w:val="14"/>
          <w:color w:val="auto"/>
        </w:rPr>
        <w:t>In addition, we will continue to increase our brand awareness by expanding our Showroom footprint, increasing digital marketing, and improving website features and analytics. We believe that increased brand awareness will lead to higher net revenue in our Showrooms and eCommerce sales channels over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Our quarterly results depend upon a variety of factors, including Showroom openings, the introduction of new merchandise, changes in our product offerings, shifts in timing of various events such as holidays, Showroom closures, catalog releases, promotional events, and the realization of the costs and benefits of our numerous strategic initiatives, among other things. As a result of these factors, our working capital requirements and demands on our product distribution and delivery network may fluctuate during the year. Unique factors in any given quarter may affect comparisons between the quarters, and the results for any quarter are not necessarily indicative of the results that we may achieve for a full year.</w:t>
      </w:r>
    </w:p>
    <w:p>
      <w:pPr>
        <w:spacing w:after="0" w:line="200" w:lineRule="exact"/>
        <w:rPr>
          <w:sz w:val="20"/>
          <w:szCs w:val="20"/>
          <w:color w:val="auto"/>
        </w:rPr>
      </w:pPr>
    </w:p>
    <w:p>
      <w:pPr>
        <w:spacing w:after="0" w:line="23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5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The United States home furnishings and décor market is highly fragmented and competitive, with approximately 23,000 retail establishments as of 2024, according to the Bureau of Labor Statistics. We compete with national, regional, and local home furnishing retailers, as well as department stores, mail-order catalogs, online retailers focused on home furnishings, interior design trade and specialty Showrooms, antique dealers and other merchants that provide unique items and custom-designed product offerings.</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We believe we compete primarily on the basis of our design, quality, value, and service. Our vertically integrated model and deep network of direct sourcing relationships allow us to bring to market high quality and differentiated products at competitive price points. We believe our distinctive brand based on livable luxury, our strong direct global sourcing relationships, and our highly experiential omni-channel model allow us to differentiate ourselves from competitors.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54" w:lineRule="exact"/>
        <w:rPr>
          <w:sz w:val="20"/>
          <w:szCs w:val="20"/>
          <w:color w:val="auto"/>
        </w:rPr>
      </w:pPr>
    </w:p>
    <w:p>
      <w:pPr>
        <w:ind w:right="160"/>
        <w:spacing w:after="0" w:line="225" w:lineRule="auto"/>
        <w:rPr>
          <w:sz w:val="20"/>
          <w:szCs w:val="20"/>
          <w:color w:val="auto"/>
        </w:rPr>
      </w:pPr>
      <w:r>
        <w:rPr>
          <w:rFonts w:ascii="Times New Roman" w:cs="Times New Roman" w:eastAsia="Times New Roman" w:hAnsi="Times New Roman"/>
          <w:sz w:val="14"/>
          <w:szCs w:val="14"/>
          <w:color w:val="auto"/>
        </w:rPr>
        <w:t>Our intellectual property has significant value and we vigorously protect it against infringement. The “Arhaus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“Arhaus Furniture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“Arhaus the Loft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“Arhaus Your Home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trademarks are registered in the United States Patent and Trademark Office. The “Arhaus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trademark is also registered with the China National Intellectual Property Administration (CNIPA) and the Canadian Intellectual Property Office. Our trademark registrations are valid and subsisting and are renewable at the end of their term. In addition, we own the domain names “arhaus.com,” “arhaus.net” and “arhausfurniture.com.” These domain names are renewable.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4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As of December 31, 2025, we had approximately 2,800 employees and 30 temporary employees, including approximately 100 part-time employees. As of that date, approximately 1,200 of our employees were based in our Showrooms, 580 of our employees were based in our warehouses, distribution centers and third party logistic warehouses, 310 of our employees were based in our manufacturing facility, and 740 of our employees were based in our corporate headquarters. None of our employees are represented by a union, and we have had no labor-related work stoppages. We believe our relationship with our employees is positive.</w:t>
      </w:r>
    </w:p>
    <w:p>
      <w:pPr>
        <w:spacing w:after="0" w:line="1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We are currently managed by a group of experienced senior executives, including our Co-Founder, Chairman and CEO, John Reed, and other key team members with substantial knowledge and understanding of the Company and the industry sector in which we operate. Our success and future growth depend largely upon the continued services of our management team, as well as our qualified associates across all parts of our organization, including our Showrooms, distribution centers and manufacturing facilities, many of whom have been promoted from within Arhaus.</w:t>
      </w:r>
    </w:p>
    <w:p>
      <w:pPr>
        <w:spacing w:after="0" w:line="10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We believe that much of our success is rooted in the diversity of our teams and our commitment to a diverse and inclusive culture. We value diversity at all levels and focus on extending our diversity and inclusion initiatives across our entire workforce. We continue to foster a culture of inclusion, diversity, and equity in which everyone is respected, valued, and has an equal opportunity to contribute and thrive. Our commitment is unwavering, and we are steadfast in maintaining our focus on building a workforce that represents the many clients we serve and the communities in which we operate.</w:t>
      </w:r>
    </w:p>
    <w:p>
      <w:pPr>
        <w:spacing w:after="0" w:line="109"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4"/>
          <w:szCs w:val="14"/>
          <w:color w:val="auto"/>
        </w:rPr>
        <w:t>We are committed to equal opportunity and base workplace decisions solely on merit, qualifications, and other job-related, neutral, non-discriminatory criteria. We provide equal employment opportunity without regard to age, race, color, sex, sexual orientation, gender identity, national origin, citizenship, pregnancy, religion, disability, military status, genetic information, or other status protected by law. We are committed to providing a harassment-free work environment, and we prohibit retaliation, intimidation, threats, coercion, or discrimination against individuals who, in good faith, complain of unlawful discrimination or harassment.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and Legislation</w:t>
      </w:r>
    </w:p>
    <w:p>
      <w:pPr>
        <w:spacing w:after="0" w:line="14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We are subject to numerous regulations, including labor and employment laws, customs and trade laws, laws governing truth-in-advertising, consumer protection, privacy, safety, real estate, environmental and zoning and occupancy laws, and other laws and regulations that regulate retailers and govern the promotion and sale of merchandise and the operation of our Showrooms, manufacturing and distribution facilities in the United States and jurisdictions where we source products. We have policies intended to ensure that we conduct business in compliance with applicable laws and regulations. While we cannot predict policy changes by various regulatory agencies or unexpected operational or other developments, we believe we are in material compliance with laws applicable to our business.</w:t>
      </w:r>
    </w:p>
    <w:p>
      <w:pPr>
        <w:spacing w:after="0" w:line="200" w:lineRule="exact"/>
        <w:rPr>
          <w:sz w:val="20"/>
          <w:szCs w:val="20"/>
          <w:color w:val="auto"/>
        </w:rPr>
      </w:pPr>
    </w:p>
    <w:p>
      <w:pPr>
        <w:spacing w:after="0" w:line="2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Health, and Safety Regulation</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Our operations are subject to a variety of federal, state, local and foreign laws and regulations relating to health, safety and the protection of the environment. These environmental, health and safety laws and regulations include those relating to, among other things, the generation, storage, handling, use and transportation of hazardous materials; the emission and discharge of hazardous materials into the environment; and the health and safety of our employees. Liability for the improper release or disposal of waste can be joint and several, and there can be no assurance that we will not have to expend material amounts to remediate the consequences of the generation or disposal of waste in the future. Further, we may be responsible as a lessee operator for the costs of investigation, removal or remediation of hazardous substances located on or in or emanating from leased property, as well as any property damage. There can be no assurance that our future operations or property conditions will not result in the imposition of liability upon us under environmental laws or expose us to third-party actions.</w:t>
      </w:r>
    </w:p>
    <w:p>
      <w:pPr>
        <w:spacing w:after="0" w:line="11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We are also subject to certain reporting and labeling requirements under California’s Proposition 65, officially known as the Safe Drinking Water and Toxic Enforcement Act of 1986. Proposition 65 requires manufacturers, distributors, vendors, and retailers of a consumer product in California that contains certain listed chemicals to provide consumers with a clear and reasonable warning if exposure to that listed chemical poses a certain level of risk to the consumer. We have taken measures to comply with the requirements of Proposition 65, but there is no guarantee that we will not be subject to fines, penalties, and lawsuits and complaints in the future.</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Failure to comply with such laws and regulations, which tend to become more stringent over time, can result in significant fines, penalties, costs, and liabilities, which may be joint and several, or restrictions on operations, civil or criminal sanctions, and could expose us to costs of investigation or remediation, as well as tort claims, and could negatively affect our business, financial condition or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10 of this Annual Report for information on the Company's executive officers, which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We will make available, free of charge, on or through our website, our Annual Reports on Form 10-K, Quarterly Reports on Form 10-Q, Current Reports on Form 8-K, Proxy Statements and Forms 3, 4 and 5 filed on behalf of directors and executive officers, as well as any amendments to those reports filed or furnished pursuant to the Securities Exchange Act of 1934, as amended (the “Exchange Act”) as soon as reasonably practicable after we electronically file such material with, or furnish it to, the United States Securities and Exchange Commission (“SEC”). We maintain our website at www.arhaus.com. The information contained on our website is not part of this Annual Report.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SEC maintains a website that contains reports, proxy statements and other information regarding issuers that file electronically. The address of that website is www.sec.gov.</w:t>
      </w:r>
    </w:p>
    <w:p>
      <w:pPr>
        <w:spacing w:after="0" w:line="14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charters for our Board of Directors’ Audit Committee, Compensation Committee, and Nominating and Corporate Governance Committee, as well as our Code of Business Conduct and Ethics, our Corporate Disclosure Policy and other related materials are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You should carefully consider all of the risks described below, which are not necessarily exhaustive, together with the other information contained in this report, including the financial statements. If any of the following risks occur, our business, financial condition or results of operations may be materially and adversely affected.</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47" w:lineRule="exact"/>
        <w:rPr>
          <w:sz w:val="20"/>
          <w:szCs w:val="20"/>
          <w:color w:val="auto"/>
        </w:rPr>
      </w:pPr>
    </w:p>
    <w:p>
      <w:pPr>
        <w:ind w:left="20" w:right="620"/>
        <w:spacing w:after="0" w:line="284" w:lineRule="auto"/>
        <w:rPr>
          <w:sz w:val="20"/>
          <w:szCs w:val="20"/>
          <w:color w:val="auto"/>
        </w:rPr>
      </w:pPr>
      <w:r>
        <w:rPr>
          <w:rFonts w:ascii="Times New Roman" w:cs="Times New Roman" w:eastAsia="Times New Roman" w:hAnsi="Times New Roman"/>
          <w:sz w:val="14"/>
          <w:szCs w:val="14"/>
          <w:color w:val="auto"/>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04" w:lineRule="exact"/>
        <w:rPr>
          <w:sz w:val="20"/>
          <w:szCs w:val="20"/>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incurrence of operating losses in the future or failure to achieve or maintain profitability in the future;</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growth rate of our business in terms of revenue, earnings and margins, which may not be sustained in future periods;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purchase quality merchandise in sufficient quantities at competitive prices, including products that are produced by specialty and artisan vendors;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in our receiving and distribution system or increased costs as a result of our the continued integration of our distribution and manufacturing centers;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risks and costs associated with credit card fraud, identity theft and business interruption could result in unexpected expenses and loss of revenue;</w:t>
      </w:r>
    </w:p>
    <w:p>
      <w:pPr>
        <w:spacing w:after="0" w:line="7" w:lineRule="exact"/>
        <w:rPr>
          <w:rFonts w:ascii="Times New Roman" w:cs="Times New Roman" w:eastAsia="Times New Roman" w:hAnsi="Times New Roman"/>
          <w:sz w:val="14"/>
          <w:szCs w:val="14"/>
          <w:color w:val="auto"/>
        </w:rPr>
      </w:pPr>
    </w:p>
    <w:p>
      <w:pPr>
        <w:ind w:left="520" w:right="20" w:hanging="263"/>
        <w:spacing w:after="0" w:line="25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receiving, processing, storing, using and sharing personal data that requires us to comply with complex and evolving governmental regulations related to data privacy and data protection that could expose us to litigation or damage our reputation;</w:t>
      </w:r>
    </w:p>
    <w:p>
      <w:pPr>
        <w:ind w:left="520" w:right="320" w:hanging="263"/>
        <w:spacing w:after="0" w:line="25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 and other international risks, including tariffs and changes to trade policies and agreements, as a result of our reliance on foreign manufacturers and vendors to supply a significant portion of our merchandise;</w:t>
      </w: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health of the high-end housing market, as well as declines in consumer confidence and consumer spending;</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interruption of supply and increased costs as a result of our reliance on third-party transportation carriers for shipment of our products;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commodity prices or increased freight and transportation costs;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and effectively deliver merchandise to our clients and manage our supply chain;</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planning or implementation of technology upgrades, including new enterprise resource planning system; and</w:t>
      </w:r>
    </w:p>
    <w:p>
      <w:pPr>
        <w:spacing w:after="0" w:line="7" w:lineRule="exact"/>
        <w:rPr>
          <w:rFonts w:ascii="Times New Roman" w:cs="Times New Roman" w:eastAsia="Times New Roman" w:hAnsi="Times New Roman"/>
          <w:sz w:val="14"/>
          <w:szCs w:val="14"/>
          <w:color w:val="auto"/>
        </w:rPr>
      </w:pPr>
    </w:p>
    <w:p>
      <w:pPr>
        <w:ind w:left="520" w:right="80" w:hanging="263"/>
        <w:spacing w:after="0" w:line="262"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which has the effect of concentrating voting power with our Founder and the Founder Family Trusts, gives our Founder and the Founder Family Trusts substantial control over us, including over matters that require the approval of stockholders, and their interests may conflict with ours or those of our other stockholders.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operating losses in the future, and may not achieve or maintain profitability in the future.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may incur operating losses in the future. We expect our operating expenses to increase in the future as we continue to expand our operating and retail infrastructure, including adding new and updating existing Showrooms, increasing sales and marketing efforts, growing our eCommerce sales channel, enhancing our omni-channel model, expanding into new geographies, developing new products, investing in new technology, and in connection with legal, accounting, and other expenses related to operating as a public company. These efforts and additional expenses may be costlier than we expect, and we cannot guarantee that we will be able to increase our net revenue to offset our operating expenses. Our net revenue growth may slow or our net revenue may decline for a number of reasons, including reduced demand for our products, increased competition, a decrease in the growth or reduction in size of our overall market, or if we cannot capitalize on growth opportunities. If our net revenue does not grow at a greater rate than our operating expenses, we will not be able to maintain profitability.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fluctuations in the growth rate of our business in terms of revenue, earnings and margins may not be sustained in future time periods.</w:t>
      </w:r>
    </w:p>
    <w:p>
      <w:pPr>
        <w:spacing w:after="0" w:line="14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Historically we have experienced fluctuations in the quarterly growth rate of our business. We may continue to experience fluctuations in our quarterly growth rate and financial performance. We are currently engaged in a number of initiatives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support the growth of our business which may result in costs and delays which may negatively affect our gross margin in the short term and may amplify fluctuations in our growth rate from quarter to quarter depending on the timing and extent of the realization of the costs and benefits of such initiatives.</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Some factors affecting our business, including macroeconomic conditions and policies and changes in legislation, are not within our control. In prior periods, our results of operations have been adversely affected by weakness in the overall economic environment such as the initial periods of significant economic uncertainty and reduced economic activity as a result of the COVID-19 pandemic as well as slowdowns in the housing market. In addition, our business depends on consumer demand for our products and, consequently, is sensitive to a number of factors that influence consumer spending, including, among other things, the general state of the economy, capital and credit markets, consumer confidence, general business conditions, the availability and cost of consumer credit, the level of consumer debt, interest rates, level of taxes affecting consumers, housing prices, new construction and other activity in the housing sector and the state of the mortgage industry and other aspects of consumer credit tied to housing, including the availability and pricing of mortgage refinancing and home equity lines of credit. In particular, our business performance is linked to the overall strength of luxury consumer spending in markets in which we operate. Economic conditions affecting selected markets in which we operate are expected to have an impact on the strength of our business in those local markets, including with respect to volatility in consumer demand and sentiment. Our business trends are frequently correlated closely with conditions in financial markets including the stock market. The global economic environment remains subject to uncertainty, including the effects of inflation, interest rate changes, and evolving macroeconomic and policy conditions. In the event that equity and credit markets experience volatility and disruption, consumer demand for our product and our results of operations may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our rates of revenue growth have fluctuated from quarter to quarter over the last three years and we expect volatility in the rates of our growth to continue in future quarterly periods.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Unique factors in any given quarter may affect period-to-period comparisons in our revenue growth, including:</w:t>
      </w:r>
    </w:p>
    <w:p>
      <w:pPr>
        <w:spacing w:after="0" w:line="130" w:lineRule="exact"/>
        <w:rPr>
          <w:sz w:val="20"/>
          <w:szCs w:val="20"/>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economic and general retail sales environment, including changes in consumer discretionary spending, confidence, and broader macroeconomic conditions;</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our products and the impact of delays or disruption in our supply chain;</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preferences and demand;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size and location of the Showrooms we open, close, remodel or expand in any period;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source and distribute products;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product offerings and the introduction, and timing thereof, of new products and new product categories;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promotional events by us or our competitors;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introducing similar products or merchandise formats;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of our spring and fall catalogs each year;</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various holidays, including holidays with potentially heavy retail impact;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marketing programs.</w:t>
      </w:r>
    </w:p>
    <w:p>
      <w:pPr>
        <w:spacing w:after="0" w:line="14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Due to these factors, our results for any quarter are not necessarily indicative of the results that we may achieve for a full year. Our results of operations may also vary relative to corresponding periods in prior years. We may take certain pricing, merchandising or marketing actions that could have a disproportionate effect on our business, financial condition and results of operations in a particular quarter or selling season, and as a result we believe that period-to-period comparisons of our results of operations are not necessarily meaningful and cannot be relied upon as indicators of future performance.</w:t>
      </w:r>
    </w:p>
    <w:p>
      <w:pPr>
        <w:spacing w:after="0" w:line="10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depend on our ability to purchase quality merchandise in sufficient quantities at competitive prices, including products that are produced by specialty and artisan vendors. Any disruptions we experience in our ability to obtain quality products in a timely fashion or in the quantities required could have a material adverse effect on our reputation, business, results of operations and financial performance.</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business model includes offering exclusively designed, high-quality products, and we purchase the vast majority of our merchandise from a number of third-party vendors. Although we do not rely on one or a small group of vendors for a majority of our products, and we have longstanding relationships with many of our vendors, some vendors are the sole sources for particular products, and we may be dependent on particular vendors that produce popular items, and may not be able to easily find another source if a vendor discontinued selling to us. For example, we purchased upholstery products representing approximately 10% of our total net revenue in 2025 from McCreary Modern, Inc. If any of our vendors, including our significant or sole-source vendors, were unable or unwilling to continue to sell us product, we may be unable to replace quickly or effectively the products sold to us by such vendor, or do so on similar or favorable terms, which could have an adverse impact on our business.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Some of our products are produced by artisans, specialty vendors and other vendors that are small and may be undercapitalized, unable to scale production or have limited production capacity, and we have from time to time in prior periods experienced supply constraints that have affected our ability to supply high demand items or new products due to such capacity and other limits, including production and shipping delays in our vendor base. In addition, the expansion of our business into new markets or new product introductions could put pressure on our ability to source sufficient quantities of our products from such vendors. In the event that one or more of our vendors is unable or unwilling to meet the quantity or quality of our product requirements, we may not be able to develop relationships with new vendors in a manner that is sufficient to supply the shortfall. Even if we do identify such new vendors, we may experience product shortages, client backorders and delays as we transition our product requirements to incorporate alternative vendors. Our relationship with any new vendor would be subject to the same or similar risks as those of our existing vendors.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A number of our vendors, particularly our artisan vendors, may have limited financial or other resources and operating histories and may receive various forms of credit from us, including with respect to payment terms or other arrangements. We may advance a portion of the payments to be made to some vendors under our purchase orders prior to the delivery of the ordered products. These advance payments are normally unsecured. Vendors may become insolvent and their failure to repay our advances, and any failure to deliver products to us, could have a material adverse impact on our results of operations. There can be no assurance that the capacity of any particular vendor will continue to be able to meet our supply requirements in the future, as our vendors may be susceptible to production difficulties or other factors that negatively affect the quantity or quality of their production during future periods. A disruption in the ability of our significant vendors to access liquidity could also cause serious disruptions or an overall deterioration of their businesses, which could lead to a significant reduction in their ability to manufacture or ship products to us. Any difficulties that we experience in our ability to obtain products in sufficient quality and quantity from our vendors could have a material adverse effect on our business.</w:t>
      </w:r>
    </w:p>
    <w:p>
      <w:pPr>
        <w:spacing w:after="0" w:line="11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Disruption in our receiving and distribution system or increased costs as a result of the continued integration of our recently opened distribution and manufacturing centers could adversely affect our business.</w:t>
      </w:r>
    </w:p>
    <w:p>
      <w:pPr>
        <w:spacing w:after="0" w:line="91"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4"/>
          <w:szCs w:val="14"/>
          <w:color w:val="auto"/>
        </w:rPr>
        <w:t>We opened our second distribution center in Conover, NC during the fourth quarter of 2021 and our third distribution center in Dallas, Texas during 2022. We may not accurately anticipate all of the changing demands that our expanding operations will impose on our receiving and distribution system. We also may not realize all of the expected benefits of increased efficiency and capacity from the opening of these additional distribution centers, and we may experience increased costs in connection with our new distribution centers that we have not previously considered.</w:t>
      </w:r>
    </w:p>
    <w:p>
      <w:pPr>
        <w:spacing w:after="0" w:line="114"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4"/>
          <w:szCs w:val="14"/>
          <w:color w:val="auto"/>
        </w:rPr>
        <w:t>Any disruptions in our receiving and distribution system or increased costs as a result of our new distribution centers could have a material adverse effect on our reputation,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import and other international risks as a result of our reliance on foreign manufacturers and vendors to supply a significant portion of our merchandise.</w:t>
      </w:r>
    </w:p>
    <w:p>
      <w:pPr>
        <w:spacing w:after="0" w:line="21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rely on foreign manufacturers and vendors to supply a significant portion of our merchandise. Our significant international supply chain increases the risk that we will not have adequate and timely supplies of various products due to local political, economic, social or environmental conditions, political instability, international conflicts, acts of terrorism, natural disasters, epidemics (including the COVID-19 pandemic), transportation delays, dock strikes, inefficient freight requirements, restrictive actions by foreign governments, changes in foreign laws, trade policy and regulations affecting exports, or changes in United States laws, trade policy and regulations affecting imports or domestic distribution.</w:t>
      </w:r>
    </w:p>
    <w:p>
      <w:pPr>
        <w:spacing w:after="0" w:line="18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All of our products imported into the United States are subject to import taxes or costs, including new or increased tariffs, or similar duties, some of which could be applied retroactively, and modification to or withdrawal from free trade agreements or trade relationships, could increase the cost of the products that we distribute. For example, the U.S. has recently announced its intention to change U.S. trade policy, including potentially renegotiating or terminating existing trade agreements and leveraging tariffs. Since the beginning of 2025, the U.S. has announced several different measures regarding tariffs. As the implementation of tariffs is ongoing, more tariffs may be added in the future. As of the date of this Annual Report, discussions remain ongoing with respect to tariffs on imports from various countries, including China, Canada and Mexico. The current tariff environment is dynamic and uncertain. These tariffs, as well as a government’s adoption of “buy national” policies or retaliation by another government against such tariffs or policies could introduce significant uncertainty into the market and may affect the prices of and supply of the products available to us. Tariffs also can impact our or our vendors’ ability to source product efficiently or create other supply chain disruptions. We may not be able to fully or substantially mitigate the impact of these or future tariffs, pass price increases on to our clients or secure adequate alternative sources of products, which would have a material adverse effect on our business,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We also face uncertainty in the interpretation of new tariffs and their applicability, including with respect to customs valuation, product classification and country-of-origin determinations. Although we and our vendors seek to comply with applicable customs laws and regulations, the application of rules regarding new tariffs can be subject to varying interpretations or future re-interpretations. It is possible that U.S. Customs and Border Protection or other relevant authorities could, upon review or audit, disagree with the valuation, rules of origin or classification methods applied to certain merchandise. Any such disagreement could result in the retroactive assessment of additional duties with interest, the imposition of penalties, or other enforcement actions without the ability to mitigate such penalties, thereby adversely affecting our operations or financial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health of the high-end housing market, as well as declines in consumer confidence and consumer spending, could adversely impact our revenue and results of operations.</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business depends on client demand for our products and, consequently, is sensitive to a number of factors that influence consumers spending, including general economic conditions, client disposable income, fuel prices, recession and fears of recession, unemployment, war and fears of war, outbreaks of disease (such as the COVID-19 pandemic), adverse weather, availability of client credit, client debt levels, conditions in the housing market, interest rates, sales tax rates and rate increases, inflation, consumers’ confidence in future economic and political conditions, and client perceptions of personal well-being and security. In particular, past economic downturns have led to decreased discretionary spending, which adversely impacted our business. Consumer confidence and consumer spending may deteriorate significantly and could remain depressed for an extended period of time. Consumer demand for and purchases of discretionary items, including our merchandise, generally decline during periods when disposable income is limited, unemployment rates increase or there is economic uncertainty. An uncertain economic environment could also cause our vendors to go out of business or our banks to discontinue lending to us or our vendors, or it could cause us to undergo restructurings, any of which could adversely impact our business and operating results.</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Moreover, as we target consumers of high-end home furnishings for our products, our sales are particularly affected by the financial health of higher-end consumers and demand levels from that consumer demographic. In addition, not all macroeconomic factors are highly correlated in their impact on lower-end housing versus higher-end housing consumers. Demand for lower priced homes and first time home buying may be influenced by factors such as employment levels, interest rates, demographics of new household formation and the affordability of homes for the first time home buyer. The higher-end of the housing market may be disproportionately influenced by other factors including the number of foreign buyers in higher-end real estate markets in the United States, the number of second and third homes being sold, stock market volatility and illiquid market conditions, global economic uncertainty, decreased availability of income tax deductions for mortgage interest and state income and property taxes, and the perceived prospect for capital appreciation in higher-end real estate. Increases in interest rates may dampen growth in the United States housing market and may depress consumer optimism about the United States housing market and home buying in the higher-end of the housing market. We believe that our client purchasing patterns are influenced by economic factors including the health and volatility of the stock market. Further, historically the stock market has experienced significant volatility as well as periods of significant decline. We have seen that previous declines in the stock market and periods of high volatility have been correlated with a reduction in client demand for our products.</w:t>
      </w:r>
    </w:p>
    <w:p>
      <w:pPr>
        <w:spacing w:after="0" w:line="11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There can be no assurance that some of the other macroeconomic factors described above will not adversely affect the higher-end client that we believe makes up the bulk of our client demand. We believe that a number of these factors have in the past had, and may in the future have, an adverse impact on the high-end retail home furnishings sector and affect our business and results. These factors may make it difficult for us to accurately predict our operating and financial results for future periods and some of these factors could contribute to a material adverse effect on our business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associated with the interruption of supply and increased costs as a result of our reliance on third-party transportation carriers for shipment of our products.</w:t>
      </w:r>
    </w:p>
    <w:p>
      <w:pPr>
        <w:spacing w:after="0" w:line="15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rely upon, and have contracts with, third-party carriers to transport products from our vendors and to our distribution centers, third-party warehouses, and Showrooms for delivery to our clients. As a result of our dependence on third-party providers, we are subject to risks, including labor disputes, union organizing activity, adverse weather, natural disasters, climate change, the closure of our carriers’ offices or a reduction in operational hours due to an economic slowdown or the inability to sufficiently ramp up operational hours during an economic recovery or upturn, availability of adequate trucking or railway providers, possible acts of terrorism, international conflicts, outbreaks of disease (such as the COVID-19 pandemic) or other factors affecting such carriers’ ability to provide delivery services and meet our shipping needs, disruptions or increased fuel costs and costs associated with any regulations to address climate change. For example, due to the outbreak of the COVID-19 pandemic, our third-party providers experienced transportation disruptions and restrictions, labor shortages, vessel schedule changes, congestion and delays at ports, and a shortage of shipping containers needed to ship our products, which adversely impacted our inventory levels and resulted in a high number of client backorders. Recently, we have also experienced delays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related to disruptions in international shipping channels. Failure to deliver merchandise in a timely and effective manner could cause clients to cancel their orders and could damage our brand and reputation, which could have a material adverse effect on our business, financial condition, operating results and prospects. Our reputation for providing a high level of client service is dependent on such third-party transportation providers delivering our product shipments in a timely manner. Further, in the event of delays by a third-party carrier, we may have to transition to a different third-party carrier, and such transition can take months to effectuate. In addition, fuel costs have been volatile, and transportation companies continue to struggle to operate profitably, which could lead to increased fulfillment expenses. Any rise in fulfillment expenses could negatively affect our business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commodity prices or increased freight and transportation costs could adversely affect our results of operations.</w:t>
      </w:r>
    </w:p>
    <w:p>
      <w:pPr>
        <w:spacing w:after="0" w:line="1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Our operating results are significantly affected by changes in product costs due to commodity cost increases or inflation, including with respect to freight and transportation costs. Prices of certain commodities used in our merchandise, such as petroleum, resin, copper, steel, cotton and lumber, are subject to fluctuation arising from changes in currency exchange rates, tariffs and trade restrictions and labor, fuel, freight and other transportation costs. In recent years, we have faced significant inflationary pressure on freight costs, which were heightened by tariff-related shipment surges and port congestion.</w:t>
      </w:r>
    </w:p>
    <w:p>
      <w:pPr>
        <w:spacing w:after="0" w:line="109"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4"/>
          <w:szCs w:val="14"/>
          <w:color w:val="auto"/>
        </w:rPr>
        <w:t>Due to the uncertainty of commodity price fluctuations and inflation, we may not be able to pass some or all of these increased costs on to our clients, which may result in lower margins. Even if we are able to pass these increased costs on to our clients, we may not be able to do so on a timely basis. Accordingly, any rapid and significant changes in commodity prices or other supply chain costs may have a material adverse effect on our gross margins, operating results and financial performance.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operating results may be harmed if we are unable to timely and effectively deliver merchandise to our clients and manage our supply chain.</w:t>
      </w:r>
    </w:p>
    <w:p>
      <w:pPr>
        <w:spacing w:after="0" w:line="1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If we are unable to effectively manage our inventory levels and the responsiveness of our supply chain, including predicting the appropriate levels and type of inventory to stock within our distribution centers, our business and operating results may be harmed. For example, in recent years we experienced elevated levels of demand for many of our products, and as a result, encountered delays in fulfilling this demand and replenishing to appropriate inventory levels. Furthermore, demand for our products is influenced by certain factors, like the popularity of certain Showroom aesthetics, cultural and demographic trends, marketing and advertising expenditures, and general economic conditions, all of which can change rapidly and result in a quick shift in consumer demand. As a result, consumer preferences cannot be predicted with certainty and may change between selling seasons. We must be able to stay current with preferences and trends in our brands and address the consumer tastes for each of our target consumer demographics. We may not always be able to respond quickly and effectively to changes in consumer taste and demand due to the amount of time and financial resources that may be required to bring new products to market or to constraints in our supply chain if our vendors do not have the capacity to handle elevated levels of demand for part or all of our orders or could experience delays in production for our products. If we misjudge either the market for our merchandise or our clients’ purchasing habits or we experience continued or lengthy delays in fulfilling client demand, our clients could shop with our competitors instead of us, which could harm our business. Additionally, much of our merchandise requires that we provide vendors with significant ordering lead times and we may not be able to source sufficient inventory if demand for a product is greater than anticipated. Alternatively, we may be required to mark down certain products to sell any excess inventory or to sell such inventory through our Lofts or other liquidation channels at prices that are significantly lower than our retail prices, any of which would negatively impact our business and operating results. The inability to respond quickly to market changes could have an impact on our expected growth potential and the growth potential of the market.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continued success is substantially dependent on our positive brand identity.</w:t>
      </w:r>
    </w:p>
    <w:p>
      <w:pPr>
        <w:spacing w:after="0" w:line="157"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color w:val="auto"/>
        </w:rPr>
        <w:t>The success of our operations is dependent, in part, on our ability to preserve, grow and utilize the value of our reputation as a top-quality brand in home furnishings. Reputational value is based in large part on perceptions of subjective qualities, and even isolated incidents may erode our clients’ trust and confidence in our brand and products. Damage to our reputation could arise from product failures, data privacy or security incidents, litigation or various forms of adverse publicity, especially in social media outlets, and may generate negative client sentiment, and could have an adverse impact on our business and results of operations.</w:t>
      </w:r>
    </w:p>
    <w:p>
      <w:pPr>
        <w:spacing w:after="0" w:line="1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continue to invest in the development of our brand and the marketing of our business. Our increased focus on elevating Arhaus as a luxury brand further increases the importance of our brand image, position and reputation. We believe that maintaining and enhancing our brand is integral to the future of our business and to the implementation of our strategies for expanding our business. This will require us to continue to make investments in areas such as marketing and advertising, as well as the day-to-day investments required for the operations of our Showrooms, website operations and employee training.</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Our brand image may be diminished if new products, services or other businesses fail to maintain or enhance our distinctive brand image, which could have a material adverse impact on our business and results of operations.</w:t>
      </w:r>
    </w:p>
    <w:p>
      <w:pPr>
        <w:spacing w:after="0" w:line="10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Additionally, our reputation could be jeopardized if we fail to maintain high standards for merchandise and service quality. With the growth in importance and the impact of social media, any negative publicity from product defects, recalls or failures in service may be magnified and reach a large portion of our client base in a very short period of time, which could harm the value of our brand and, consequently, our financial performance could suffer. We may also suffer reputational harm if we fail to maintain high ethical, social and environmental standards for all of our operations and activities, if we fail to comply with local laws and regulations or if we experience other negative events that affect our image or reputation. Any failure to maintain a strong brand image could have a material adverse effect on our sales, results of operations, financial performance and prospects.</w:t>
      </w:r>
    </w:p>
    <w:p>
      <w:pPr>
        <w:spacing w:after="0" w:line="11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have identified material weaknesses in our internal control over financial reporting. If our remediation of these material weaknesses is not effective, or if we identify additional material weaknesses in the future or otherwise fail to maintain effective internal control over financial reporting in the future, we may not be able to report accurately or timely our financial condition or results of operations, which may adversely affect investor confidence in us, and as a result, the value of our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the SEC’s internal control over financial reporting (“ICFR”) and auditor attestation requirements.</w:t>
      </w:r>
    </w:p>
    <w:p>
      <w:pPr>
        <w:spacing w:after="0" w:line="15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4"/>
          <w:szCs w:val="14"/>
          <w:color w:val="auto"/>
        </w:rPr>
        <w:t>During the course of preparing for our IPO, we identified material weaknesses in our ICFR as described below and these material weaknesses remained outstanding as of December 31, 2025. A material weakness is a deficiency, or a combination of deficiencies, in ICFR, such that there is a reasonable possibility that a material misstatement of a company’s annual or interim financial statements will not be prevented or detected on a timely basis.</w:t>
      </w:r>
    </w:p>
    <w:p>
      <w:pPr>
        <w:spacing w:after="0" w:line="104" w:lineRule="exact"/>
        <w:rPr>
          <w:sz w:val="20"/>
          <w:szCs w:val="20"/>
          <w:color w:val="auto"/>
        </w:rPr>
      </w:pPr>
    </w:p>
    <w:p>
      <w:pPr>
        <w:ind w:left="520" w:right="100" w:hanging="263"/>
        <w:spacing w:after="0" w:line="25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due to a lack of an appropriate level of experience and training related to internal control over financial reporting. Additionally, the lack of experience and training resulted in an inability to consistently establish appropriate authorities and responsibilities in pursuit of our financial reporting objectives, as demonstrated by, amongst other things, insufficient segregation of duties across our significant business processes. This material weakness contributed to the following additional material weakness.</w:t>
      </w:r>
    </w:p>
    <w:p>
      <w:pPr>
        <w:spacing w:after="0" w:line="2" w:lineRule="exact"/>
        <w:rPr>
          <w:rFonts w:ascii="Times New Roman" w:cs="Times New Roman" w:eastAsia="Times New Roman" w:hAnsi="Times New Roman"/>
          <w:sz w:val="14"/>
          <w:szCs w:val="14"/>
          <w:color w:val="auto"/>
        </w:rPr>
      </w:pPr>
    </w:p>
    <w:p>
      <w:pPr>
        <w:ind w:left="520" w:right="20" w:hanging="263"/>
        <w:spacing w:after="0" w:line="25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w:t>
      </w:r>
    </w:p>
    <w:p>
      <w:pPr>
        <w:spacing w:after="0" w:line="1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111" w:lineRule="exact"/>
        <w:rPr>
          <w:sz w:val="20"/>
          <w:szCs w:val="20"/>
          <w:color w:val="auto"/>
        </w:rPr>
      </w:pPr>
    </w:p>
    <w:p>
      <w:pPr>
        <w:ind w:left="520" w:right="80" w:hanging="263"/>
        <w:spacing w:after="0" w:line="262"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right="20"/>
        <w:spacing w:after="0" w:line="284" w:lineRule="auto"/>
        <w:rPr>
          <w:sz w:val="20"/>
          <w:szCs w:val="20"/>
          <w:color w:val="auto"/>
        </w:rPr>
      </w:pPr>
      <w:r>
        <w:rPr>
          <w:rFonts w:ascii="Times New Roman" w:cs="Times New Roman" w:eastAsia="Times New Roman" w:hAnsi="Times New Roman"/>
          <w:sz w:val="14"/>
          <w:szCs w:val="14"/>
          <w:color w:val="auto"/>
        </w:rPr>
        <w:t>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Activities</w:t>
      </w:r>
    </w:p>
    <w:p>
      <w:pPr>
        <w:spacing w:after="0" w:line="19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As of December 31, 2025, the previously disclosed material weakness related to not designing and maintaining effective controls to address the identification of and accounting for certain non-routine or complex transactions, including the proper application of U.S. GAAP of such transactions was remediated through the following:</w:t>
      </w:r>
    </w:p>
    <w:p>
      <w:pPr>
        <w:spacing w:after="0" w:line="178" w:lineRule="exact"/>
        <w:rPr>
          <w:sz w:val="20"/>
          <w:szCs w:val="20"/>
          <w:color w:val="auto"/>
        </w:rPr>
      </w:pPr>
    </w:p>
    <w:p>
      <w:pPr>
        <w:ind w:left="520" w:right="340" w:hanging="263"/>
        <w:spacing w:after="0" w:line="236" w:lineRule="auto"/>
        <w:tabs>
          <w:tab w:leader="none" w:pos="516" w:val="left"/>
        </w:tabs>
        <w:numPr>
          <w:ilvl w:val="0"/>
          <w:numId w:val="9"/>
        </w:numPr>
        <w:rPr>
          <w:rFonts w:ascii="Arial" w:cs="Arial" w:eastAsia="Arial" w:hAnsi="Arial"/>
          <w:sz w:val="17"/>
          <w:szCs w:val="17"/>
          <w:color w:val="auto"/>
        </w:rPr>
      </w:pPr>
      <w:r>
        <w:rPr>
          <w:rFonts w:ascii="Times New Roman" w:cs="Times New Roman" w:eastAsia="Times New Roman" w:hAnsi="Times New Roman"/>
          <w:sz w:val="14"/>
          <w:szCs w:val="14"/>
          <w:color w:val="auto"/>
        </w:rPr>
        <w:t>Hired and retained personnel with the knowledge and experience to identify and account for non-routine or complex transactions, including the proper application of U.S. GAAP to such transactions.</w:t>
      </w:r>
    </w:p>
    <w:p>
      <w:pPr>
        <w:spacing w:after="0" w:line="1" w:lineRule="exact"/>
        <w:rPr>
          <w:rFonts w:ascii="Arial" w:cs="Arial" w:eastAsia="Arial" w:hAnsi="Arial"/>
          <w:sz w:val="17"/>
          <w:szCs w:val="17"/>
          <w:color w:val="auto"/>
        </w:rPr>
      </w:pPr>
    </w:p>
    <w:p>
      <w:pPr>
        <w:ind w:left="500" w:hanging="243"/>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company policies related to review of significant contracts prior to execution for critical accounting terms.</w:t>
      </w:r>
    </w:p>
    <w:p>
      <w:pPr>
        <w:spacing w:after="0" w:line="1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Enhanced controls over non-routine or complex transactions to ensure a complete and accurate population of transactions to validate proper application of U.S. GAAP for such transactions.</w:t>
      </w:r>
    </w:p>
    <w:p>
      <w:pPr>
        <w:spacing w:after="0" w:line="1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With the oversight of senior management and our Audit Committee, we continue to assess, implement and redesign our ICFR. Although the material weaknesses existing as of December 31, 2025 cannot be considered remediated until the related controls have operated effectively for a sufficient period of time and have been tested, we have made meaningful progress and continue to execute our remediation plan, including:</w:t>
      </w:r>
    </w:p>
    <w:p>
      <w:pPr>
        <w:spacing w:after="0" w:line="114" w:lineRule="exact"/>
        <w:rPr>
          <w:sz w:val="20"/>
          <w:szCs w:val="20"/>
          <w:color w:val="auto"/>
        </w:rPr>
      </w:pPr>
    </w:p>
    <w:p>
      <w:pPr>
        <w:ind w:left="520" w:right="100" w:hanging="263"/>
        <w:spacing w:after="0" w:line="25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a cross functional taskforce of senior leaders with expertise in designing and implementing internal controls to oversee remediation activities. The taskforce is responsible for the oversight of our remediation plan including development of actions plans for individual control deficiencies.</w:t>
      </w:r>
    </w:p>
    <w:p>
      <w:pPr>
        <w:ind w:left="520" w:right="120" w:hanging="263"/>
        <w:spacing w:after="0" w:line="235"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regular meetings between senior management and members of the Audit Committee to discuss and report on remediation progress and objectives. Additionally, progress updates are regularly provided to the Board of Directors.</w:t>
      </w:r>
    </w:p>
    <w:p>
      <w:pPr>
        <w:ind w:left="520" w:right="140" w:hanging="263"/>
        <w:spacing w:after="0" w:line="22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Outsourced our internal audit department to a third-party service firm and transitioned our former internal audit department to our business process improvement function, which is assisting with control design, implementation, and remediation execution.</w:t>
      </w:r>
    </w:p>
    <w:p>
      <w:pPr>
        <w:spacing w:after="0" w:line="1" w:lineRule="exact"/>
        <w:rPr>
          <w:rFonts w:ascii="Times New Roman" w:cs="Times New Roman" w:eastAsia="Times New Roman" w:hAnsi="Times New Roman"/>
          <w:sz w:val="14"/>
          <w:szCs w:val="14"/>
          <w:color w:val="auto"/>
        </w:rPr>
      </w:pPr>
    </w:p>
    <w:p>
      <w:pPr>
        <w:ind w:left="520" w:hanging="263"/>
        <w:spacing w:after="0"/>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and enhanced the accounting organization by assessing personnel competency and capacity, hired additional qualified technical accounting, financial reporting, and lease accounting experts (including senior level leaders), and strengthened training, oversight, and the internal review processes to ensure the team possesses the appropriate knowledge and experience to design, execute, and oversee ICFR related activities.</w:t>
      </w:r>
    </w:p>
    <w:p>
      <w:pPr>
        <w:ind w:left="520" w:right="440" w:hanging="263"/>
        <w:spacing w:after="0" w:line="25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and continue to evaluate the IT function to ensure that it is adequately staffed with personnel possessing the necessary ICFR related knowledge and competencies. Significant personnel additions have been made within our IT department and across the organization, including executive and senior level hires.</w:t>
      </w:r>
    </w:p>
    <w:p>
      <w:pPr>
        <w:ind w:left="500" w:hanging="243"/>
        <w:spacing w:after="0" w:line="237" w:lineRule="auto"/>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and continue to hire additional personnel to enhance the segregation of duties in the IT department, particularly between IT development and IT operations.</w:t>
      </w:r>
    </w:p>
    <w:p>
      <w:pPr>
        <w:ind w:left="520" w:right="60" w:hanging="263"/>
        <w:spacing w:after="0" w:line="242"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multi-year company-wide initiative has begun to modernize the Company’s IT infrastructure to be capable of streamlining many of our manual financial reporting processes, enhancing our information technology control environment and mitigating the underlying internal control gaps and limitations that cannot be remediated within current systems.</w:t>
      </w:r>
    </w:p>
    <w:p>
      <w:pPr>
        <w:ind w:left="500" w:hanging="243"/>
        <w:spacing w:after="0" w:line="234" w:lineRule="auto"/>
        <w:tabs>
          <w:tab w:leader="none" w:pos="500" w:val="left"/>
        </w:tabs>
        <w:numPr>
          <w:ilvl w:val="0"/>
          <w:numId w:val="10"/>
        </w:numPr>
        <w:rPr>
          <w:rFonts w:ascii="Arial" w:cs="Arial" w:eastAsia="Arial" w:hAnsi="Arial"/>
          <w:sz w:val="15"/>
          <w:szCs w:val="15"/>
          <w:color w:val="auto"/>
        </w:rPr>
      </w:pPr>
      <w:r>
        <w:rPr>
          <w:rFonts w:ascii="Times New Roman" w:cs="Times New Roman" w:eastAsia="Times New Roman" w:hAnsi="Times New Roman"/>
          <w:sz w:val="14"/>
          <w:szCs w:val="14"/>
          <w:color w:val="auto"/>
        </w:rPr>
        <w:t>Conducting and continuing to conduct trainings for control owners and performers on key ICFR topics including, but not limited to:</w:t>
      </w:r>
    </w:p>
    <w:p>
      <w:pPr>
        <w:spacing w:after="0" w:line="1" w:lineRule="exact"/>
        <w:rPr>
          <w:rFonts w:ascii="Arial" w:cs="Arial" w:eastAsia="Arial" w:hAnsi="Arial"/>
          <w:sz w:val="15"/>
          <w:szCs w:val="15"/>
          <w:color w:val="auto"/>
        </w:rPr>
      </w:pP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user access review completion;</w:t>
      </w:r>
    </w:p>
    <w:p>
      <w:pPr>
        <w:ind w:left="760"/>
        <w:spacing w:after="0" w:line="220"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review and conclusions around Systems and Organization Control I (“SOC1”) reports;</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software used in accounting;</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validation of the system generated data used in the execution of a control;</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account reconciliation formats and required support;</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journal entry review and support; and</w:t>
      </w:r>
    </w:p>
    <w:p>
      <w:pPr>
        <w:ind w:left="760"/>
        <w:spacing w:after="0"/>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maintaining evidence of control support.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left="520" w:right="100" w:hanging="263"/>
        <w:spacing w:after="0" w:line="231" w:lineRule="auto"/>
        <w:tabs>
          <w:tab w:leader="none" w:pos="511" w:val="left"/>
        </w:tabs>
        <w:numPr>
          <w:ilvl w:val="0"/>
          <w:numId w:val="11"/>
        </w:numPr>
        <w:rPr>
          <w:rFonts w:ascii="Arial" w:cs="Arial" w:eastAsia="Arial" w:hAnsi="Arial"/>
          <w:sz w:val="15"/>
          <w:szCs w:val="15"/>
          <w:color w:val="auto"/>
        </w:rPr>
      </w:pPr>
      <w:r>
        <w:rPr>
          <w:rFonts w:ascii="Times New Roman" w:cs="Times New Roman" w:eastAsia="Times New Roman" w:hAnsi="Times New Roman"/>
          <w:sz w:val="14"/>
          <w:szCs w:val="14"/>
          <w:color w:val="auto"/>
        </w:rPr>
        <w:t>Enhanced communications to employees regarding our internal control environment and related expectations. We continue to take steps to ensure personnel both existing and newly hired are adequately trained with the appropriate level of knowledge and understanding of ICFR and its importance.</w:t>
      </w:r>
    </w:p>
    <w:p>
      <w:pPr>
        <w:ind w:left="520" w:right="140" w:hanging="263"/>
        <w:spacing w:after="0" w:line="23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Updated our policies and procedures to establish and maintain effective segregation of duties for our accounting staff in relation to journal entries, reconciliations and other applicable processes. To supplement existing procedures, management implemented an account reconciliation software tool which increased the reliability around the monthly financial statement close procedures through utilization of period-end closing task checklists and standardized reconciliation processes.</w:t>
      </w:r>
    </w:p>
    <w:p>
      <w:pPr>
        <w:spacing w:after="0" w:line="1" w:lineRule="exact"/>
        <w:rPr>
          <w:rFonts w:ascii="Times New Roman" w:cs="Times New Roman" w:eastAsia="Times New Roman" w:hAnsi="Times New Roman"/>
          <w:sz w:val="14"/>
          <w:szCs w:val="14"/>
          <w:color w:val="auto"/>
        </w:rPr>
      </w:pPr>
    </w:p>
    <w:p>
      <w:pPr>
        <w:ind w:left="500" w:hanging="243"/>
        <w:spacing w:after="0" w:line="235" w:lineRule="auto"/>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formal processes, policies and procedures to support our financial close process, including but not limited to:</w:t>
      </w:r>
    </w:p>
    <w:p>
      <w:pPr>
        <w:ind w:left="1020" w:hanging="257"/>
        <w:spacing w:after="0" w:line="235"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formalized procedures over the review of our financial statements;</w:t>
      </w:r>
    </w:p>
    <w:p>
      <w:pPr>
        <w:ind w:left="1020" w:hanging="257"/>
        <w:spacing w:after="0" w:line="235"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period-end closing task checklists; and</w:t>
      </w:r>
    </w:p>
    <w:p>
      <w:pPr>
        <w:ind w:left="1020" w:hanging="257"/>
        <w:spacing w:after="0" w:line="235" w:lineRule="auto"/>
        <w:tabs>
          <w:tab w:leader="none" w:pos="10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standardized reconciliation process.</w:t>
      </w:r>
    </w:p>
    <w:p>
      <w:pPr>
        <w:ind w:left="520" w:right="340" w:hanging="263"/>
        <w:spacing w:after="0" w:line="23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will continue to evaluate and refine its financial statement close process to enhance processes around the preparation and review of journal entries, including assessing the reliability of reports and spreadsheets used in controls. Enhanced the design of the control activities over the review of our consolidated balance sheet and statement of cash flows to help ensure that the classification of operating and investing activities is appropriately presented in the statement of cash flows.</w:t>
      </w:r>
    </w:p>
    <w:p>
      <w:pPr>
        <w:spacing w:after="0" w:line="1" w:lineRule="exact"/>
        <w:rPr>
          <w:rFonts w:ascii="Times New Roman" w:cs="Times New Roman" w:eastAsia="Times New Roman" w:hAnsi="Times New Roman"/>
          <w:sz w:val="14"/>
          <w:szCs w:val="14"/>
          <w:color w:val="auto"/>
        </w:rPr>
      </w:pPr>
    </w:p>
    <w:p>
      <w:pPr>
        <w:ind w:left="500" w:hanging="243"/>
        <w:spacing w:after="0" w:line="199" w:lineRule="auto"/>
        <w:tabs>
          <w:tab w:leader="none" w:pos="500" w:val="left"/>
        </w:tabs>
        <w:numPr>
          <w:ilvl w:val="0"/>
          <w:numId w:val="11"/>
        </w:numPr>
        <w:rPr>
          <w:rFonts w:ascii="Arial" w:cs="Arial" w:eastAsia="Arial" w:hAnsi="Arial"/>
          <w:sz w:val="15"/>
          <w:szCs w:val="15"/>
          <w:color w:val="auto"/>
        </w:rPr>
      </w:pPr>
      <w:r>
        <w:rPr>
          <w:rFonts w:ascii="Times New Roman" w:cs="Times New Roman" w:eastAsia="Times New Roman" w:hAnsi="Times New Roman"/>
          <w:sz w:val="14"/>
          <w:szCs w:val="14"/>
          <w:color w:val="auto"/>
        </w:rPr>
        <w:t>Designed and implemented policies and procedures, including but not limited to:</w:t>
      </w:r>
    </w:p>
    <w:p>
      <w:pPr>
        <w:ind w:left="760"/>
        <w:spacing w:after="0"/>
        <w:rPr>
          <w:sz w:val="20"/>
          <w:szCs w:val="20"/>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lease accounting;</w:t>
      </w:r>
    </w:p>
    <w:p>
      <w:pPr>
        <w:ind w:left="760"/>
        <w:spacing w:after="0" w:line="220"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revenue recognition;</w:t>
      </w:r>
    </w:p>
    <w:p>
      <w:pPr>
        <w:ind w:left="760"/>
        <w:spacing w:after="0" w:line="190"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inventory;</w:t>
      </w:r>
    </w:p>
    <w:p>
      <w:pPr>
        <w:ind w:left="760"/>
        <w:spacing w:after="0" w:line="235" w:lineRule="auto"/>
        <w:rPr>
          <w:sz w:val="20"/>
          <w:szCs w:val="20"/>
          <w:color w:val="auto"/>
        </w:rPr>
      </w:pPr>
      <w:r>
        <w:rPr>
          <w:rFonts w:ascii="Times New Roman" w:cs="Times New Roman" w:eastAsia="Times New Roman" w:hAnsi="Times New Roman"/>
          <w:sz w:val="14"/>
          <w:szCs w:val="14"/>
          <w:color w:val="auto"/>
        </w:rPr>
        <w:t>–   goodwill and other long-lived assets;</w:t>
      </w:r>
    </w:p>
    <w:p>
      <w:pPr>
        <w:ind w:left="760"/>
        <w:spacing w:after="0" w:line="220"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fixed assets and software capitalization;</w:t>
      </w:r>
    </w:p>
    <w:p>
      <w:pPr>
        <w:ind w:left="760"/>
        <w:spacing w:after="0" w:line="220"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merchandise warranties; and</w:t>
      </w:r>
    </w:p>
    <w:p>
      <w:pPr>
        <w:ind w:left="760"/>
        <w:spacing w:after="0" w:line="220" w:lineRule="auto"/>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income taxes.</w:t>
      </w:r>
    </w:p>
    <w:p>
      <w:pPr>
        <w:ind w:left="520" w:right="560" w:hanging="263"/>
        <w:spacing w:after="0" w:line="25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ind w:left="520" w:right="460" w:hanging="263"/>
        <w:spacing w:after="0" w:line="24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ind w:left="520" w:right="100" w:hanging="263"/>
        <w:spacing w:after="0" w:line="242"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520" w:right="280" w:hanging="263"/>
        <w:spacing w:after="0" w:line="25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the design and operation of control activities and procedures within the computer operations domain to help ensure that key batch jobs and interfaces are monitored, processing failures are adequately resolved, and recovery capability is tested.</w:t>
      </w:r>
    </w:p>
    <w:p>
      <w:pPr>
        <w:ind w:left="500" w:hanging="243"/>
        <w:spacing w:after="0" w:line="222" w:lineRule="auto"/>
        <w:tabs>
          <w:tab w:leader="none" w:pos="500" w:val="left"/>
        </w:tabs>
        <w:numPr>
          <w:ilvl w:val="0"/>
          <w:numId w:val="12"/>
        </w:numPr>
        <w:rPr>
          <w:rFonts w:ascii="Arial" w:cs="Arial" w:eastAsia="Arial" w:hAnsi="Arial"/>
          <w:sz w:val="15"/>
          <w:szCs w:val="15"/>
          <w:color w:val="auto"/>
        </w:rPr>
      </w:pPr>
      <w:r>
        <w:rPr>
          <w:rFonts w:ascii="Times New Roman" w:cs="Times New Roman" w:eastAsia="Times New Roman" w:hAnsi="Times New Roman"/>
          <w:sz w:val="14"/>
          <w:szCs w:val="14"/>
          <w:color w:val="auto"/>
        </w:rPr>
        <w:t>Continued to enhance data backup procedures to help ensure that systems are adequately backed up and maintained and recovery of data from backups is tested.</w:t>
      </w:r>
    </w:p>
    <w:p>
      <w:pPr>
        <w:ind w:left="500" w:hanging="243"/>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identifying, evaluating and began testing key IT dependencies including key reports, automated application controls, interfaces and end user computer operations.</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events in the primary regions of our operations could materially adversely affect our business.</w:t>
      </w:r>
    </w:p>
    <w:p>
      <w:pPr>
        <w:spacing w:after="0" w:line="157"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Our headquarters and a primary distribution center are located outside of Cleveland, Ohio. We also have distribution centers in North Carolina and Texas. Any extreme weather, natural or man-made disasters, catastrophic events, terrorism, blackouts, widespread illness or unfavorable regional economic conditions could materially adversely affect our business. Such events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could result in physical damage to or destruction or disruption of one or more of our properties, physical damage to or destruction of our inventory, the lack of an adequate workforce in parts or all of our operations, supply chain disruptions, data and communications disruptions.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failure to recruit, hire, and retain qualified personnel could materially adversely affect our business.</w:t>
      </w:r>
    </w:p>
    <w:p>
      <w:pPr>
        <w:spacing w:after="0" w:line="14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success of our business depends upon our ability to recruit, hire and retain qualified individuals to work in and manage our Showrooms and manufacturing and distribution centers in the geographic regions in which they are located, and our operations are subject to federal and state laws governing such matters as minimum wages, overtime, working conditions and employment eligibility requirements. Economic factors such as a decrease in unemployment and an increase in mandatory minimum wages at the local, state and federal levels and social benefits, whether intended to be permanent or temporary, as well as increases in wages paid by other employers in markets in which we compete, could have a material impact on our results of operations if we are required to significantly increase wages and benefits expenditures in order to attract and retain qualified personnel. In the event of increasing wage rates, if we fail to increase our wages competitively, the quality of our workforce could decline, causing our client service to suffer, while increasing wages for our employees could cause our profit margins to decrease. Further, qualified individuals for our skilled labor positions, particularly in our manufacturing and distribution centers, are in high demand, and we may experience shortages of skilled labor, which may make it more difficult and expensive for us to attract and retain such qualified employees. Failure to continue to attract a sufficient number of individuals at reasonable compensation levels could have a material adverse effect on our business, reputation and results of operations.</w:t>
      </w:r>
    </w:p>
    <w:p>
      <w:pPr>
        <w:spacing w:after="0" w:line="11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depend on our management’s and other team members’ experience and knowledge of our industry; we could be adversely affected were we to lose, or experience difficulty in recruiting and retaining, any such members of our team.</w:t>
      </w:r>
    </w:p>
    <w:p>
      <w:pPr>
        <w:spacing w:after="0" w:line="10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We are currently managed by a group of experienced senior executives, including our Co-Founder and CEO, John Reed, and other key team members with substantial knowledge and understanding of the industry sector in which we operate. Our success and future growth depend largely upon the continued services of our management team. If, for any reason, our executives do not continue to be active in management, or we lose such persons, or other key team members, or we fail to identify and/or recruit for current or future positions of need, our business, financial condition or results of operations could be adversely affected.</w:t>
      </w:r>
    </w:p>
    <w:p>
      <w:pPr>
        <w:spacing w:after="0" w:line="107"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have and will continue to incur capital expenditures for the remodeling of our existing Showrooms, and there is no guarantee that this will result in incremental Showroom traffic or sales, which may adversely impact our results of operations and financial performance.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clients’ experience in our Showrooms is important to our brand. Accordingly, we may remodel our existing Showrooms to improve our clients’ experience and reflect our new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Showroom design, products and the latest market trends. The remodeling of our Showrooms requires significant capital expenditure and there is no guarantee that the capital spent on our remodeled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Showrooms will result in increased traffic or be offset by increased revenue, which would materially adversely affect our results of operations and financial performance.</w:t>
      </w:r>
    </w:p>
    <w:p>
      <w:pPr>
        <w:spacing w:after="0" w:line="1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Merchandise purchased from our vendors that is defective or otherwise does not meet our product quality standards could damage our reputation and brand image and harm our business, and we may not have adequate remedies against our vendors for such merchandise.</w:t>
      </w:r>
    </w:p>
    <w:p>
      <w:pPr>
        <w:spacing w:after="0" w:line="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Some of our merchandise has failed to meet our expectations and objectives concerning quality. We have in recent periods, and may in the future, recall products from the market due to quality or other issues. Despite our continual efforts to deliver our clients satisfying experiences in our Showrooms, we may fail to maintain the necessary level of quality for some of our products in order to satisfy our clients. For example, our vendors may not be able to continuously adhere to our quality control standards, and we might not identify a quality deficiency before merchandise ships to our Showrooms or clients. Our failure to supply high quality merchandise in a timely and effective manner to our clients, our announcement of product recalls, or any perception that we are not adequately maintaining our sourcing and quality control processes in order to anticipate product quality issues could damage our reputation and brand image, and could lead to an increase in product returns or exchanges or client litigation against us and a corresponding increase in our routine and non-routine litigation costs. Further, any merchandise that does not meet our quality standards, our clients’ perception of value or applicable government requirements could trigger high rates of client complaints or returns, become subject to a product recall and/or attract negative publicity, which could in turn damage our reputation and brand image, result in client litigation (including class-action lawsuits), and harm our business. With the growth in importance and the impact of social media, the magnitude of such harm to our business, reputation and brand image may be significantly amplified. We are making changes in many aspects of our business processes that affect our clients, including improvements in product quality and enhancements in sourcing and product availability, which are expected to include increasingly significant operational and other changes in the near term. This may complicate our supply chain and</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4"/>
          <w:szCs w:val="14"/>
          <w:color w:val="auto"/>
        </w:rPr>
        <w:t>quality control process, and any inability to invest sufficient resources in quality control and compliance processes or significant turnover in the personnel dedicated to such function may result in quality control issues or product recalls.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Even if we detect that merchandise is defective or otherwise not in compliance with our product quality standards before such merchandise is shipped to our clients, we may not be able to return such products to the vendor, obtain a refund of our purchase price from the vendor or obtain other indemnification from the vendor. The limited capacities of certain of our vendors may constrain the ability of such vendors to replace any defective merchandise in a timely manner. Similarly, the limited capitalization and liquidity of certain of our vendors and their lack of insurance coverage for product recall claims may result in such vendors being unable to refund our purchase price or pay applicable penalties or damages associated with any such defects or resulting product recalls.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social media and influencers may materially and adversely affect our reputation or subject us to fines or other penalties.</w:t>
      </w:r>
    </w:p>
    <w:p>
      <w:pPr>
        <w:spacing w:after="0" w:line="14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We use third-party social media platforms as marketing tools, among other things. For example, we maintain Instagram, Facebook, TikTok and Pinterest accounts, as well as our own content on our website. We maintain relationships with many social media influencers and may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use social media platforms as marketing tools in a cost-effective manner or if the social media platforms we use do not evolve quickly enough for us to fully optimize such platforms, our ability to acquire new clients and our financial condition may suffer. Furthermore, as laws and regulations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2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In addition, an increase in the use of social media for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or the FTC, has sought enforcement action where an endorsement has failed to clearly and conspicuously disclose a material relationship between an influencer and an advertiser. If we were held responsible for the content of influencers’ posts under FTC regulations and guidelines, we could be forced to alter our practices, which could have a material adverse effect on our business, financial condition, and results of operations.</w:t>
      </w:r>
    </w:p>
    <w:p>
      <w:pPr>
        <w:spacing w:after="0" w:line="10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Negative commentary regarding us,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clients in a manner that reflects poorly on our brand and may be attributed to us or otherwise adversely affect us. It is not possible to prevent such behavior, and the precautions we take to detect this activity may not be effective in all cases. The harm may be immediate, without affording us an opportunity for redress or correction.</w:t>
      </w:r>
    </w:p>
    <w:p>
      <w:pPr>
        <w:spacing w:after="0" w:line="107"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drive traffic to our website, and these providers may change their algorithms or pricing in ways that could negatively impact our business, results of operations, financial condition and prospects.</w:t>
      </w:r>
    </w:p>
    <w:p>
      <w:pPr>
        <w:spacing w:after="0" w:line="1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rely in part on digital advertising, including search engine marketing and social media advertising, to promote awareness of our brand, grow our business, attract new clients and retain existing clients. In particular, we rely on search engines, such as Google, and social media platforms such as Instagram, Facebook, TikTok and Pinterest as important marketing channels. In addition to purchasing traditional advertising space on search engines and social media platforms, we also partner with influencers who promote our brand and products to their followers. If search engines or social media platforms change their algorithms, terms of service, display or the featuring of search results, determine we are out of compliance with their terms of service or if competition increases for advertisements, we may be unable to cost-effectively market through these channels. Further, changes to third-party policies that limit our ability to deliver, target or measure the effectiveness of advertising, including changes by mobile operating system and browser providers such as Apple and Google, could reduce the effectiveness of our marketing. We also cannot accurately predict if the followers of our social media influencer partners will be interested in buying our products, or if our influencer partners will maintain their follower numbers throughout the time of our partnerships. Our relationships with our marketing vendors are not long term in nature and do not require any specific performance commitments. In addition, many of our online advertising vendors provide advertising services to other companies, including companies with whom we may compete. As competition for online advertising has increased, the cost for some of these services has also increased. Our marketing initiatives may become increasingly expensive and generating a return on those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initiatives may be difficult. Even if we successfully increase revenue as a result of our paid marketing efforts, such increase may not offset the additional marketing expenses we incur.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From time to time we are subject to client or other various legal proceedings which could adversely affect our business, financial condition, results of operations and cash flows.</w:t>
      </w:r>
    </w:p>
    <w:p>
      <w:pPr>
        <w:spacing w:after="0" w:line="14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4"/>
          <w:szCs w:val="14"/>
          <w:color w:val="auto"/>
        </w:rPr>
        <w:t>We are involved in various litigation matters from time to time. Such matters can be time-consuming, divert management’s attention and resources and cause us to incur significant expenses. Moreover, our operations are characterized by a high volume of client traffic and by transactions involving a wide array of product selections. These operations carry a higher exposure to client litigation risk when compared to the operations of companies operating in many other industries. Consequently, we have been, and may in the future be from time to time, involved in lawsuits seeking cash settlements for alleged personal injuries, property damages and other business-related matters, as well as product liability and other legal actions in the ordinary course of our business. While these actions are generally routine in nature and incidental to the operation of our business, if our assessment of any action or actions should prove inaccurate and/or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 Further, adverse publicity about client or other litigation may negatively affect us, regardless of whether the allegations are true, by discouraging clients from purchasing our products.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successfully manage the costs and performance of our print media might have a negative impact on our business.</w:t>
      </w:r>
    </w:p>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Print media mailing is a significant component of our marketing activities. The cost of catalog production, printing and distribution impacts our operating margin and increases in these costs may not be offset by increased revenue generated. In addition, postal service delays can affect the timing of catalog delivery, which could cause clients to forego or defer purchases. Moreover, we rely on external printers for our catalog printing work, which subjects us to various risks if the vendor fails to perform under our agreement. We have historically experienced fluctuations in our clients’ response to our catalogs. Client response to our catalogs is substantially dependent on merchandise assortment, availability and creative presentation, as well as the consumers to whom the catalogs are directed, timing of delivery of our mailings, the general retail sales environment and current domestic and global economic conditions. If we misjudge the correlation between our catalog marketing and net revenue, or if our catalog strategy overall does not continue to be successful, our results of operations could be negatively impacted.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successfully anticipate merchandise returns might have a negative impact on our business.</w:t>
      </w:r>
    </w:p>
    <w:p>
      <w:pPr>
        <w:spacing w:after="0" w:line="14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record a reserve for merchandise returns based on historical return trends together with current product sales performance in each reporting period. If actual returns are greater than those projected and reserved for by management, additional sales returns might be recorded in the future. In addition, to the extent that returned merchandise is damaged, we often do not receive full retail value from the resale or liquidation of the merchandise. Further, the introduction of new merchandise, changes in merchandise mix, changes in consumer confidence, or other competitive and general economic conditions may cause actual returns to differ from merchandise return reserves. Any significant increase in merchandise returns that exceeds our reserves could have a material adverse effect on our business, reputation and operating results.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warranty claims could have a material adverse effect on our business.</w:t>
      </w:r>
    </w:p>
    <w:p>
      <w:pPr>
        <w:spacing w:after="0" w:line="14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provide a limited warranty on merchandise to be free of defects in both construction materials and workmanship, which, if deficient, could lead to warranty claims. We also provide “Worry-Free Protection Plans” that are serviced by a third party and include coverage for incidental and accidental damage not covered by our limited warranty. We maintain a reserve for warranty claims; however, there can be no assurance that our reserve for warranty claims will be adequate and additional warranty reserves may be required. A significant number of or an increase in warranty claims could, among other things, harm our reputation and damage our brand, cause us to incur significant repair and/or replacement costs, and have a material adverse effect on our business, financial condition, operating results and prospects.</w:t>
      </w:r>
    </w:p>
    <w:p>
      <w:pPr>
        <w:spacing w:after="0" w:line="11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adapt to client shopping preferences or develop and maintain a relevant and reliable omni-channel model for our clients, our financial performance and brand image could be adversely affected.</w:t>
      </w:r>
    </w:p>
    <w:p>
      <w:pPr>
        <w:spacing w:after="0" w:line="10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We are continuing to grow our omni-channel business model. While we interact with many of our clients through our Showrooms, our clients are increasingly using computers, tablets and smartphones to make purchases online and to help them make purchasing decisions when in our Showrooms. Our clients also engage with us online through our social media channels, including Instagram, Facebook, TikTok and Pinterest, by providing feedback and public commentary about aspects of our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business. Omni-channel retailing is rapidly evolving. Our success depends, in part, on our ability to anticipate and implement innovations in client experience and logistics in order to appeal to clients who increasingly rely on multiple channels to meet their shopping needs. If for any reason we are unable to continue to implement our omni-channel initiatives or provide a convenient and consistent experience for our clients across all channels that delivers the products they want, when and where they want them, our financial performance and brand image could be adversely affected.</w:t>
      </w:r>
    </w:p>
    <w:p>
      <w:pPr>
        <w:spacing w:after="0" w:line="11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Our future growth depends on our ability to successfully implement our organic growth strategy, a major part of which consists of opening new Showrooms. We may be unable to successfully open and operate new Showrooms, which could have a material adverse effect on our business, financial condition, operating results and prospects.</w:t>
      </w:r>
    </w:p>
    <w:p>
      <w:pPr>
        <w:spacing w:after="0" w:line="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As of December 31, 2025, we had 107 Showrooms, including 90 Traditional Showrooms, 9 Design Studios, and 8 Lofts, in 31 states in the United States. A major part of our organic growth strategy consists of increasing our Showroom base. Such large-scale projects entail significant risks, including shortages of materials or skilled labor, unforeseen engineering, environmental and/or geological problems, work stoppages, weather interference, unanticipated cost increases and non-availability of construction equipment. For example, we experienced some delays in certain projects on account of the COVID-19 pandemic’s impact on business conditions and may experience similar delays in the future due to similar outbreaks of infectious diseases. There can be no assurance that we will succeed in opening additional Showrooms, which could have a material adverse effect on our business, financial condition, operating results and prospects.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ability to successfully open and operate new Showrooms depends on many factors, including, among other things, our ability to:</w:t>
      </w:r>
    </w:p>
    <w:p>
      <w:pPr>
        <w:spacing w:after="0" w:line="155" w:lineRule="exact"/>
        <w:rPr>
          <w:sz w:val="20"/>
          <w:szCs w:val="20"/>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new markets where our brand and products will be accepted and the revenue at our Showrooms will meet our targeted revenue levels;</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desired locations, including Showroom size and adjacencies, in targeted high traffic street and urban locations and top tier retail locations;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adapt our Showrooms to address public health concerns or public health crises;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negotiate acceptable lease terms, including satisfactory rent and tenant improvement allowances;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brand awareness and attract new clients in new markets;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understand customer preferences in new markets;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capital expenditures while designing new Showrooms and remodeling our existing Showrooms;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 train and retain Showroom associates and field management;</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assimilate new Showroom associates and field management into our corporate culture;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and supply sufficient inventory levels;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local laws and regulations in new markets as we continue to expand our geographic footprint;</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 the adequate technologies needed to serve our clients and protect their transactions with us;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successfully integrate new Showrooms into our existing operations and information technology systems;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our capital needs, including to fund the opening of new Showrooms.</w:t>
      </w:r>
    </w:p>
    <w:p>
      <w:pPr>
        <w:spacing w:after="0" w:line="13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addition, once our new Showrooms are opened, we may not be able to achieve our targeted increase in revenue or targeted operating and financial metrics at such Showrooms, or it may take longer than anticipated to do so. Accordingly, there can be no assurance that we will be able to achieve our growth targets by successfully implementing our growth strategy. Such risks, in addition to difficulties or delays in obtaining any required licenses and permits, unavailability of desired Showroom locations, delays in the acquisition or opening of new Showrooms, delays or costs resulting from a decrease in commercial development due to capital restraints, difficulties in staffing and operating new Showroom locations or a lack of client acceptance of Showrooms in new market areas, could lead to significant costs and delays and may negatively impact our new Showroom growth, the profitability associated with new Showrooms and our future financial performance.</w:t>
      </w:r>
    </w:p>
    <w:p>
      <w:pPr>
        <w:spacing w:after="0" w:line="11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Our ability to attract clients to our Showrooms depends heavily on successfully locating our Showrooms in suitable locations. Any impairment of a Showroom location, including any decrease in client traffic, could cause our sales to be lower than expected.</w:t>
      </w:r>
    </w:p>
    <w:p>
      <w:pPr>
        <w:spacing w:after="0" w:line="1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believe our Showrooms and the client’s Showroom experience are key for generating and increasing revenue. We plan to open new Showrooms in high traffic locations and historically we have favored top tier mall locations near luxury and contemporary retailers that we believe are consistent with our target clients’ demographics and shopping preferences. Revenues at these Showrooms are derived, in part, from the volume of foot traffic in these locations. Showroom locations may become unsuitable due to, and our revenue volume and client traffic generally may be harmed by, among other things:</w:t>
      </w:r>
    </w:p>
    <w:p>
      <w:pPr>
        <w:spacing w:after="0" w:line="109" w:lineRule="exact"/>
        <w:rPr>
          <w:sz w:val="20"/>
          <w:szCs w:val="20"/>
          <w:color w:val="auto"/>
        </w:rPr>
      </w:pPr>
    </w:p>
    <w:p>
      <w:pPr>
        <w:ind w:left="500" w:hanging="24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downturns in a particular area;</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nearby retailers selling similar products;</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client demographics in a particular market;</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preferences of clients in a particular market;</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or decline in popularity of other businesses located near our Showroom;</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client foot traffic outside a Showroom location;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Showroom impairments due to acts of God, pandemic, terrorism, protest or periods or civil unrest.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 if a Showroom location becomes unsuitable, we will generally be unable to cancel the long-term lease associated with such Showroom.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estimated addressable market is subject to inherent challenges and uncertainties. If we have overestimated the size of our addressable market, our future growth opportunities may be limited.</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have determined our total addressable market based on, among other things, our analysis of the historical market size of the United States residential furniture and décor market, our observation and analysis of recent trends, client behaviors and client satisfaction, our estimates and expectations concerning future growth of the United States residential furniture market, including expected growth of the premium furniture segment, as well as other information derived from third-party research commissioned by us. As a result, our estimated total addressable market is subject to significant uncertainty and is based on assumptions that may not prove to be accurate. Our estimates are based, in part, on third-party reports and are subject to significant assumptions and estimates. These estimates, as well as the estimates and forecasts in this Annual Report relating to the size and expected growth of the markets in which we operate, and our penetration of those markets, may change or prove to be inaccurate. While we believe the information on which we base our total addressable market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If our addressable market proves to be inaccurate, our future growth opportunities may be limited and there could be a material adverse effect on our prospects, business,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sector which may adversely affect our future financial performance.</w:t>
      </w:r>
    </w:p>
    <w:p>
      <w:pPr>
        <w:spacing w:after="0" w:line="15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home furnishings sector is highly competitive. We compete with the interior design trade and specialty showrooms, as well as antique dealers and other merchants that provide unique items and custom-designed product offerings. We also compete with national and regional home furnishing retailers and department showrooms, including RH, Room &amp; Board, Serena and Lily, Williams Sonoma and Crate &amp; Barrel. In addition, we compete with mail order catalogs and online retailers focused on home furnishings. There are an increasing number of online and digital centric business models in the home furnishings sector and the impact of these competitors on other home furnishing businesses is uncertain although some of these digital offerings have gained market share primarily in areas outside the luxury end of the market.</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compete generally with these other retailers for clients, suitable retail locations, vendors, qualified employees and senior leadership personnel. Some of our competitors have also attempted to imitate our product offerings and business initiatives from time to time in the past. In addition, many of our competitors have significantly greater national brand recognition or may devote greater resources to the marketing and sale of their products or adopt more aggressive pricing policies than we do. Such competitors may also be able to adapt to changes in client preferences more quickly than we can due to their greater financial or marketing resources, through new product launches or by adapting their business models and operations to new client trends, which may in turn change how our clients acquire products or view our business and brand. There can be no assurance that such competitors will not be more successful than us or that we will be able to continue to maintain our position as a leader in style and innovation in the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lease obligations are substantial and expose us to increased risks.</w:t>
      </w:r>
    </w:p>
    <w:p>
      <w:pPr>
        <w:spacing w:after="0" w:line="15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We do not own any of our Showrooms. Instead, we rent all of our Showroom spaces pursuant to leases. Nearly all of our leases require a fixed annual rent, and many of them require the payment of additional rent if Showroom revenues exceed a negotiated amount. Most of our leases are “net” leases that require us to pay all costs of insurance, maintenance and utilities, and applicable taxes.</w:t>
      </w:r>
    </w:p>
    <w:p>
      <w:pPr>
        <w:spacing w:after="0" w:line="93"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4"/>
          <w:szCs w:val="14"/>
          <w:color w:val="auto"/>
        </w:rPr>
        <w:t>Our required payments under these leases are substantial and account for a significant portion of our selling, general and administrative expenses. We expect that any new Showrooms we open will also be leased, which will further increase our lease expense and require significant capital expenditures. Our substantial lease obligations could have significant negative consequences, including, among others:</w:t>
      </w:r>
    </w:p>
    <w:p>
      <w:pPr>
        <w:spacing w:after="0" w:line="104" w:lineRule="exact"/>
        <w:rPr>
          <w:sz w:val="20"/>
          <w:szCs w:val="20"/>
          <w:color w:val="auto"/>
        </w:rPr>
      </w:pPr>
    </w:p>
    <w:p>
      <w:pPr>
        <w:ind w:left="500" w:hanging="243"/>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general adverse economic and industry conditions;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our available cash to pay our rental obligations, reducing cash available for other purposes;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or in the industry in which we compete;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disadvantage with respect to some of our competitors who sell their products exclusively online.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risks could lead to significant costs which may negatively impact our growth, the profitability associated with our Showrooms and our financial performance.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Growing our business may require additional capital, and if capital is not available to us, our business, operating results and financial condition may suffer.</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may need additional capital to continue to grow our business. We may be presented with opportunities that we want to pursue, and unforeseen challenges may present themselves, any of which could cause us to require additional capital. We fund our capital needs primarily from available working capital; however, the timing of available working capital and capital funding needs may not always coincide, and the levels of working capital may not fully cover capital funding requirements. From time to time, we may need to supplement our working capital from operations with proceeds from financing activities. If we seek to raise funds through equity or debt financing, those funds may prove to be unavailable, may only be available on terms that are not acceptable to us or may result in significant dilution in shares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 in the financial markets could have a material adverse effect on client demand and our ability to refund client deposits.</w:t>
      </w:r>
    </w:p>
    <w:p>
      <w:pPr>
        <w:spacing w:after="0" w:line="15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We collect deposits from our clients at the time of purchase and in advance of delivering products, and as of December 31, 2025, we had approximately $236 million in client deposits. If there were disruptions in the financial markets or economy that led to significant client order cancellations, there can be no assurance that we will have the cash or cash equivalents to refund all client deposits for cancelled orders. If we are unable to refund client deposits or use our client deposits as a source of funding for our operating activities, our reputation and brand may be damaged and our funding costs may increase, which would have a material adverse effect on our business, financial results and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operations depend on good relations with our employees.</w:t>
      </w:r>
    </w:p>
    <w:p>
      <w:pPr>
        <w:spacing w:after="0" w:line="14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Currently, none of our employees are represented by a union or subject to any collective bargaining agreements. We believe that we have good relations with our employees and that these good relations contribute to the success of our operations. As we continue to grow and enter different regions, unions may attempt to organize all or part of our employee base at certain Showrooms or distribution centers or within certain regions. Responding to such organizational activity may distract management and employees and may have a negative financial effect on our business, financial condition or results of operations.</w:t>
      </w:r>
    </w:p>
    <w:p>
      <w:pPr>
        <w:spacing w:after="0" w:line="15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Our business has been and may in the future be affected by the significant and widespread risks posed by public health emergencies or outbreaks of epidemics, pandemics, or contagious diseases, such as the COVID-19 pandemic.</w:t>
      </w:r>
    </w:p>
    <w:p>
      <w:pPr>
        <w:spacing w:after="0" w:line="10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4"/>
          <w:szCs w:val="14"/>
          <w:color w:val="auto"/>
        </w:rPr>
        <w:t>An epidemic, pandemic, or similar serious public health issue (a “public health issue”), and the measures undertaken by governmental authorities to address it, could significantly disrupt or prevent us from operating our business in the ordinary course for an extended period, and thereby, and/or along with any associated economic and/or social instability or distress, have a material adverse impact on our results of operations, cash flows and financial condition.</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extent to which a public health issue could impact our business, results of operations, financial condition and liquidity will depend on numerous evolving factors, known and unknown, that we cannot predict, including the duration and scope of the public health issue; government, business and individual actions that have been and continue to be taken in response; the impact of the public health issue on national and global economic activity; disruption of the financial and labor markets, including the possibility of a national or global economic recession or depression; the possibility of having to close or limit the hours of operations of our Showrooms; the limitations on operations requiring employees to perform their duties in-person, such as our warehouse operations; the potential for shipping difficulties, including delayed shipments from our suppliers and deliveries to our buyers; and weakened consumer demand. Additionally, the increased number of employees who work remotely during a public health emergency or outbreak could introduce additional operational risk, such as an increased vulnerability to cyber-</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attacks, and harm productivity and collaboration. In addition, public health issues may also have the effect of exacerbating many of the other risks described elsewhere this “Risk Factors” section.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Data Privacy and Information Technology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effectively manage our eCommerce sales channel and digital marketing efforts, our reputation and operating results may be harmed.</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eCommerce sales channel represented approximately 17% of total net revenue in 2025. We believe eCommerce offers a significant growth opportunity and our strategy includes investment in and expansion of our digital platform and eCommerce sales channel. The success of our eCommerce sales channel depends, in part, on third parties and factors over which we have limited control. We must continuously respond to changing consumer preferences and buying trends relating to eCommerce usage, including an emphasis on mobile eCommerce. Our success in eCommerce has been strengthened in part by our ability to leverage the information we have on our clients to infer client interests and affinities such that we can personalize the experience they have with us. We also utilize digital advertising to target internet and mobile users whose behavior indicates they might be interested in our products. Current or future legislation may reduce or restrict our ability to use these techniques, which could reduce the effectiveness of our marketing efforts.</w:t>
      </w:r>
    </w:p>
    <w:p>
      <w:pPr>
        <w:spacing w:after="0" w:line="12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We are also vulnerable to certain additional risks and uncertainties associated with our eCommerce and mobile websites and digital marketing efforts, including: changes in required technology interfaces; website downtime and other technical failures; internet connectivity issues; costs and technical issues as we upgrade our website software; computer viruses; vendor reliability; changes in applicable privacy laws and regulations; compliance costs related to maintaining a reasonable privacy and data security program that addresses constantly evolving legal requirements; security breaches; and consumer privacy concerns. We must keep up to date with competitive technology trends and opportunities that are emerging throughout the retail environment, including the use of new or improved technology, evolving creative user interfaces, and other eCommerce marketing trends such as paid search, re-targeting, and the proliferation of mobile usage, among others.</w:t>
      </w:r>
    </w:p>
    <w:p>
      <w:pPr>
        <w:spacing w:after="0" w:line="11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We expect to continue to invest capital and other resources in our eCommerce sales channel, but there can be no assurance that our initiatives will be successful or otherwise succeed in driving sales or attracting clients. Our failure to successfully respond to these risks and uncertainties might adversely affect the sales or margin in our eCommerce sales channel, require us to impair certain assets, and damage our reputation and brands.</w:t>
      </w:r>
    </w:p>
    <w:p>
      <w:pPr>
        <w:spacing w:after="0" w:line="102"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If we experience security incident(s) that result in data breach(es), we could suffer a loss of sales and increased costs, exposure to significant liability, reputational harm and other negative consequences.</w:t>
      </w:r>
    </w:p>
    <w:p>
      <w:pPr>
        <w:spacing w:after="0" w:line="1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No company can be entirely free of vulnerability to attack or compromise given that the techniques used to obtain unauthorized access, disable or degrade service, and obtain information or data change continuously. During the normal course of business, we have experienced and expect to continue to experience attempts to compromise our information systems. We collect, process and store certain personal information and other data relating to individuals, such as our clients, artisans, and employees. We rely substantially on commercially available systems, software, tools and monitoring to provide security for our processing, transmission and storage of personal information and other confidential information. We and our vendors have been the subject of hacking, social engineering, phishing attacks or other attacks. Due to these or other causes, we or our vendors have and in the future may suffer a security incident, which allow hackers or other unauthorized parties to gain access to personal information or other data, including payment card data or confidential business information, and we might not discover such issues for an extended period. The techniques used to obtain unauthorized access, to sabotage systems, and to obtain personal information, confidential information, or other data change continuously and generally are not identified until they are launched against a target. As a result, we and our vendors may be unable to anticipate these techniques or to implement adequate preventative measures. In addition, our employees, contractors, vendors or other third parties with whom we do business may attempt to circumvent security measures in order to misappropriate such personal information, confidential information or other data, or may inadvertently release or compromise such data. We expect to incur ongoing costs associated with the detection and prevention of cyber threats.</w:t>
      </w:r>
    </w:p>
    <w:p>
      <w:pPr>
        <w:spacing w:after="0" w:line="11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4"/>
          <w:szCs w:val="14"/>
          <w:color w:val="auto"/>
        </w:rPr>
        <w:t>We may incur additional costs in the event of a data breach or other security incident. Our remediation efforts may not be successful and could result in interruptions to our operations.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losses and claims, and we may still suffer losses that could have a material adverse effect on our business (including reputational damage).</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Material damage to, or interruptions in, our information systems as a result of external factors, staffing shortages, cyber risk, or difficulties in updating our existing software or developing or implementing new software could have a material adverse effect on our business or results of operations, and we may be exposed to risks and costs associated with protecting the integrity and security of our clients’ information.</w:t>
      </w:r>
    </w:p>
    <w:p>
      <w:pPr>
        <w:spacing w:after="0" w:line="11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depend largely upon our information technology systems in the conduct of all aspects of our operations, many of which we are in the midst of replacing or implementing. Our ability to effectively manage our business and coordinate the manufacturing, sourcing, distribution and sale of our products depends significantly on the reliability and capacity of these systems. We also rely on information technology systems to effectively manage, among other things, our business data, communications, summarizing and reporting results of operations, human resources benefits and payroll management, compliance with regulatory, legal and tax requirements and other processes and data necessary to manage our business. The future operation, success and growth of our business depends on streamlined processes made available through information systems, global communications, internet activity and other network processes.</w:t>
      </w:r>
    </w:p>
    <w:p>
      <w:pPr>
        <w:spacing w:after="0" w:line="1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4"/>
          <w:szCs w:val="14"/>
          <w:color w:val="auto"/>
        </w:rPr>
        <w:t>Our information technology systems may be subject to damage or interruption from power outages, computer and telecommunications failures, computer viruses, security breaches, and natural disasters. In addition, damage or interruption can also occur as a result of non-technical issues, including vandalism, catastrophic events, and human error. Damage or interruption to our information systems may require a significant investment to fix or replace the affected system, and we may suffer interruptions in our operations in the interim. Our existing safety systems, data backup, access protection, user management and information technology emergency planning may not be sufficient to prevent data loss or long-term network outages. In addition, these systems can be complex to develop, maintain, upgrade and protect against emerging threats, and we may fail to adequately hire or retain adequate personnel to manage our information systems, accurately gauge the level of financial and managerial resources to invest in our information systems, or realize the anticipated benefits of resources invested in our information systems particularly as our business changes as a result of the many initiatives that we are pursuing. Any material interruptions or failures in our systems or the products or systems of our third party vendors or other third parties that we share data with may have a material adverse effect on our reputation, business, financial condition, or results of operations.</w:t>
      </w:r>
    </w:p>
    <w:p>
      <w:pPr>
        <w:spacing w:after="0" w:line="11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In addition, our information systems can face risks to the extent we acquire new businesses but are not able to quickly or comprehensively integrate such acquired businesses into our policies and procedures for addressing cybersecurity risks or identify and address weaknesses in such acquired entity’s information systems, which risks may be compounded to the extent the information systems of an acquired entity are integrated with ours, thus providing access to a broader set of sensitive client information through a compromised network at the acquired entity level, or by permitting an unauthorized party to access our system. If an unauthorized party is able to circumvent our security measures, it could destroy or steal valuable information or disrupt our operations.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Any successful breaches or attempted intrusions of our information systems could result in increased costs and potential reputational damage, which could materially adversely affect our reputation, business, financial condition, and results of operations. Additionally, in order for our business to function successfully, we and other vendors and third parties must be able to handle and transmit confidential and personal information securely, including in client orders placed through our website and the success of our eCommerce sales channel depends on the secure transmission of confidential and personal information over public networks, including the use of cashless payments. That information includes data about our clients as well as sensitive information about our vendors and workforce, including social security numbers and bank account information. If our systems, or those of our third party service providers, are damaged, misappropriated, interrupted or subject to unauthorized access, information about our clients, vendors or workforce could be stolen or misused. Any failure on the part of us or our third party service providers to maintain the security of this confidential data and personal information, including via the penetration of our network security (or those of our third party service providers) and the misappropriation of confidential and personal information, could result in business disruption, misdirected payments, loss of company intellectual property, damage to our reputation, financial obligations to third parties, fines, penalties, regulatory proceedings and private litigation, any or all of which could result in the Company incurring potentially substantial costs. Such events could also result in the deterioration of confidence in the Company by employees, consumers and customers and cause other competitive disadvantages.</w:t>
      </w:r>
    </w:p>
    <w:p>
      <w:pPr>
        <w:spacing w:after="0" w:line="11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Furthermore, data security breaches suffered by well-known companies and institutions have attracted a substantial amount of media attention, prompting additional state and federal proposals addressing data privacy and security. As the data privacy and security laws and regulations evolve, we may be subject to more extensive requirements to protect the client information that we process in connection with the purchases of our products. Our failure to successfully respond to these risks and uncertainties could reduce website sales and have a material adverse effect on our reputation, business, financial condition, or results of operations.</w:t>
      </w: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Our failure to address risks associated with payment methods, credit card fraud and other consumer fraud, or our failure to control any such fraud, could damage our reputation and brand and could harm our business, results of operations and financial condition.</w:t>
      </w:r>
    </w:p>
    <w:p>
      <w:pPr>
        <w:spacing w:after="0" w:line="1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have in the past incurred and may in the future incur losses from various types of fraudulent transactions, including the use of stolen credit card numbers, and claims that a buyer did not authorize a purchase. In addition, as part of the payment processing process, our client’s credit and debit card information is transmitted to our third-party payment processors, and we may in the future become subject to lawsuits or other proceedings for purportedly fraudulent transactions arising out of the actual or alleged theft of our client’s credit or debit card information if the security of our third-party credit card payment processors are breached. Furthermore, if we do not secure our online eCommerce sales channel or in-store card acceptance mechanisms, customer credit card information could be obtained by an unauthorized third party.</w:t>
      </w:r>
    </w:p>
    <w:p>
      <w:pPr>
        <w:spacing w:after="0" w:line="11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4"/>
          <w:szCs w:val="14"/>
          <w:color w:val="auto"/>
        </w:rPr>
        <w:t>Under current credit card practices, we are liable for fraudulent credit card transactions because we do not obtain a cardholder’s signature for eCommerce transactions. We do not currently carry insurance against this risk. To date, we have experienced minimal losses from credit card fraud, but we face the risk of significant losses from this type of fraud as our net sales increase.</w:t>
      </w:r>
    </w:p>
    <w:p>
      <w:pPr>
        <w:spacing w:after="0" w:line="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and debit card payments from our buyers and sellers in addition to the consequences that could arise from such action or inaction violating or being alleged to violate applicable laws, regulations, contractual obligations or other obligations, including those relating to privacy, data protection and data security as outlined above, including harm to our reputation and market position. Any of these could have an adverse impact on our business, results of operations, financial condition and prospects. Our failure to adequately prevent fraudulent transactions could damage our reputation and market position, result in claims, litigation or regulatory investigations and proceedings or lead to expenses that could harm our business, results of operations and financial condition.</w:t>
      </w:r>
    </w:p>
    <w:p>
      <w:pPr>
        <w:spacing w:after="0" w:line="12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payment card network operating rules and any material modification of our payment card acceptance privileges could have a material adverse effect on our business, results of operations, and financial condition.</w:t>
      </w:r>
    </w:p>
    <w:p>
      <w:pPr>
        <w:spacing w:after="0" w:line="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Because we accept debit and credit cards for payment, we are subject to the Payment Card Industry Data Security Standard (“PCI DSS”), or the PCI Standard mandated by the card brands and administered by the Payment Card Industry Security Standards Council (“PCI SSC”),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issues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results of operations and financial condition.</w:t>
      </w:r>
    </w:p>
    <w:p>
      <w:pPr>
        <w:spacing w:after="0" w:line="11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 addition to the PCI Standard, our payment processors may require us to comply with other payment card network operating rules, which are set and interpreted by the payment card networks. These rules and standards govern a variety of areas, including how consumers and clients may use their cards, the security features of cards, security standards for processing, data security and allocation of liability for certain acts or omissions, including liability in the event of a data breach. The payment card networks may change these rules and standards from time to time as they may determine in their sole discretion and with or without advance notice to their participants. These changes may be made for any number of reasons. If the payment card networks adopt new operating rules or interpret or reinterpret existing rules in ways that we or our payment processors find difficult or even impossible to comply with, or costly to implement, it could have a significant impact on our business and financial results.</w:t>
      </w:r>
    </w:p>
    <w:p>
      <w:pPr>
        <w:spacing w:after="0" w:line="12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If we are unable to comply with the security standards established by banks and the payment card industry, we may be subject to fines, penalties, damages, civil liability, suspension of registration, restrictions and expulsion from card acceptance programs, which could adversely affect our retail operations. Further, there is no guarantee that, even if we comply with the rules and regulations adopted by the payment card networks, we will be able to maintain our payment card acceptance privileges. We also cannot guarantee that our compliance with network rules, including the PCI Standard, will prevent illegal or improper use of our payments platform or the theft, loss, or misuse of the credit card data of customers or participants, or a security breach.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investing in a number of technology upgrades, including a new enterprise resource planning system, and challenges with the planning or implementation of such systems may impact our business, operations, financial results and internal control over financial reporting.</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are undertaking a multi-year process of upgrading our technology, including implementing a new enterprise resource planning (“ERP”) system, which is a major transformation that will modernize and replace many of our existing operating and financial systems, some of which are dated. Our dated systems could impact functionality and reliability and increase the risk of a disruption. The new ERP is critical to our ability to gather important information, source and deliver products, fulfill contractual obligations, maintain books and records, provide accurate, timely and reliable reports on our financial and operating results, and otherwise operate our business. ERP implementations are complex, time-consuming, labor intensive, and involve substantial expenditures and adjustments to internal processes. Such implementations involve risks, including loss of information and potential disruption in operations. Any disruptions, delays or deficiencies in the design or implementation of the new ERP and related systems could result in significantly greater capital expenditures and management time and attention than currently contemplated and could adversely affect our ability to operate our business, including our ability to timely deliver products to our customers. Additionally, until all of our business functions, including our Showroom operations, are operating on or are fully integrated into our new systems, we will be required to operate and support legacy systems and new systems concurrently, which may increase costs and otherwise adversely affect our ability to operate our business. If the systems as implemented, or after additional investments, do not result in enhancing our ability to maintain accurate books and records, manage orders and deliveries of our products, file timely reports with the SEC or otherwise support the proper and efficient operation of our internal controls, then our financial condition, results of operations, cash flows, and the price of our common stock could be materially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adequately protect our intellectual property rights.</w:t>
      </w:r>
    </w:p>
    <w:p>
      <w:pPr>
        <w:spacing w:after="0" w:line="15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regard our client lists, trademarks, domain names, copyrights, patents, trade dress, trade secrets, proprietary technology and similar intellectual property as critical to our success. We rely on a combination of trademark, copyright, and patent law, trade dress, trade secret protection, agreements, and other methods together with the diligence of our employees and others to protect our proprietary rights. For a variety of reasons, we might not be able to obtain protection in the United States or internationally for all of our intellectual property. We have only registered trademarks and obtained domain names in jurisdictions where we have a significant business presence, and not in all major jurisdictions. Further, we might not be able to prevent third parties from registering, using or retaining domain names that interfere with our consumer communications or infringe or otherwise decrease the value of our marks, domain names and other proprietary rights.</w:t>
      </w:r>
    </w:p>
    <w:p>
      <w:pPr>
        <w:spacing w:after="0" w:line="1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We might be required to spend significant resources to monitor and protect our intellectual property rights. We may not be able to discover or determine the extent of any infringement, misappropriation or other violation of our intellectual property rights and other proprietary rights. We have in the past initiated, and may in the future initiate claims or litigation against others for infringement, misappropriation or violation of our intellectual property rights or proprietary rights or to establish the validity of such rights. We have from time to time encountered other retailers selling products substantially similar to our products or misrepresenting that the products such retailers were selling were our products. We cannot assure you that the steps taken by us to protect our intellectual property rights will be adequate to prevent some infringement of our rights by others (especially with respect to infringement by non-United States entities with no physical United States presence), including imitation of our products and misappropriation of our images and brand.</w:t>
      </w:r>
    </w:p>
    <w:p>
      <w:pPr>
        <w:spacing w:after="0" w:line="1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If we are unable to protect and maintain our intellectual property rights, the value of our brand could be diminished, and our competitive position could suffer. The costs of defending and enforcing our intellectual property assets may incur significant time and legal expense. While we will take all appropriate steps necessary to protect and enforce our rights because of factors beyond our control, we may not be entirely successful in protecting our assets, enforcing our rights or collecting on judgments.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inability to acquire, use or maintain our marks and domain names for our sites could substantially harm our business and operating results.</w:t>
      </w:r>
    </w:p>
    <w:p>
      <w:pPr>
        <w:spacing w:after="0" w:line="14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4"/>
          <w:szCs w:val="14"/>
          <w:color w:val="auto"/>
        </w:rPr>
        <w:t>We are the owner of various trademarks for our brands and hold trademark registrations for many of them in the United States, Canada and China. We also own the Internet domain names for the Arhaus websites such as Arhaus.com, Arhaus.net, and Arhausfurniture.com, among others.</w:t>
      </w:r>
    </w:p>
    <w:p>
      <w:pPr>
        <w:spacing w:after="0" w:line="9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Third parties may use trademarks and brand names similar to Arhaus’ trademarks and brand names and any potential confusion as to the source of goods or services could have an adverse effect on our business and may inhibit our ability to build name recognition in its markets of interest. Third parties may also oppose Arhaus’ trademark applications or otherwise challenge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Arhaus’ use of the trademarks. If Arhaus’ trademarks are successfully challenged, Arhaus could be forced to rebrand its products which could result in the loss of brand recognition and could require additional resources devoted to advertising and marketing new brands.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Domain names generally are regulated by Internet regulatory bodies. If we do not have or cannot obtain on reasonable terms the ability to use our marks in a particular country, or to use or register our domain name, we could be forced either to incur significant additional expenses to market our products within that country or to elect not to sell products in that country, either of which would adversely affect our business, financial condition and operating results. Furthermore, the regulations governing domain names and laws protecting marks and similar proprietary rights could change in ways that block or interfere with our ability to use relevant domains or our current brand. Regulatory bodies also may establish additional generic or countrycode top-level domains or may allow modifications of the requirements for registering, holding or using domain names. As a result, we might not be able to register, use or maintain the domain names that utilize the name Arhaus or our other brands in all of the countries in which we currently or intend to conduct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third parties claim that we infringe upon their intellectual property rights, our operating results could be adversely affected.</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Third parties have in the past asserted, and may in the future assert, intellectual property claims against us, particularly as we expand our business to include new products and product categories and move into other geographic markets. Our defense of any claim, regardless of its merit, could be expensive and time consuming and could divert management resources. Successful infringement claims against us could result in significant monetary liability and prevent us from selling some of our products, incur costs to redesign or rebrand our products or license rights from third parties or cease using those rights altogether, which could have a material adverse impact on our business,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regulations and may be subject to enforcement if we are not in compliance with applicable regulation, and changes in laws could make conducting our business more expensive or otherwise change the way we do business.</w:t>
      </w:r>
    </w:p>
    <w:p>
      <w:pPr>
        <w:spacing w:after="0" w:line="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We are subject to a broad range of federal, state and local laws and regulations in connection with our core business and private label credit card operations, including labor and employment, customs, privacy and cybersecurity, health and safety, real estate, environmental and zoning and occupancy laws, and other laws and regulations that otherwise govern our business. Our products and their manufacturing, labeling, marketing and sale are also subject to various aspects of the Federal Trade Commission Act, state consumer protection laws and state warning and labeling laws, such as Proposition 65 in California. In addition, various jurisdictions may seek to adopt similar or additional product labeling or warning requirements.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As a retail business, changes in laws related to employee benefits and treatment of employees, including laws related to limitations on employee hours, supervisory status, leaves of absence, mandated health benefits or overtime pay, could negatively impact us by increasing compensation and benefits costs for overtime and medical expenses. Changes to United States health care laws, or potential global and domestic greenhouse gas emission requirements and other environmental legislation and regulations, could result in increased direct compliance costs for us (or may cause our vendors to raise the prices they charge us in order to maintain profitable operations because of increased compliance costs), increased transportation costs or reduced availability of raw materials.</w:t>
      </w:r>
    </w:p>
    <w:p>
      <w:pPr>
        <w:spacing w:after="0" w:line="10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Our business involves receiving, processing, storing, using and sharing data, some of which contains personal information. We are subject to complex and rapidly evolving laws addressing data protection, and companies are under increased regulatory scrutiny with respect to privacy and data security. The interpretation and application of existing laws regarding this subject are continuing to evolve and many states are considering new regulations in this area. Applicable United States privacy laws or new state or federal laws may limit our ability to collect and use data, require us to modify our data processing practices or result in the possibility of fines, litigation or orders which may have an adverse effect on our business and results of operations. As our business evolves, we may be subject to international privacy laws that further limit our data collection and handling practices. We cannot yet fully determine the impact that such future privacy requirements may have on our business or operations. The burdens imposed by these and other laws and regulations that may be enacted, or new interpretations of existing laws and regulations, may also require us to incur substantial costs to reach compliance, change the manner in which we use data, and adversely affect the profitability of our private label credit card program.</w:t>
      </w:r>
    </w:p>
    <w:p>
      <w:pPr>
        <w:spacing w:after="0" w:line="116"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4"/>
          <w:szCs w:val="14"/>
          <w:color w:val="auto"/>
        </w:rPr>
        <w:t>Additionally, we are subject to the terms of our privacy policies and notices and may be bound by contractual requirements applicable to our collection, use, processing and disclosure of personal information, and may be bound by or alleged to be subject to, or voluntarily comply with, self-regulatory or other industry standards relating to these matters. Any failure or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perceived failure by us or any third parties with which we do business to comply with our privacy policies or with other privacy-related obligations to which we or such third parties are or may become subject, may result in investigations or enforcement actions against us by governmental entities, private claims, public statements against us by consumer advocacy groups or others, and fines, penalties or other liabilities. For example, California consumers whose information has been subject to a security incident may bring civil suits under the CCPA, for the greater of actual damages or statutory damages between $100 and $750 per violation. Any such action would be expensive to defend, likely would damage our reputation and market position, could result in substantial liability and could adversely affect our business and results of operations.</w:t>
      </w:r>
    </w:p>
    <w:p>
      <w:pPr>
        <w:spacing w:after="0" w:line="12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Further, in view of new or modified privacy requirements, contractual obligations and other legal obligations, or any changes in their interpretation, we may find it necessary or desirable to fundamentally change our business activities and practices, and to expend significant resources to adapt to these changes. We may be unable to make such changes and modifications in a commercially reasonable manner.</w:t>
      </w:r>
    </w:p>
    <w:p>
      <w:pPr>
        <w:spacing w:after="0" w:line="10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In addition, to the extent we expand our operations as a result of engaging in new business initiatives or product lines, or expanding into new markets, we may become subject to new regulations and regulatory regimes. In addition to increased regulatory compliance, if the regulations applicable to our business operations were to change, it could make conducting our business more expensive or otherwise change the way we do business. We may need to continually reassess our compliance procedures, personnel levels and regulatory framework in order to keep pace with our business initiatives, and there can be no assurance that we will be successful in doing so.</w:t>
      </w:r>
    </w:p>
    <w:p>
      <w:pPr>
        <w:spacing w:after="0" w:line="10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4"/>
          <w:szCs w:val="14"/>
          <w:color w:val="auto"/>
        </w:rPr>
        <w:t>Failure by us, our manufacturers, or our vendors to comply with applicable laws and regulations or to obtain and maintain necessary permits, licenses, compliance certificates and registrations relating to our operations could subject us to administrative and civil penalties, including significant fines, civil liability, criminal liability or sanctions, or other enforcement actions. Any of these actions could result in a material effect on our operating results, business and financial condition, including increased operating costs.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of our company relating to corporate responsibility factors may impose additional costs and expose us to new risks.</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There is an increasing focus from certain investors, clients and other key stakeholders concerning corporate responsibility. We expect that an increased focus on corporate responsibility considerations will affect some aspects of our operations. There are a number of constituencies that are involved in a range of corporate responsibility issues including investors, special interest groups, public and consumer interest groups and third party service providers. As a result, there is an increased emphasis on corporate responsibility ratings and a number of third parties provide reports on companies in order to measure and assess corporate responsibility performance. In addition, the factors by which companies’ corporate responsibility practices are assessed may change, which could result in greater expectations of us and cause us to undertake costly initiatives to satisfy such new criteria. Alternatively, if we are unable to satisfy such new criteria, investors may conclude that our policies with respect to corporate responsibility are inadequate. We risk damage to our brand and reputation in the event that our corporate responsibility procedures or standards do not meet the standards set by various constituencies. We may be required to make substantial investments in matters related to corporate responsibility, which could require significant investment and impact our results of operations. Any failure in our decision-making or related investments in this regard could affect client perceptions as to our brand. Furthermore, if our competitors’ corporate responsibility performance is perceived to be greater than ours, potential or current investors may elect to invest with our competitors instead. In addition, in the event that we communicate certain initiatives and goals regarding corporate responsibility matters, we could fail, or be perceived to fail, in our achievement of such initiatives or goals, or we could be criticized for the scope of such initiatives or goals. If we fail to satisfy the expectations of investors and other key stakeholders or our initiatives are not executed as planned, our reputation and financial results could be materially and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party to a revolving credit facility that contains covenants, which may restrict our current and future operations and could adversely affect our ability to execute our business needs.</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$75 million revolving credit facility that is subject to a borrowing base availability calculation (the “Revolving Credit Facility”) with Bank of America, N.A., as administrative agent, and the lenders party thereto, contains restrictive covenants that limit our ability to, among other things, incur certain additional indebtedness, make certain investments, merge, dissolve, liquidate or consolidate all or substantially all of our assets, make certain dispositions or restricted payments, enter into certain transactions with affiliates or make certain amendments to our organizational documents. The terms of the Revolving Credit Facility may restrict our current and future operations and could adversely affect our ability to finance our future operations or capital needs or to execute business strategies in the means or manner desired. Further, complying with these covenants could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make it more difficult for us to successfully execute our business strategy, invest in our growth strategy and compete against our competitors who may not be subject to such restrictions. In addition, we may not be able to generate sufficient cash flow to meet the financial covenants or pay the principal or interest thereunder.</w:t>
      </w:r>
    </w:p>
    <w:p>
      <w:pPr>
        <w:spacing w:after="0" w:line="10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If we are unable to comply with our payment requirements, our lender may accelerate our obligations under the Revolving Credit Facility and foreclose upon the collateral, or we may be forced to sell assets, restructure our indebtedness or seek additional equity capital, which would dilute our stockholders’ interests. If we fail to comply with our covenants under the Revolving Credit Facility, it could result in an event of default thereunder and our lenders could accelerate the entire indebtedness, which could cause us to be unable to repay our debt or borrow sufficient funds to refinance it. Even if new financing is available, it may be on terms that are unfavorable to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secure additional financing on favorable terms, or at all, to meet our future capital needs, which in turn could impair our growth.</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intend to continue to grow our business, which could require additional capital to expand our distribution, improve our operating infrastructure or finance working capital requirements. Accordingly, we may need to engage in additional equity or debt financings to secure additional capital. If we raise additional capital through future issuances of equity or convertible debt securities, our existing stockholders could suffer significant dilution, and any new equity securities we may issue could have rights, preferences and privileges superior to those holders of our Class A common stock. Any debt financing that we secure in the future could involve restrictive covenants relating to our capital raising activities and other financial and operational matters, which could make it more difficult for us to raise additional capital and to pursue our growth strategies. If we are unable to secure additional funding on favorable terms, or at all, when we need it, our business may be materially adversely affected.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4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power with John Reed (our “Founder”) and (i) the Reed 2013 Generation Skipping Trust, which is an irrevocable trust and of which Messrs. Adams and Beargie are trustees and (ii) the 2018 Reed Dynasty Trust, which is an irrevocable trust and of which Messrs. Adams and Beargie are trustees (collectively, the “Founder Family Trusts”), which gives our Founder and the Founder Family Trusts substantial control over us, including over matters that require the approval of stockholders under our certificate of incorporation and applicable law or stock exchange rules, and their interests may conflict with ours or those of our other stockholders.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Each share of our Class B common stock entitles its holders to ten votes per share on all matters presented to our stockholders generally, while each share of our Class A common stock entitles its holders to one vote per share on all matters presented to our stockholders generally. Our Founder and (i) the John P. Reed Trust dated 4/29/1985, as amended, of which Mr. Reed is trustee, (ii) the Reed 2013 Generation Skipping Trust, of which Messrs. Adams and Beargie are trustees, and (iii) the 2018 Reed Dynasty Trust, of which Messrs. Adams and Beargie are trustees (collectively, “the Class B Trusts”) control the voting power of all of the outstanding Class B common stock. As of February 13, 2026, our Founder beneficially holds approximately 31.98% of our outstanding capital stock and controls approximately 48.73% of the voting power of our outstanding capital stock. As of February 13, 2026, the Founder Family Trusts beneficially hold approximately 29.79% of our outstanding capital stock and control approximately 45.44% of the voting power of our outstanding capital stock. The current independent co-trustees of the Founder Family Trusts, Albert Adams and Bill Beargie, are also directors of the Company. Our Founder does not have the right to direct or control the voting of the shares of Class B common stock that are held by the Founder Family Trusts, and the independent co-trustees have sole voting and dispositive power over the Class B common stock held by the Founder Family Trusts. However, our Founder is the settlor of the Founder Family Trusts and is related to a majority of the beneficiaries of the Founder Family Trusts, and his views may be taken into account by the co-trustees and others related to the Founder Family Trusts. Future transfers by holders of Class B common stock will generally result in those shares converting to Class A common stock, subject to limited exceptions. The conversion of Class B common stock to Class A common stock will have the effect, over time, of increasing the relative voting power of those holders of Class B common stock who retain their shares in the long term. The shares of Class B common stock will automatically convert into shares of Class A common stock on the earliest to occur of (i) twelve months after the death or incapacity of our Founder, and (ii) the date upon which the then outstanding shares of Class B common stock first represent less than 10% of the voting power of the then outstanding shares of Class A common stock and Class B common stock.</w:t>
      </w:r>
    </w:p>
    <w:p>
      <w:pPr>
        <w:spacing w:after="0" w:line="12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concentration of ownership could deprive stockholders of an opportunity to receive a premium for shares of our Class A common stock as part of a sale of the Company and ultimately might affect the market price of our Class A common stock.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may adversely affect the trading market for our Class A common stock.</w:t>
      </w:r>
    </w:p>
    <w:p>
      <w:pPr>
        <w:spacing w:after="0" w:line="15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We cannot predict whether our dual class structure will result in a lower or more volatile market price of our Class A common stock, in adverse publicity or other adverse consequences. For example, certain indices may have eligibility criteria that exclude companies with multiple classes of shares of common stock.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 In addition,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for our Class A common stock could be adversely affected.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law may protect decisions of our Board of Directors that have a different effect on holders of our Class A common stock and Class B common stock.</w:t>
      </w:r>
    </w:p>
    <w:p>
      <w:pPr>
        <w:spacing w:after="0" w:line="1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Stockholders may not be able to challenge decisions that have an adverse effect upon holders of our Class A common stock compared to holders of our Class B common stock if our Board of Directors acts in a disinterested, informed manner with respect to these decisions, in good faith and in the belief that it is acting in the best interests of our stockholders. Delaware law generally provides that a Board of Directors owes an equal duty to all stockholders, regardless of class or series, and does not have separate or additional duties to different groups of stockholders, subject to applicable provisions set forth in a corporation’s certificate of incorporation and general principles of corporate law and fiduciary duties.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trading volume and marketability of our Class A common stock may be significantly affected by numerous factors, some of which are beyond our control.</w:t>
      </w:r>
    </w:p>
    <w:p>
      <w:pPr>
        <w:spacing w:after="0" w:line="14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4"/>
          <w:szCs w:val="14"/>
          <w:color w:val="auto"/>
        </w:rPr>
        <w:t>The market price and trading volume of our Class A common stock may fluctuate and/or decline significantly. Many factors that are beyond our control may materially adversely affect the market price of our Class A common stock and the marketability of our Class A common stock. These factors include, but are not limited to, the following:</w:t>
      </w:r>
    </w:p>
    <w:p>
      <w:pPr>
        <w:spacing w:after="0" w:line="93" w:lineRule="exact"/>
        <w:rPr>
          <w:sz w:val="20"/>
          <w:szCs w:val="20"/>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conditions, including inflation and factors affecting the housing market;</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securities analysts to continue to cover our common stock or changes in financial estimates or recommendations by analysts;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valuation or earnings of our competitors;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our annual or quarterly results of our operations, including our earnings estimates and whether we meet market expectations with regard to our earnings;</w:t>
      </w:r>
    </w:p>
    <w:p>
      <w:pPr>
        <w:spacing w:after="0" w:line="7" w:lineRule="exact"/>
        <w:rPr>
          <w:rFonts w:ascii="Times New Roman" w:cs="Times New Roman" w:eastAsia="Times New Roman" w:hAnsi="Times New Roman"/>
          <w:sz w:val="14"/>
          <w:szCs w:val="14"/>
          <w:color w:val="auto"/>
        </w:rPr>
      </w:pPr>
    </w:p>
    <w:p>
      <w:pPr>
        <w:ind w:left="520" w:right="20" w:hanging="263"/>
        <w:spacing w:after="0" w:line="25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companies in the retail and consumer goods sectors in which our business operates, which may not be related to the operating performance of these companies and which may not reflect the performance of our business;</w:t>
      </w: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preferences of our customers;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significant price reductions or promotions by us or our competitors;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transactions by principal stockholders;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price performance of our competitors;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price and volume fluctuations in the stock market generally;</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negative earnings or other announcements by us or other retail companies;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downgrades in our credit ratings or the credit ratings of our competitors;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or man-made disasters or other similar events including public health issues or pandemics;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legal and regulatory changes unrelated to our performance.</w:t>
      </w:r>
    </w:p>
    <w:p>
      <w:pPr>
        <w:spacing w:after="0" w:line="14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addition to market and industry factors, the price and trading volume for our Class A common stock may be highly volatile for factors that are specific to our company. These factors include, but are not limited to, our low public float, and that we have a controlling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anti-takeover provisions could prevent or delay a change in control of the Company, even if such change in control would be beneficial to our stockholders.</w:t>
      </w:r>
    </w:p>
    <w:p>
      <w:pPr>
        <w:spacing w:after="0" w:line="15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Provisions of our amended and restated certificate of incorporation and amended and restated bylaws, as well as provisions of Delaware law, could discourage, delay or prevent a merger, acquisition or other change in control of our Company, even if such change in control would be beneficial to our stockholders. These provisions include:</w:t>
      </w:r>
    </w:p>
    <w:p>
      <w:pPr>
        <w:spacing w:after="0" w:line="93" w:lineRule="exact"/>
        <w:rPr>
          <w:sz w:val="20"/>
          <w:szCs w:val="20"/>
          <w:color w:val="auto"/>
        </w:rPr>
      </w:pP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authorizing the issuance of “blank check” preferred stock that could be issued by our Board of Directors to increase the number of outstanding shares and thwart a takeover attempt;</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classified board structure;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removal of directors only for cause;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the use of cumulative voting for the election of directors;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ability of stockholders to call special meetings or amend our bylaws;</w:t>
      </w:r>
    </w:p>
    <w:p>
      <w:pPr>
        <w:spacing w:after="0" w:line="7" w:lineRule="exact"/>
        <w:rPr>
          <w:rFonts w:ascii="Times New Roman" w:cs="Times New Roman" w:eastAsia="Times New Roman" w:hAnsi="Times New Roman"/>
          <w:sz w:val="14"/>
          <w:szCs w:val="14"/>
          <w:color w:val="auto"/>
        </w:rPr>
      </w:pPr>
    </w:p>
    <w:p>
      <w:pPr>
        <w:ind w:left="520" w:right="140" w:hanging="263"/>
        <w:spacing w:after="0" w:line="25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advance notice and duration of ownership requirements for nominations for election to the Board of Directors or for proposing matters that can be acted upon by stockholders at stockholder meetings; and</w:t>
      </w:r>
    </w:p>
    <w:p>
      <w:pPr>
        <w:ind w:left="500" w:hanging="243"/>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upon majority vote to amend or repeal our bylaws.</w:t>
      </w:r>
    </w:p>
    <w:p>
      <w:pPr>
        <w:spacing w:after="0" w:line="13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These provisions could also discourage proxy contests and make it more difficult for stockholders to elect directors of their choosing and cause us to take other corporate actions as such stockholders may desire. In addition, because our Board of Directors is responsible for appointing our executive officers, these provisions could in turn affect any attempt by our stockholders to replace current executive officers.</w:t>
      </w:r>
    </w:p>
    <w:p>
      <w:pPr>
        <w:spacing w:after="0" w:line="11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9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us to issue one or more series of preferred stock. Our Board of Directors will have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or unreserved common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Nasdaq rules and qualify for and may rely on exemptions from certain corporate governance requirements.</w:t>
      </w:r>
    </w:p>
    <w:p>
      <w:pPr>
        <w:spacing w:after="0" w:line="15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4"/>
          <w:szCs w:val="14"/>
          <w:color w:val="auto"/>
        </w:rPr>
        <w:t>Because our Founder and the Class B Trusts hold more than a majority of the total voting power of our common stock, we are a “controlled company” within the meaning of Nasdaq rules. Under these rules, a company of which more than 50% of the voting power with respect to the election of directors is held by another person or group of persons acting together is a “controlled company” and may elect not to comply with certain stock exchange rules regarding corporate governance, including the following requirements:</w:t>
      </w:r>
    </w:p>
    <w:p>
      <w:pPr>
        <w:spacing w:after="0" w:line="104" w:lineRule="exact"/>
        <w:rPr>
          <w:sz w:val="20"/>
          <w:szCs w:val="20"/>
          <w:color w:val="auto"/>
        </w:rPr>
      </w:pP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majority of its Board of Directors consist of independent directors;</w:t>
      </w:r>
    </w:p>
    <w:p>
      <w:pPr>
        <w:spacing w:after="0" w:line="22" w:lineRule="exact"/>
        <w:rPr>
          <w:rFonts w:ascii="Times New Roman" w:cs="Times New Roman" w:eastAsia="Times New Roman" w:hAnsi="Times New Roman"/>
          <w:sz w:val="14"/>
          <w:szCs w:val="14"/>
          <w:color w:val="auto"/>
        </w:rPr>
      </w:pPr>
    </w:p>
    <w:p>
      <w:pPr>
        <w:jc w:val="both"/>
        <w:ind w:left="520" w:right="60" w:hanging="263"/>
        <w:spacing w:after="0" w:line="25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ind w:left="500" w:hanging="243"/>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its compensation committee be composed solely of independent directors with a written charter addressing the committee’s purpose and responsibilities.</w:t>
      </w:r>
    </w:p>
    <w:p>
      <w:pPr>
        <w:spacing w:after="0" w:line="130"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Although we have not elected to be treated as a controlled company and use these exemptions, if we chose to do so in the future our stockholders may not have the same protections afforded to stockholders of companies that are subject to all of Nasdaq rules regarding corporate governance, which could make our Class A stock less attractive to investors or otherwise harm our stock price.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Future sales of shares of Class A common stock, or the perception in the public market that such sales may occur, could adversely affect the market price of our Class A common stock. Our stockholders could be diluted by such future sales and be further diluted upon the conversion of Class B common stock into Class A common stock.</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Future sales of our shares could adversely affect the market price of our Class A common stock. If our existing stockholders sell a large number of shares, or if we issue a large number of shares of our common stock in connection with future acquisitions, strategic alliances, third-party investments and private placements or otherwise, the market price of our Class A common stock could decline significantly. Moreover, the perception in the public market that these stockholders might sell shares could depress the market price of our Class A common stock. In the aggregate, as of February 13, 2026, our Founder beneficially owns 45,078,259 shares of our Class B common stock, and the Founder Family Trusts, in the aggregate, beneficially own 42,037,341 shares of Class B common stock, representing all of the outstanding shares of Class B common stock. The shares of Class B common stock beneficially owned by our Founder represent approximately 48.72% of our total voting power. The shares of Class B common stock beneficially owned by the Founder Family Trusts represent, in the aggregate, approximately 45.44% of our total voting power.</w:t>
      </w:r>
    </w:p>
    <w:p>
      <w:pPr>
        <w:spacing w:after="0" w:line="11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Any potential sale, disposition or distribution of our common stock or the perception that such sale, disposition or distribution could occur, could adversely affect prevailing market prices of our Class A common stock.</w:t>
      </w:r>
    </w:p>
    <w:p>
      <w:pPr>
        <w:spacing w:after="0" w:line="9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about our business, or if they change their recommendations regarding our Class A common stock adversely, our stock price and trading volume could decline.</w:t>
      </w:r>
    </w:p>
    <w:p>
      <w:pPr>
        <w:spacing w:after="0" w:line="1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trading market for our Class A common stock is and will be influenced by the research and reports that industry or securities analysts publish about us or our business. We do not have any control over these analysts. If one or more of the analysts who cover us downgrade our Class A common stock or describe us or our business in a negative manner, the price of our Class A common stock would likely decline. If one or more of these analysts cease coverage of our Company or fails to regularly publish reports on us, we could lose visibility in the financial markets, which in turn could cause the price or trading volume of our Class A common stock to decline. In addition, if we fail to meet the expectations and forecasts for our business provided by securities analysts, the price of our Class A common stock could decline.</w:t>
      </w:r>
    </w:p>
    <w:p>
      <w:pPr>
        <w:spacing w:after="0" w:line="11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Delaware law and our corporate organizational and governing documents impose various impediments to the ability of a third party to acquire control of us, which could deprive our investors of the opportunity to receive a premium for their shares.</w:t>
      </w:r>
    </w:p>
    <w:p>
      <w:pPr>
        <w:spacing w:after="0" w:line="9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We are a Delaware corporation, and the anti-takeover provisions of the Delaware General Corporation Law, or the DGCL, our amended and restated certificate of incorporation, and our amended and restated bylaws, impose various impediments to the ability of a third party to acquire control of us, even if a change of control would be beneficial to our stockholders.</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9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Our amended and restated bylaws provide that a majority of our Board of Directors may call special meetings of our stockholders. Our amended and restated certificate of incorporation also permit the issuance without stockholder approval of authorized but unissued shares of common stock and preferred stock.</w:t>
      </w:r>
    </w:p>
    <w:p>
      <w:pPr>
        <w:spacing w:after="0" w:line="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amended and restated bylaws require advanced notice and duration requirements for stockholder proposals to be brought before an annual meeting of stockholders, including proposed nominations of candidates for election to our Board of Directors. Stockholders at an annual meeting may consider only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Further, our amended and restated bylaws provide that our bylaws may be amended or repealed by a majority vote of our Board of Directors or by the affirmative vote of a majority of the votes which all our stockholders would be eligible to cast in an election of directors.</w:t>
      </w:r>
    </w:p>
    <w:p>
      <w:pPr>
        <w:spacing w:after="0" w:line="122"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4"/>
          <w:szCs w:val="14"/>
          <w:color w:val="auto"/>
        </w:rPr>
        <w:t>The foregoing factors, as well as the significant common stock ownership by our Founder, could impede a merger, takeover or other business combination or discourage a potential investor from making a tender offer for our Class A common stock that could result in a premium over the market price for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any action to interpret, apply or enforce or determine the validity of our amended and restated certificate of incorporation or amended and restated bylaws, any action as to which the DGCL confers jurisdiction to the Court of Chancery of the State of Delaware,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will be the exclusive forum for the resolution of any complaint asserting a cause or causes of action against any defendant arising under the Securities Act, subject to and contingent upon a final adjudication in the State of Delaware of the enforceability of such exclusive forum provision. Such provision is intended to benefit and may be enforced by us, our officers and directors, employees and agents, including underwriters and any other professional or entity who has prepared or certified any part of this Annual Report. Nothing in our amended and restated certificate of incorporation precludes stockholders that assert claims under the Exchange Act from bringing such claims in state or federal court, subject to applicable law.</w:t>
      </w:r>
    </w:p>
    <w:p>
      <w:pPr>
        <w:spacing w:after="0" w:line="1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present risks which may not be fully covered by insurance.</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carry comprehensive insurance against the hazards and risks underlying our operations. We believe our insurance policies are customary in the industry; however, some losses and liabilities associated with our operations may not be covered by our insurance policies. In addition, there can be no assurance that we will be able to obtain similar insurance coverage on favorable terms (or at all) in the future. Significant uninsured losses and liabilities could have a material adverse effect on our financial condition and results of operations. Furthermore, our insurance is subject to deductibles. As a result, certain large claims, even if covered by insurance, may require a substantial cash outlay by us, which could have a material adverse effect on our financial condition and results of operations.</w:t>
      </w:r>
    </w:p>
    <w:p>
      <w:pPr>
        <w:spacing w:after="0" w:line="11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As a public reporting company, we are subject to the Nasdaq rules and the rules and regulations established from time to time by the SEC regarding our internal control over financial reporting. If we continue to fail to establish and maintain effective internal control over financial reporting and disclosure controls and procedures, we may not be able to accurately report our financial results, or report them in a timely manner in the future.</w:t>
      </w:r>
    </w:p>
    <w:p>
      <w:pPr>
        <w:spacing w:after="0" w:line="10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As a public reporting company, we are subject to the Nasdaq rules and the rules and regulations established from time to time by the SEC. These rules and regulations require, among other things, that we establish and periodically evaluate procedures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with respect to our internal control over financial reporting. Reporting obligations as a public company place a considerable strain on our financial and management systems, processes and controls, as well as on our personnel.</w:t>
      </w:r>
    </w:p>
    <w:p>
      <w:pPr>
        <w:spacing w:after="0" w:line="10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addition, as a public company we are required to document and test our internal control over financial reporting pursuant to Section 404 of the Sarbanes-Oxley Act so that our management can evaluate the effectiveness of our internal control over financial reporting. Likewise, our independent registered public accounting firm is required to provide an attestation report on the effectiveness of our internal control over financial reporting. If our management is unable to certify the effectiveness of our internal control or if our independent registered public accounting firm cannot deliver a report attesting to the effectiveness of our internal control over financial reporting, or if we identify or fail to remediate any significant deficiencies or material weaknesses in our internal controls, we could be subject to regulatory scrutiny and a loss of public confidence, which could seriously harm our reputation, and the price per share of our Class A common stock could decline.</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have and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Further, if we do not maintain adequate financial and management personnel, processes, and controls, we may not be able to manage our business effectively or accurately report our financial performance on a timely basis, our business could be adversely affected and the price per share of our Class A common stock price could decline.</w:t>
      </w:r>
    </w:p>
    <w:p>
      <w:pPr>
        <w:spacing w:after="0" w:line="11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4"/>
          <w:szCs w:val="14"/>
          <w:color w:val="auto"/>
        </w:rPr>
        <w:t>At this time, we are unable to assert that our internal control over financial reporting is effective and our independent registered public accounting firm is unable to express an opinion as to the effectiveness of our internal control over financial reporting. See Item 9A Controls and Procedures, for management’s annual report on internal control over financial reporting as of December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Risk Management and Strategy</w:t>
      </w:r>
    </w:p>
    <w:p>
      <w:pPr>
        <w:spacing w:after="0" w:line="14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Cybersecurity is a critical priority and is integrated into our enterprise risk management framework. The Company maintains a risk-based, multi-dimensional cybersecurity program, guided by the National Institute of Standards and Technology Cybersecurity Framework 2.0 (“NIST CSF”). This program is designed to assess, identify, and manage material risks from potential threats to our data, systems, and networks, as well as those of our primary third-party suppliers.</w:t>
      </w:r>
    </w:p>
    <w:p>
      <w:pPr>
        <w:spacing w:after="0" w:line="10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consult with outside advisors and experts to assist with assessing, identifying, and managing cybersecurity risks, including to anticipate future threats and trends, and their impact on the Company’s risk environment. We deploy a suite of physical, administrative, and technological safeguards to protect our information systems, including personal data (employee, client, consumer and business partner), intellectual property, and confidential business information. These protections are designed to maintain the confidentiality, integrity, and availability of all information housed within our network infrastructure.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Key processes include:</w:t>
      </w:r>
    </w:p>
    <w:p>
      <w:pPr>
        <w:spacing w:after="0" w:line="143" w:lineRule="exact"/>
        <w:rPr>
          <w:sz w:val="20"/>
          <w:szCs w:val="20"/>
          <w:color w:val="auto"/>
        </w:rPr>
      </w:pPr>
    </w:p>
    <w:p>
      <w:pPr>
        <w:ind w:left="520" w:right="320" w:hanging="263"/>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Risk-Based Controls: </w:t>
      </w:r>
      <w:r>
        <w:rPr>
          <w:rFonts w:ascii="Times New Roman" w:cs="Times New Roman" w:eastAsia="Times New Roman" w:hAnsi="Times New Roman"/>
          <w:sz w:val="14"/>
          <w:szCs w:val="14"/>
          <w:color w:val="auto"/>
        </w:rPr>
        <w:t>We continuously improve our cybersecurity program’s maturity, risk management framework, policies, procedures, and governance. Security controls are selected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based on likelihood and severity of risk, impact on the Company and stakeholders, feasibility and cost, and operational impact.</w:t>
      </w:r>
    </w:p>
    <w:p>
      <w:pPr>
        <w:spacing w:after="0" w:line="89" w:lineRule="exact"/>
        <w:rPr>
          <w:rFonts w:ascii="Times New Roman" w:cs="Times New Roman" w:eastAsia="Times New Roman" w:hAnsi="Times New Roman"/>
          <w:sz w:val="14"/>
          <w:szCs w:val="14"/>
          <w:color w:val="auto"/>
        </w:rPr>
      </w:pPr>
    </w:p>
    <w:p>
      <w:pPr>
        <w:ind w:left="520" w:right="340" w:hanging="263"/>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Incident Response Plan and Testing: </w:t>
      </w:r>
      <w:r>
        <w:rPr>
          <w:rFonts w:ascii="Times New Roman" w:cs="Times New Roman" w:eastAsia="Times New Roman" w:hAnsi="Times New Roman"/>
          <w:sz w:val="14"/>
          <w:szCs w:val="14"/>
          <w:color w:val="auto"/>
        </w:rPr>
        <w:t>We maintain a written incident response plan and dedicated teams to respond to incidents. Cross-functional teams assess priority and severity,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external experts may be consulted. Regular tabletop breach exercises, penetration tests, and simulations are conducted to improve our response capabilities.</w:t>
      </w:r>
    </w:p>
    <w:p>
      <w:pPr>
        <w:spacing w:after="0" w:line="99" w:lineRule="exact"/>
        <w:rPr>
          <w:rFonts w:ascii="Times New Roman" w:cs="Times New Roman" w:eastAsia="Times New Roman" w:hAnsi="Times New Roman"/>
          <w:sz w:val="14"/>
          <w:szCs w:val="14"/>
          <w:color w:val="auto"/>
        </w:rPr>
      </w:pPr>
    </w:p>
    <w:p>
      <w:pPr>
        <w:ind w:left="520" w:right="440" w:hanging="263"/>
        <w:spacing w:after="0" w:line="287" w:lineRule="auto"/>
        <w:tabs>
          <w:tab w:leader="none" w:pos="516"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Education and Training: </w:t>
      </w:r>
      <w:r>
        <w:rPr>
          <w:rFonts w:ascii="Times New Roman" w:cs="Times New Roman" w:eastAsia="Times New Roman" w:hAnsi="Times New Roman"/>
          <w:sz w:val="14"/>
          <w:szCs w:val="14"/>
          <w:color w:val="auto"/>
        </w:rPr>
        <w:t>Our employees undergo cybersecurity awareness training and regular phishing awareness campaigns that are based upon and designed to emulate real-world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contemporary threats. We work with external partners to develop and deliver education and training to mitigate cybersecurity risks.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right="340" w:hanging="263"/>
        <w:spacing w:after="0" w:line="287" w:lineRule="auto"/>
        <w:tabs>
          <w:tab w:leader="none" w:pos="516"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Third-Party Risk Management: </w:t>
      </w:r>
      <w:r>
        <w:rPr>
          <w:rFonts w:ascii="Times New Roman" w:cs="Times New Roman" w:eastAsia="Times New Roman" w:hAnsi="Times New Roman"/>
          <w:sz w:val="14"/>
          <w:szCs w:val="14"/>
          <w:color w:val="auto"/>
        </w:rPr>
        <w:t>Targeted cybersecurity assessments of suppliers are executed, evaluating their risk profiles and using a rating mechanism to identify vulnerabilities.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Cybersecurity risks associated with third-party service providers including suppliers, software and cloud-based service providers are considered during contracting and vendor selection.</w:t>
      </w:r>
    </w:p>
    <w:p>
      <w:pPr>
        <w:spacing w:after="0" w:line="10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 Company (or the third parties it relies on) may not be able to fully, continuously, or effectively design and implement security controls as intended. As described above, we utilize a risk-based approach and judgment to determine whether and how to implement certain security controls and it is possible that we may not implement the necessary controls if we are unable to recognize or underestimate a particular risk. In addition, security controls, no matter how well designed or implemented, may only mitigate and not fully eliminate cybersecurity risks. Cybersecurity events, when detected by security tools or third parties, may not always be identified immediately or addressed in the manner intended by our cybersecurity incident response plan.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Program Maturity and Continuous Improvement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regularly assess our information security program against the NIST CSF and benchmark our maturity against leading practices in the retail sector.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Cybersecurity Risks</w:t>
      </w:r>
    </w:p>
    <w:p>
      <w:pPr>
        <w:spacing w:after="0" w:line="14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Based on the information available as of the date of this Form 10-K, we have no reason to believe any risks from cybersecurity threats, including previous incidents, have materially affected or are reasonably likely to materially affect us, including our business strategy, results of operations or financial condition. For additional information, see Item 1A, “Risk Factors” in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Cybersecurity Governance</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Company’s cybersecurity risk management and strategy processes are led by our Chief Information Officer (“CIO”), Chief Information Security Officer (“CISO”) and a dedicated cybersecurity team with experience across multiple industries in various roles involving managing information security, developing cybersecurity strategy, implementing effective information and cybersecurity programs and managing multiple industry and regulatory compliance environments. Cybersecurity and data privacy are priority matters as part of our management of risks. Our principal objectives are to protect our information technology equipment, networks, systems, and personal data (employee, client, consumer and business partner), as well as our intellectual property and confidential business information.</w:t>
      </w:r>
    </w:p>
    <w:p>
      <w:pPr>
        <w:spacing w:after="0" w:line="11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In support of these objectives, our Information Security Team (“IST”), a function that spans our organization, has designed a strategy using the NIST CSF to mitigate cybersecurity risks that could result in the unauthorized access to and disruption of systems, as well as unauthorized access to and acquisition and manipulation of data. In addition, our IST regularly meets with its business partners on cyber risk education and mitigation through communication of our projects and standards. Our CISO, who reports to our CIO, is responsible for implementing the NIST CSF.</w:t>
      </w:r>
    </w:p>
    <w:p>
      <w:pPr>
        <w:spacing w:after="0" w:line="10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4"/>
          <w:szCs w:val="14"/>
          <w:color w:val="auto"/>
        </w:rPr>
        <w:t>Cybersecurity is an important part of our overall risk management processes and the Technology Committee (“Committee”) of our Board of Directors has primary oversight responsibility for cybersecurity and other technology risks. The Committee reviews and discusses with management our cybersecurity, privacy and data security programs, the status of projects to strengthen internal systems and any significant cybersecurity incidents. The Committee also reviews with management the implementation and effectiveness of the Company’s controls to monitor and mitigate cybersecurity risks. In addition, our Board of Directors receives periodic updates regarding our cybersecurity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Our corporate headquarters and primary distribution center are located at 51 E. Hines Hill Road, Boston Heights, Ohio, just outside of Cleveland, Ohio. We believe that our current corporate headquarters and facilities are well maintained. The following table sets forth the location, use and size of our corporate, distribution, manufacturing, warehouse, and retail facilities as of December 31,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20" w:type="dxa"/>
            <w:vAlign w:val="bottom"/>
            <w:gridSpan w:val="2"/>
          </w:tcPr>
          <w:p>
            <w:pPr>
              <w:ind w:left="1560"/>
              <w:spacing w:after="0"/>
              <w:rPr>
                <w:sz w:val="20"/>
                <w:szCs w:val="20"/>
                <w:color w:val="auto"/>
              </w:rPr>
            </w:pPr>
            <w:r>
              <w:rPr>
                <w:rFonts w:ascii="Times New Roman" w:cs="Times New Roman" w:eastAsia="Times New Roman" w:hAnsi="Times New Roman"/>
                <w:sz w:val="14"/>
                <w:szCs w:val="14"/>
                <w:b w:val="1"/>
                <w:bCs w:val="1"/>
                <w:color w:val="auto"/>
              </w:rPr>
              <w:t>Use</w:t>
            </w:r>
          </w:p>
        </w:tc>
        <w:tc>
          <w:tcPr>
            <w:tcW w:w="26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Approximate Gross Square Footage</w:t>
            </w:r>
          </w:p>
        </w:tc>
      </w:tr>
      <w:tr>
        <w:trPr>
          <w:trHeight w:val="170"/>
        </w:trPr>
        <w:tc>
          <w:tcPr>
            <w:tcW w:w="5080" w:type="dxa"/>
            <w:vAlign w:val="bottom"/>
            <w:tcBorders>
              <w:top w:val="single" w:sz="8" w:color="auto"/>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Boston Heights, Ohio</w:t>
            </w:r>
            <w:r>
              <w:rPr>
                <w:rFonts w:ascii="Times New Roman" w:cs="Times New Roman" w:eastAsia="Times New Roman" w:hAnsi="Times New Roman"/>
                <w:sz w:val="18"/>
                <w:szCs w:val="18"/>
                <w:color w:val="auto"/>
                <w:vertAlign w:val="superscript"/>
              </w:rPr>
              <w:t>(1)</w:t>
            </w:r>
          </w:p>
        </w:tc>
        <w:tc>
          <w:tcPr>
            <w:tcW w:w="80" w:type="dxa"/>
            <w:vAlign w:val="bottom"/>
            <w:tcBorders>
              <w:top w:val="single" w:sz="8" w:color="CCEEFF"/>
            </w:tcBorders>
            <w:shd w:val="clear" w:color="auto" w:fill="CCEEFF"/>
          </w:tcPr>
          <w:p>
            <w:pPr>
              <w:spacing w:after="0"/>
              <w:rPr>
                <w:sz w:val="14"/>
                <w:szCs w:val="14"/>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headquarters and distribution center</w:t>
            </w:r>
          </w:p>
        </w:tc>
        <w:tc>
          <w:tcPr>
            <w:tcW w:w="8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1,028,500</w:t>
            </w:r>
          </w:p>
        </w:tc>
      </w:tr>
      <w:tr>
        <w:trPr>
          <w:trHeight w:val="179"/>
        </w:trPr>
        <w:tc>
          <w:tcPr>
            <w:tcW w:w="51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4"/>
                <w:szCs w:val="14"/>
                <w:color w:val="auto"/>
              </w:rPr>
              <w:t>Conover, North Carolina</w:t>
            </w:r>
            <w:r>
              <w:rPr>
                <w:rFonts w:ascii="Times New Roman" w:cs="Times New Roman" w:eastAsia="Times New Roman" w:hAnsi="Times New Roman"/>
                <w:sz w:val="18"/>
                <w:szCs w:val="18"/>
                <w:color w:val="auto"/>
                <w:vertAlign w:val="superscript"/>
              </w:rPr>
              <w:t>(1)</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center and manufacturing facility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497,000</w:t>
            </w:r>
          </w:p>
        </w:tc>
      </w:tr>
      <w:tr>
        <w:trPr>
          <w:trHeight w:val="179"/>
        </w:trPr>
        <w:tc>
          <w:tcPr>
            <w:tcW w:w="51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Hickory, North Carolina</w:t>
            </w:r>
            <w:r>
              <w:rPr>
                <w:rFonts w:ascii="Times New Roman" w:cs="Times New Roman" w:eastAsia="Times New Roman" w:hAnsi="Times New Roman"/>
                <w:sz w:val="18"/>
                <w:szCs w:val="18"/>
                <w:color w:val="auto"/>
                <w:vertAlign w:val="superscript"/>
              </w:rPr>
              <w:t>(1)</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55,100</w:t>
            </w:r>
          </w:p>
        </w:tc>
      </w:tr>
      <w:tr>
        <w:trPr>
          <w:trHeight w:val="179"/>
        </w:trPr>
        <w:tc>
          <w:tcPr>
            <w:tcW w:w="51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4"/>
                <w:szCs w:val="14"/>
                <w:color w:val="auto"/>
              </w:rPr>
              <w:t>Dallas, Texas</w:t>
            </w:r>
            <w:r>
              <w:rPr>
                <w:rFonts w:ascii="Times New Roman" w:cs="Times New Roman" w:eastAsia="Times New Roman" w:hAnsi="Times New Roman"/>
                <w:sz w:val="18"/>
                <w:szCs w:val="18"/>
                <w:color w:val="auto"/>
                <w:vertAlign w:val="superscript"/>
              </w:rPr>
              <w:t>(1)</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center</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800,700</w:t>
            </w:r>
          </w:p>
        </w:tc>
      </w:tr>
      <w:tr>
        <w:trPr>
          <w:trHeight w:val="179"/>
        </w:trPr>
        <w:tc>
          <w:tcPr>
            <w:tcW w:w="51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Walton Hills, Ohio</w:t>
            </w:r>
            <w:r>
              <w:rPr>
                <w:rFonts w:ascii="Times New Roman" w:cs="Times New Roman" w:eastAsia="Times New Roman" w:hAnsi="Times New Roman"/>
                <w:sz w:val="18"/>
                <w:szCs w:val="18"/>
                <w:color w:val="auto"/>
                <w:vertAlign w:val="superscript"/>
              </w:rPr>
              <w:t>(1)</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235,900</w:t>
            </w:r>
          </w:p>
        </w:tc>
      </w:tr>
      <w:tr>
        <w:trPr>
          <w:trHeight w:val="179"/>
        </w:trPr>
        <w:tc>
          <w:tcPr>
            <w:tcW w:w="516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4"/>
                <w:szCs w:val="14"/>
                <w:color w:val="auto"/>
              </w:rPr>
              <w:t>Elyria, Ohio</w:t>
            </w:r>
            <w:r>
              <w:rPr>
                <w:rFonts w:ascii="Times New Roman" w:cs="Times New Roman" w:eastAsia="Times New Roman" w:hAnsi="Times New Roman"/>
                <w:sz w:val="18"/>
                <w:szCs w:val="18"/>
                <w:color w:val="auto"/>
                <w:vertAlign w:val="superscript"/>
              </w:rPr>
              <w:t>(1)</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Warehouse</w:t>
            </w:r>
          </w:p>
        </w:tc>
        <w:tc>
          <w:tcPr>
            <w:tcW w:w="2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310,000</w:t>
            </w:r>
          </w:p>
        </w:tc>
      </w:tr>
      <w:tr>
        <w:trPr>
          <w:trHeight w:val="179"/>
        </w:trPr>
        <w:tc>
          <w:tcPr>
            <w:tcW w:w="5160" w:type="dxa"/>
            <w:vAlign w:val="bottom"/>
            <w:gridSpan w:val="2"/>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Traditional Showrooms, Design Studios and Lofts</w:t>
            </w:r>
            <w:r>
              <w:rPr>
                <w:rFonts w:ascii="Times New Roman" w:cs="Times New Roman" w:eastAsia="Times New Roman" w:hAnsi="Times New Roman"/>
                <w:sz w:val="18"/>
                <w:szCs w:val="18"/>
                <w:color w:val="auto"/>
                <w:vertAlign w:val="superscript"/>
              </w:rPr>
              <w:t>(1)(2)</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1,835,500</w:t>
            </w:r>
          </w:p>
        </w:tc>
      </w:tr>
    </w:tbl>
    <w:p>
      <w:pPr>
        <w:spacing w:after="0" w:line="55" w:lineRule="exact"/>
        <w:rPr>
          <w:sz w:val="20"/>
          <w:szCs w:val="20"/>
          <w:color w:val="auto"/>
        </w:rPr>
      </w:pPr>
    </w:p>
    <w:p>
      <w:pPr>
        <w:ind w:left="100" w:hanging="96"/>
        <w:spacing w:after="0"/>
        <w:tabs>
          <w:tab w:leader="none" w:pos="100" w:val="left"/>
        </w:tabs>
        <w:numPr>
          <w:ilvl w:val="0"/>
          <w:numId w:val="2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 xml:space="preserve">See Note 7 — </w:t>
      </w:r>
      <w:r>
        <w:rPr>
          <w:rFonts w:ascii="Times New Roman" w:cs="Times New Roman" w:eastAsia="Times New Roman" w:hAnsi="Times New Roman"/>
          <w:sz w:val="9"/>
          <w:szCs w:val="9"/>
          <w:i w:val="1"/>
          <w:iCs w:val="1"/>
          <w:color w:val="auto"/>
        </w:rPr>
        <w:t>Leases</w:t>
      </w:r>
      <w:r>
        <w:rPr>
          <w:rFonts w:ascii="Times New Roman" w:cs="Times New Roman" w:eastAsia="Times New Roman" w:hAnsi="Times New Roman"/>
          <w:sz w:val="9"/>
          <w:szCs w:val="9"/>
          <w:color w:val="auto"/>
        </w:rPr>
        <w:t xml:space="preserve"> to our Consolidated Financial Statements included elsewhere in this Form 10-K.</w:t>
      </w:r>
    </w:p>
    <w:p>
      <w:pPr>
        <w:spacing w:after="0" w:line="14" w:lineRule="exact"/>
        <w:rPr>
          <w:rFonts w:ascii="Times New Roman" w:cs="Times New Roman" w:eastAsia="Times New Roman" w:hAnsi="Times New Roman"/>
          <w:sz w:val="11"/>
          <w:szCs w:val="11"/>
          <w:color w:val="auto"/>
          <w:vertAlign w:val="superscript"/>
        </w:rPr>
      </w:pPr>
    </w:p>
    <w:p>
      <w:pPr>
        <w:ind w:left="100" w:hanging="96"/>
        <w:spacing w:after="0"/>
        <w:tabs>
          <w:tab w:leader="none" w:pos="100" w:val="left"/>
        </w:tabs>
        <w:numPr>
          <w:ilvl w:val="0"/>
          <w:numId w:val="2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We lease our Traditional Showrooms, Design Studios and Lofts in multiple locations across 31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 on management and employees. Further, we could receive unfavorable preliminary or interim rulings in the course of litigation, and there can be no assurance that favorable final outcomes will be obtained.</w:t>
      </w:r>
    </w:p>
    <w:p>
      <w:pPr>
        <w:spacing w:after="0" w:line="112" w:lineRule="exact"/>
        <w:rPr>
          <w:sz w:val="20"/>
          <w:szCs w:val="20"/>
          <w:color w:val="auto"/>
        </w:rPr>
      </w:pPr>
    </w:p>
    <w:p>
      <w:pPr>
        <w:jc w:val="both"/>
        <w:ind w:right="400"/>
        <w:spacing w:after="0" w:line="284" w:lineRule="auto"/>
        <w:rPr>
          <w:sz w:val="20"/>
          <w:szCs w:val="20"/>
          <w:color w:val="auto"/>
        </w:rPr>
      </w:pPr>
      <w:r>
        <w:rPr>
          <w:rFonts w:ascii="Times New Roman" w:cs="Times New Roman" w:eastAsia="Times New Roman" w:hAnsi="Times New Roman"/>
          <w:sz w:val="14"/>
          <w:szCs w:val="14"/>
          <w:color w:val="auto"/>
        </w:rPr>
        <w:t>We are currently not a party to any legal proceedings, the outcome of which, if determined adversely to us, would individually or in the aggregate have a material adverse effect on our business, financial condition or results of operations. See Note 11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elsewhere in this Annual Report for further details.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trades on the Nasdaq Global Select Market under the symbol “ARHS.” There is no public trading market for our Class B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15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4"/>
          <w:szCs w:val="14"/>
          <w:color w:val="auto"/>
        </w:rPr>
        <w:t>The following table contains information with respect to repurchases of shares made by the Company during the three months ended December 31, 2025. The table reflects shares delivered to the Company by employees to satisfy tax withholding obligations due upon the vesting of restricted stock units. These shares were not repurchased in connection with any publicly announced share repurchase programs.</w:t>
      </w:r>
    </w:p>
    <w:p>
      <w:pPr>
        <w:sectPr>
          <w:pgSz w:w="11900" w:h="16838" w:orient="portrait"/>
          <w:cols w:equalWidth="0" w:num="1">
            <w:col w:w="11260"/>
          </w:cols>
          <w:pgMar w:left="300" w:top="125" w:right="339" w:bottom="1440" w:gutter="0" w:footer="0" w:header="0"/>
        </w:sectPr>
      </w:pPr>
    </w:p>
    <w:p>
      <w:pPr>
        <w:spacing w:after="0" w:line="2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2025</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November 2025</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December 2025</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price paid</w:t>
            </w: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 of</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 may yet</w:t>
            </w:r>
          </w:p>
        </w:tc>
      </w:tr>
      <w:tr>
        <w:trPr>
          <w:trHeight w:val="187"/>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purchased</w:t>
            </w:r>
          </w:p>
        </w:tc>
        <w:tc>
          <w:tcPr>
            <w:tcW w:w="34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80" w:type="dxa"/>
            <w:vAlign w:val="bottom"/>
          </w:tcPr>
          <w:p>
            <w:pPr>
              <w:spacing w:after="0"/>
              <w:rPr>
                <w:sz w:val="16"/>
                <w:szCs w:val="16"/>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 purchased under publicly announced plans</w:t>
            </w:r>
          </w:p>
        </w:tc>
      </w:tr>
      <w:tr>
        <w:trPr>
          <w:trHeight w:val="168"/>
        </w:trPr>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4"/>
                <w:szCs w:val="14"/>
                <w:color w:val="auto"/>
              </w:rPr>
            </w:pPr>
          </w:p>
        </w:tc>
        <w:tc>
          <w:tcPr>
            <w:tcW w:w="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tcPr>
          <w:p>
            <w:pPr>
              <w:spacing w:after="0"/>
              <w:rPr>
                <w:sz w:val="14"/>
                <w:szCs w:val="14"/>
                <w:color w:val="auto"/>
              </w:rPr>
            </w:pPr>
          </w:p>
        </w:tc>
        <w:tc>
          <w:tcPr>
            <w:tcW w:w="2740" w:type="dxa"/>
            <w:vAlign w:val="bottom"/>
            <w:tcBorders>
              <w:top w:val="single" w:sz="8" w:color="auto"/>
            </w:tcBorders>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2860" w:type="dxa"/>
            <w:vAlign w:val="bottom"/>
            <w:tcBorders>
              <w:top w:val="single" w:sz="8" w:color="auto"/>
            </w:tcBorders>
          </w:tcPr>
          <w:p>
            <w:pPr>
              <w:ind w:left="2660"/>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5"/>
                <w:szCs w:val="15"/>
                <w:color w:val="auto"/>
              </w:rPr>
            </w:pPr>
          </w:p>
        </w:tc>
        <w:tc>
          <w:tcPr>
            <w:tcW w:w="284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6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gridSpan w:val="2"/>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6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12,627</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4"/>
                <w:szCs w:val="14"/>
                <w:color w:val="auto"/>
              </w:rPr>
            </w:pPr>
          </w:p>
        </w:tc>
        <w:tc>
          <w:tcPr>
            <w:tcW w:w="2740" w:type="dxa"/>
            <w:vAlign w:val="bottom"/>
            <w:tcBorders>
              <w:top w:val="single" w:sz="8" w:color="auto"/>
              <w:bottom w:val="single" w:sz="8" w:color="auto"/>
            </w:tcBorders>
          </w:tcPr>
          <w:p>
            <w:pPr>
              <w:ind w:left="2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2860" w:type="dxa"/>
            <w:vAlign w:val="bottom"/>
            <w:tcBorders>
              <w:top w:val="single" w:sz="8" w:color="auto"/>
              <w:bottom w:val="single" w:sz="8" w:color="auto"/>
            </w:tcBorders>
          </w:tcPr>
          <w:p>
            <w:pPr>
              <w:ind w:left="26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-260350</wp:posOffset>
            </wp:positionV>
            <wp:extent cx="7148830" cy="113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830" cy="113665"/>
                    </a:xfrm>
                    <a:prstGeom prst="rect">
                      <a:avLst/>
                    </a:prstGeom>
                    <a:noFill/>
                  </pic:spPr>
                </pic:pic>
              </a:graphicData>
            </a:graphic>
          </wp:anchor>
        </w:drawing>
        <w:drawing>
          <wp:anchor simplePos="0" relativeHeight="251657728" behindDoc="1" locked="0" layoutInCell="0" allowOverlap="1">
            <wp:simplePos x="0" y="0"/>
            <wp:positionH relativeFrom="column">
              <wp:posOffset>-1089025</wp:posOffset>
            </wp:positionH>
            <wp:positionV relativeFrom="paragraph">
              <wp:posOffset>-494665</wp:posOffset>
            </wp:positionV>
            <wp:extent cx="7148830" cy="1206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830" cy="1206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1020" w:space="700"/>
            <w:col w:w="9540"/>
          </w:cols>
          <w:pgMar w:left="300" w:top="1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4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As of February 20, 2026, there were 99 stockholders of record of our Class A common stock and 3 stockholders of record of our Class B common stock. The actual number of holders of our Class A and Class B common stock is greater than the number of record holders stated above, and includes stockholders who are beneficial owners, but whose shares are held in “street name” by brokers or other nominees. The number of holders of record presented here also does not include beneficial stockholders whose shares may be held in trust by other entities.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6"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w:t>
      </w:r>
    </w:p>
    <w:p>
      <w:pPr>
        <w:spacing w:after="0" w:line="9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auto"/>
        </w:rPr>
        <w:t>On February 17, 2026, the Board of Directors of the Company declared a special cash dividend on the Company’s Class A and Class B common stock of $0.35 per share, payable March 31, 2026, to shareholders of record at the close of business on March 18, 2026 (the “Record Date”).</w:t>
      </w:r>
    </w:p>
    <w:p>
      <w:pPr>
        <w:spacing w:after="0" w:line="15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5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graph below presents our cumulative total shareholder returns on our common stock relative to the performance of the Nasdaq Global Composite Index and the Dow Jones U.S. Furnishings Index. The graph assumes $100 was invested in our Class A common stock at the market close on November 4, 2021, which was the first day our Class A common stock began trading, and its relative performance is tracked through December 31, 2025. The graph uses the closing market price on November 4, 2021 of $12.80 per share as the initial value of our Class A common stock. Data for the Company, Nasdaq Global Composite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Index and Dow Jones U.S. Furnishings Index assumes reinvestment of dividends. The performance shown in the graph below is based upon historical data and is not indicative of, nor intended to forecast, future performance of our Class A common stock.</w:t>
      </w:r>
    </w:p>
    <w:p>
      <w:pPr>
        <w:spacing w:after="0" w:line="1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74930</wp:posOffset>
            </wp:positionV>
            <wp:extent cx="4364355" cy="2543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64355" cy="254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 and Use of Proceeds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We have prepared this Management's Discussion and Analysis (“MD&amp;A”) as an aid to understanding our financial results. It should be read together with the accompanying consolidated financial statements and related notes. It includes management’s analysis of past financial results and certain potential factors that may affect future results, potential future risks and approaches that may be used to manage those risks. Some of the statements we make in this section are forward-looking statements within the meaning of the federal securities laws. For a complete discussion of forward-looking statements, see the section in this Annual Report entitled “Special Note Regarding Forward-Looking Statements.” In addition to the discussion of potential risks discussed in MD&amp;A, certain other risk factors may cause actual results, performance or achievements to differ materially from those expressed or implied by the following discussion. For a discussion of such risk factors, see the section in this Annual Report entitled “Risk Factors.”</w:t>
      </w:r>
    </w:p>
    <w:p>
      <w:pPr>
        <w:spacing w:after="0" w:line="111"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4"/>
          <w:szCs w:val="14"/>
          <w:color w:val="auto"/>
        </w:rPr>
        <w:t>This discussion and analysis addresses 2025 and 2024 items and year-over-year comparisons between 2025 and 2024. Discussions regarding our financial condition and results of operations for 2024 compared to 2023 not included in this Annual Report can be found in “Management’s Discussion and Analysis of Financial Condition and Results of Operations” in our Annual Report on Form 10-K for the fiscal year ended December 31, 2024.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Founded in 1986 by John Reed, our CEO, and his father, Arhaus is a premium home furnishings brand built on a simple idea: furniture and décor should be responsibly sourced, lovingly made, and built to last. We operate a vertically integrated model, designing and sourcing products directly from skilled artisans and carefully selected manufacturing vendors around the world, including domestic upholstery production at our own North Carolina manufacturing facility. This approach enables us to offer a highly exclusive and customizable assortment of heirloom-quality furniture and décor designed to be used and enjoyed for generations. Design is at the core of everything Arhaus does. With more than 100 Showroom locations across the United States, our integrated omni-channel model connects every client touchpoint, from Showroom and interior design to eCommerce and catalog, allowing us to meet clients wherever and however they choose to shop while delivering a highly personalized client-first experience from discovery through delivery.</w:t>
      </w:r>
    </w:p>
    <w:p>
      <w:pPr>
        <w:spacing w:after="0" w:line="1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Our vertically integrated model, inclusive of design and product development teams, upholstery manufacturing capabilities, direct vendor sourcing, direct-to-consumer and direct-to-trade selling, allows Arhaus to maintain greater control over product quality, design integrity, and value. We offer merchandise across a broad range of categories, including furniture, outdoor, bath, lighting, textiles and décor. Our curated assortments are presented across our sales channels in sophisticated, family-friendly and lifestyle-oriented settings.</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Based on third-party reports, publicly available data, and our internal research, we believe the United States premium home furnishings market is approximately $100 billion. This highly fragmented market is served by a large number of independent retailers, which we believe provides us a meaningful opportunity to increase market share over time. We believe that we are well positioned to grow market share through our differentiated brand positioning, scale, and strong resonance with affluent clients who value quality, craftsmanship, and design.</w:t>
      </w:r>
    </w:p>
    <w:p>
      <w:pPr>
        <w:spacing w:after="0" w:line="11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4"/>
          <w:szCs w:val="14"/>
          <w:color w:val="auto"/>
        </w:rPr>
        <w:t>Products are designed for use throughout the home and are sourced directly from a global network of nearly 400 vendors. Through close collaboration with Arhaus product development teams and sourcing relationships, and supported by our vertically integrated model, we believe we are able to deliver high-quality products at a compelling value.</w:t>
      </w:r>
    </w:p>
    <w:p>
      <w:pPr>
        <w:spacing w:after="0" w:line="9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Arhaus strives to deliver a welcoming and inspirational experience across both Showrooms and eCommerce, guided by our belief that retail is theater. Showrooms are immersive, design-forward spaces that serve as an important driver of brand awareness and client engagement, while our eCommerce channel functions as a seamless extension of the physical Showroom experience. Our experienced design consultants and interior designers provide expert guidance and personalized service, supporting clients throughout their shopping journey. As of December 31, 2025, the Company operated 107 Showrooms in 31 states, consisting of 90 Traditional Showrooms, 9 Design Studios and 8 Lofts.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Showrooms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92"/>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Design Studios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9"/>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Lofts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2"/>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Showrooms</w:t>
            </w:r>
          </w:p>
        </w:tc>
        <w:tc>
          <w:tcPr>
            <w:tcW w:w="96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0"/>
        </w:trPr>
        <w:tc>
          <w:tcPr>
            <w:tcW w:w="8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0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gross square footage (in thousands)</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r>
      <w:tr>
        <w:trPr>
          <w:trHeight w:val="20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with interior designers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3"/>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States where we operate</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Business</w:t>
      </w:r>
    </w:p>
    <w:p>
      <w:pPr>
        <w:spacing w:after="0" w:line="15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Our business performance and results of operations have been, and will continue to be, affected by the factors described below. While each of these key factors presents significant opportunities for our business, they also pose challenges that we must successfully address in order to sustain growth, improve our results of operations and achieve and maintain profitability.</w:t>
      </w:r>
    </w:p>
    <w:p>
      <w:pPr>
        <w:spacing w:after="0" w:line="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i w:val="1"/>
          <w:iCs w:val="1"/>
          <w:color w:val="auto"/>
        </w:rPr>
        <w:t>Overall Economic Trends</w:t>
      </w:r>
      <w:r>
        <w:rPr>
          <w:rFonts w:ascii="Times New Roman" w:cs="Times New Roman" w:eastAsia="Times New Roman" w:hAnsi="Times New Roman"/>
          <w:sz w:val="14"/>
          <w:szCs w:val="14"/>
          <w:color w:val="auto"/>
        </w:rPr>
        <w:t>. The industry in which we operate is cyclical, and our net revenue is affected by general economic conditions, including conditions that affect the housing market and broader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macroeconomic factors including the health and volatility of the stock market. We target consumers of high-end home furnishings. As a result, we believe that our sales are sensitive to a number of macroeconomic factors that influence consumer spending generally, and that our sales are particularly affected by the health of the higher end consumer and demand levels from that consumer demographic. While the overall home furnishings market may be influenced by factors such as employment levels, interest rates, new household formation and the affordability of homes for first time home buyers, the higher end of the housing market may be disproportionately influenced by other factors, including stock market prices, the number of second and third homes being purchased and sold, tax policies, interest rates, and perceived capital appreciation prospects in higher end real estate. Shifts in consumption patterns may continue to have an impact on consumer spending in the United States premium home furnishings market. In the past, we have experienced volatility in our sales trends related to many of these factors and believe our sales may be impacted by these economic factors in future periods.</w:t>
      </w:r>
    </w:p>
    <w:p>
      <w:pPr>
        <w:spacing w:after="0" w:line="11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4"/>
          <w:szCs w:val="14"/>
          <w:i w:val="1"/>
          <w:iCs w:val="1"/>
          <w:color w:val="auto"/>
        </w:rPr>
        <w:t>Housing Market and Housing Turnover</w:t>
      </w:r>
      <w:r>
        <w:rPr>
          <w:rFonts w:ascii="Times New Roman" w:cs="Times New Roman" w:eastAsia="Times New Roman" w:hAnsi="Times New Roman"/>
          <w:sz w:val="14"/>
          <w:szCs w:val="14"/>
          <w:color w:val="auto"/>
        </w:rPr>
        <w:t>. Our business depends on consumer demand for our products and is therefore sensitive to a number of factors that influence consumer spending,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among other things, housing prices, new construction, other activity in the housing sector, the state of the mortgage industry and other aspects of consumer credit tied to housing, including the availability and pricing of mortgage refinancing and home equity lines of credit. In particular, periods of increased or decreased home purchases may lead to increased or decreased consumer spending on home furnishings.</w:t>
      </w:r>
    </w:p>
    <w:p>
      <w:pPr>
        <w:spacing w:after="0" w:line="1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Our Strategic Initiatives. </w:t>
      </w:r>
      <w:r>
        <w:rPr>
          <w:rFonts w:ascii="Times New Roman" w:cs="Times New Roman" w:eastAsia="Times New Roman" w:hAnsi="Times New Roman"/>
          <w:sz w:val="14"/>
          <w:szCs w:val="14"/>
          <w:color w:val="auto"/>
        </w:rPr>
        <w:t>We are implementing a number of strategic initiatives that have had, and will continue to have, an impact on our results of operations. These initiatives include expanding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Showroom footprint, enhancing our digital marketing capabilities and eCommerce sales channel, increasing our product assortment, expanding our supply chain infrastructure, and continuing to invest in technology and related systems enhancements. As a result of the number of current business initiatives we are pursuing, we have experienced in the past, and may experience in the future, significant period-to-period variability in our financial performance and results of operations. While we anticipate that these initiatives will support the growth of our business, costs and timing issues associated with pursuing these initiatives can negatively affect our growth and profitability rates in the near term and may amplify fluctuations in our growth rates from quarter to quarter.</w:t>
      </w:r>
    </w:p>
    <w:p>
      <w:pPr>
        <w:spacing w:after="0" w:line="10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i w:val="1"/>
          <w:iCs w:val="1"/>
          <w:color w:val="auto"/>
        </w:rPr>
        <w:t>Our Ability to Source and Distribute Products Effectively</w:t>
      </w:r>
      <w:r>
        <w:rPr>
          <w:rFonts w:ascii="Times New Roman" w:cs="Times New Roman" w:eastAsia="Times New Roman" w:hAnsi="Times New Roman"/>
          <w:sz w:val="14"/>
          <w:szCs w:val="14"/>
          <w:color w:val="auto"/>
        </w:rPr>
        <w:t>. Our net revenue and gross margin are affected by our ability to purchase merchandise in sufficient quantities at competitive prices. Our level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net revenue has been adversely affected in prior periods by supply chain constraints, including the inability of our vendors to produce or ship sufficient quantities of some merchandise to match market demand from our clients, leading to higher levels of client backlog.</w:t>
      </w:r>
    </w:p>
    <w:p>
      <w:pPr>
        <w:spacing w:after="0" w:line="10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14"/>
          <w:szCs w:val="14"/>
          <w:i w:val="1"/>
          <w:iCs w:val="1"/>
          <w:color w:val="auto"/>
        </w:rPr>
        <w:t>Consumer Preferences and Demand</w:t>
      </w:r>
      <w:r>
        <w:rPr>
          <w:rFonts w:ascii="Times New Roman" w:cs="Times New Roman" w:eastAsia="Times New Roman" w:hAnsi="Times New Roman"/>
          <w:sz w:val="14"/>
          <w:szCs w:val="14"/>
          <w:color w:val="auto"/>
        </w:rPr>
        <w:t>. Our ability to maintain our appeal with existing clients and to attract new clients depends on our ability to design, develop and offer a compelling product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assortment responsive to client preferences and design trends. If we misjudge the market for our products or the product lines that we acquire, we may be faced with excess inventories for some products and may be required to become more promotional in our selling activities, which would impact our net revenue and gross margin.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i w:val="1"/>
          <w:iCs w:val="1"/>
          <w:color w:val="auto"/>
        </w:rPr>
        <w:t>Seasonality in Quarterly Results</w:t>
      </w:r>
      <w:r>
        <w:rPr>
          <w:rFonts w:ascii="Times New Roman" w:cs="Times New Roman" w:eastAsia="Times New Roman" w:hAnsi="Times New Roman"/>
          <w:sz w:val="14"/>
          <w:szCs w:val="14"/>
          <w:color w:val="auto"/>
        </w:rPr>
        <w:t>. Our quarterly results vary depending upon a variety of factors, including changes in our product offerings and the introduction of new merchandise assortments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categories, the opening of new retail locations, shifts in the timing of various events including holidays and other events such as Showroom closures, catalog releases, promotional events and the extent of our realization of the costs and benefits of our numerous strategic initiatives, among other things. As a result of these factors, our working capital requirements and demands on our distribution and delivery network may fluctuate during the year. Unique factors in any given quarter may affect period-to-period comparisons among the quarters being compared, and the results for any quarter are not necessarily indicative of the results that we may achieve for a full year.</w:t>
      </w:r>
    </w:p>
    <w:p>
      <w:pPr>
        <w:spacing w:after="0" w:line="12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For example, our large catalogs and storewide sales for the spring and fall may drive higher written sales in the months they occur than in the other months in the year. Variable expenses related to written sales will also be higher in those months. Net revenue related to written sales is recorded in later months, depending on when the client obtains control of the merchandise.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We Assess the Performance of Our Business</w:t>
      </w:r>
    </w:p>
    <w:p>
      <w:pPr>
        <w:spacing w:after="0" w:line="1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In addition to U.S. GAAP results, this 10-K contains references to the non-GAAP financial measures below. We use these non-GAAP measures to help assess the performance of our business, identify trends affecting our business, formulate 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w:t>
      </w:r>
    </w:p>
    <w:p>
      <w:pPr>
        <w:spacing w:after="0" w:line="114"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spacing w:after="0" w:line="11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i w:val="1"/>
          <w:iCs w:val="1"/>
          <w:color w:val="auto"/>
        </w:rPr>
        <w:t>Net Revenue and Written Sales (Formerly “Demand”)</w:t>
      </w:r>
      <w:r>
        <w:rPr>
          <w:rFonts w:ascii="Times New Roman" w:cs="Times New Roman" w:eastAsia="Times New Roman" w:hAnsi="Times New Roman"/>
          <w:sz w:val="14"/>
          <w:szCs w:val="14"/>
          <w:color w:val="auto"/>
        </w:rPr>
        <w:t>. Net revenue is recognized when a client obtains control of the merchandise. We also track written sales in our business which is a key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i w:val="1"/>
          <w:iCs w:val="1"/>
          <w:color w:val="auto"/>
        </w:rPr>
        <w:t>Comparable Delivered Sales (Formerly “Comparable Growth”)</w:t>
      </w:r>
      <w:r>
        <w:rPr>
          <w:rFonts w:ascii="Times New Roman" w:cs="Times New Roman" w:eastAsia="Times New Roman" w:hAnsi="Times New Roman"/>
          <w:sz w:val="14"/>
          <w:szCs w:val="14"/>
          <w:color w:val="auto"/>
        </w:rPr>
        <w:t>. Comparable Delivered Sales is the year-over-year percentage change of the dollar value of orders delivered (based on purchase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w:t>
      </w:r>
    </w:p>
    <w:p>
      <w:pPr>
        <w:spacing w:after="0" w:line="12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4"/>
          <w:szCs w:val="14"/>
          <w:color w:val="auto"/>
        </w:rPr>
        <w:t>Comparable Delivered Sales provides management 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w:t>
      </w:r>
    </w:p>
    <w:p>
      <w:pPr>
        <w:spacing w:after="0" w:line="10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i w:val="1"/>
          <w:iCs w:val="1"/>
          <w:color w:val="auto"/>
        </w:rPr>
        <w:t>Comparable Written Sales (Formerly “Demand Comparable Growth”)</w:t>
      </w:r>
      <w:r>
        <w:rPr>
          <w:rFonts w:ascii="Times New Roman" w:cs="Times New Roman" w:eastAsia="Times New Roman" w:hAnsi="Times New Roman"/>
          <w:sz w:val="14"/>
          <w:szCs w:val="14"/>
          <w:color w:val="auto"/>
        </w:rPr>
        <w:t>. Comparable Written Sales is the year-over-year percentage change in written sales from our comparable Showrooms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While the underlying written sales that support this metric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trends and believes investors may find them useful when reviewed alongside reported results and other key metrics.</w:t>
      </w:r>
    </w:p>
    <w:p>
      <w:pPr>
        <w:spacing w:after="0" w:line="10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Gross Margin. </w:t>
      </w:r>
      <w:r>
        <w:rPr>
          <w:rFonts w:ascii="Times New Roman" w:cs="Times New Roman" w:eastAsia="Times New Roman" w:hAnsi="Times New Roman"/>
          <w:sz w:val="14"/>
          <w:szCs w:val="14"/>
          <w:color w:val="auto"/>
        </w:rPr>
        <w:t>Gross margin is equal to our net revenue less cost of goods sold. Cost of goods sold includes the direct cost of purchased merchandise, inventory reserves, inbound freight, all freight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Selling, General and Administrative Expenses. </w:t>
      </w:r>
      <w:r>
        <w:rPr>
          <w:rFonts w:ascii="Times New Roman" w:cs="Times New Roman" w:eastAsia="Times New Roman" w:hAnsi="Times New Roman"/>
          <w:sz w:val="14"/>
          <w:szCs w:val="14"/>
          <w:color w:val="auto"/>
        </w:rPr>
        <w:t>Selling, general and administrative (“SG&amp;A”) expenses include all operating costs not included in cost of goods sold. These expenses include payroll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We define EBITDA as consolidated net income before depreciation and amortization, interest income, net and income tax expense.</w:t>
      </w:r>
    </w:p>
    <w:p>
      <w:pPr>
        <w:spacing w:after="0" w:line="1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We believe that adjusted EBITDA is a useful measure of operating performance as the adjustments eliminate items that we believe are not reflective of underlying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our net and comprehensive income to EBITDA and adjusted EBITDA for the periods presented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6"/>
                <w:szCs w:val="16"/>
                <w:color w:val="auto"/>
              </w:rPr>
            </w:pPr>
          </w:p>
        </w:tc>
      </w:tr>
      <w:tr>
        <w:trPr>
          <w:trHeight w:val="200"/>
        </w:trPr>
        <w:tc>
          <w:tcPr>
            <w:tcW w:w="83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1"/>
        </w:trPr>
        <w:tc>
          <w:tcPr>
            <w:tcW w:w="83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w:t>
            </w:r>
          </w:p>
        </w:tc>
      </w:tr>
      <w:tr>
        <w:trPr>
          <w:trHeight w:val="17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(3,163)</w:t>
            </w:r>
          </w:p>
        </w:tc>
      </w:tr>
      <w:tr>
        <w:trPr>
          <w:trHeight w:val="17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22,372</w:t>
            </w:r>
          </w:p>
        </w:tc>
      </w:tr>
      <w:tr>
        <w:trPr>
          <w:trHeight w:val="17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46,793</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39,086</w:t>
            </w:r>
          </w:p>
        </w:tc>
      </w:tr>
      <w:tr>
        <w:trPr>
          <w:trHeight w:val="17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135,740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126,845</w:t>
            </w:r>
          </w:p>
        </w:tc>
      </w:tr>
      <w:tr>
        <w:trPr>
          <w:trHeight w:val="17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r>
      <w:tr>
        <w:trPr>
          <w:trHeight w:val="179"/>
        </w:trPr>
        <w:tc>
          <w:tcPr>
            <w:tcW w:w="83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Other expenses (income)</w:t>
            </w:r>
            <w:r>
              <w:rPr>
                <w:rFonts w:ascii="Times New Roman" w:cs="Times New Roman" w:eastAsia="Times New Roman" w:hAnsi="Times New Roman"/>
                <w:sz w:val="18"/>
                <w:szCs w:val="18"/>
                <w:color w:val="auto"/>
                <w:vertAlign w:val="superscript"/>
              </w:rPr>
              <w:t>(1)</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r>
      <w:tr>
        <w:trPr>
          <w:trHeight w:val="17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145,092</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133,283</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right="240" w:firstLine="4"/>
        <w:spacing w:after="0" w:line="297" w:lineRule="auto"/>
        <w:tabs>
          <w:tab w:leader="none" w:pos="103" w:val="left"/>
        </w:tabs>
        <w:numPr>
          <w:ilvl w:val="0"/>
          <w:numId w:val="24"/>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Other expenses (income) represent costs and investments not indicative of ongoing business performance, such as loss (gain) on disposal of assets. For the year ended December 31, 2025, these other expenses (income) consisted largely of $0.1 million of loss on disposal of assets. For the year ended December 31, 2024, these other expenses (income) consisted largely of $1.2 million of gain on disposal of assets.</w:t>
      </w:r>
    </w:p>
    <w:p>
      <w:pPr>
        <w:spacing w:after="0" w:line="288"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4"/>
          <w:szCs w:val="14"/>
          <w:i w:val="1"/>
          <w:iCs w:val="1"/>
          <w:color w:val="auto"/>
        </w:rPr>
        <w:t>Free Cash Flow</w:t>
      </w:r>
      <w:r>
        <w:rPr>
          <w:rFonts w:ascii="Times New Roman" w:cs="Times New Roman" w:eastAsia="Times New Roman" w:hAnsi="Times New Roman"/>
          <w:sz w:val="14"/>
          <w:szCs w:val="14"/>
          <w:color w:val="auto"/>
        </w:rPr>
        <w:t>. We define Free Cash Flow as net cash provided by operating activities less net cash used in investing activities. We believe that Free Cash Flow is a useful measure that is helpful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Comparability of our Results of Operations</w:t>
      </w:r>
    </w:p>
    <w:p>
      <w:pPr>
        <w:spacing w:after="0" w:line="147"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4"/>
          <w:szCs w:val="14"/>
          <w:color w:val="auto"/>
        </w:rPr>
        <w:t>Our results over the past two years have been affected by the following events, which must be understood in order to assess the comparability of our period-to-period financial performance and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Showroom Openings and Closings</w:t>
      </w:r>
    </w:p>
    <w:p>
      <w:pPr>
        <w:spacing w:after="0" w:line="15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4"/>
          <w:szCs w:val="14"/>
          <w:color w:val="auto"/>
        </w:rPr>
        <w:t>New Showrooms contribute incremental expense, new Showroom opening expense and net revenue to the Company. Our recent Showroom growth from January 1, 2024 to December 31, 2025 is summarized in the following table:</w:t>
      </w:r>
    </w:p>
    <w:p>
      <w:pPr>
        <w:spacing w:after="0" w:line="155"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beginning of period</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79"/>
        </w:trPr>
        <w:tc>
          <w:tcPr>
            <w:tcW w:w="9320" w:type="dxa"/>
            <w:vAlign w:val="bottom"/>
            <w:gridSpan w:val="2"/>
          </w:tcPr>
          <w:p>
            <w:pPr>
              <w:ind w:left="100"/>
              <w:spacing w:after="0" w:line="179" w:lineRule="exact"/>
              <w:rPr>
                <w:sz w:val="20"/>
                <w:szCs w:val="20"/>
                <w:color w:val="auto"/>
              </w:rPr>
            </w:pPr>
            <w:r>
              <w:rPr>
                <w:rFonts w:ascii="Times New Roman" w:cs="Times New Roman" w:eastAsia="Times New Roman" w:hAnsi="Times New Roman"/>
                <w:sz w:val="14"/>
                <w:szCs w:val="14"/>
                <w:color w:val="auto"/>
              </w:rPr>
              <w:t xml:space="preserve">Showrooms opened </w:t>
            </w:r>
            <w:r>
              <w:rPr>
                <w:rFonts w:ascii="Times New Roman" w:cs="Times New Roman" w:eastAsia="Times New Roman" w:hAnsi="Times New Roman"/>
                <w:sz w:val="18"/>
                <w:szCs w:val="18"/>
                <w:color w:val="auto"/>
                <w:vertAlign w:val="superscript"/>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9"/>
        </w:trPr>
        <w:tc>
          <w:tcPr>
            <w:tcW w:w="9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Showrooms closed for relocations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9"/>
        </w:trPr>
        <w:tc>
          <w:tcPr>
            <w:tcW w:w="8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Showrooms closed permanently</w:t>
            </w: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Showrooms open at end of period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00" w:hanging="96"/>
        <w:spacing w:after="0"/>
        <w:tabs>
          <w:tab w:leader="none" w:pos="100" w:val="left"/>
        </w:tabs>
        <w:numPr>
          <w:ilvl w:val="0"/>
          <w:numId w:val="2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Showrooms opened during the respective periods includes both new and relocated Showrooms.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key components of our results of operations for the periods indicated and should be read together with our consolidated financial statements and related notes.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Data (in thousands):</w:t>
      </w:r>
    </w:p>
    <w:p>
      <w:pPr>
        <w:spacing w:after="0" w:line="17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15240</wp:posOffset>
            </wp:positionV>
            <wp:extent cx="187452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74520" cy="698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1,379,222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1,271,107</w:t>
            </w:r>
          </w:p>
        </w:tc>
      </w:tr>
      <w:tr>
        <w:trPr>
          <w:trHeight w:val="20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842,814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769,878</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Gross margin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536,408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501,229</w:t>
            </w:r>
          </w:p>
        </w:tc>
      </w:tr>
      <w:tr>
        <w:trPr>
          <w:trHeight w:val="20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447,441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415,426</w:t>
            </w:r>
          </w:p>
        </w:tc>
      </w:tr>
      <w:tr>
        <w:trPr>
          <w:trHeight w:val="20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r>
      <w:tr>
        <w:trPr>
          <w:trHeight w:val="180"/>
        </w:trPr>
        <w:tc>
          <w:tcPr>
            <w:tcW w:w="8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87,005</w:t>
            </w:r>
          </w:p>
        </w:tc>
      </w:tr>
      <w:tr>
        <w:trPr>
          <w:trHeight w:val="20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r>
      <w:tr>
        <w:trPr>
          <w:trHeight w:val="20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180"/>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before taxes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90,922</w:t>
            </w:r>
          </w:p>
        </w:tc>
      </w:tr>
      <w:tr>
        <w:trPr>
          <w:trHeight w:val="20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22,372</w:t>
            </w:r>
          </w:p>
        </w:tc>
      </w:tr>
      <w:tr>
        <w:trPr>
          <w:trHeight w:val="195"/>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67,256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1">
            <w:col w:w="11260"/>
          </w:cols>
          <w:pgMar w:left="300" w:top="125" w:right="339" w:bottom="1440" w:gutter="0" w:footer="0" w:header="0"/>
        </w:sectPr>
      </w:pPr>
    </w:p>
    <w:p>
      <w:pPr>
        <w:spacing w:after="0"/>
        <w:rPr>
          <w:sz w:val="20"/>
          <w:szCs w:val="20"/>
          <w:color w:val="auto"/>
        </w:rPr>
      </w:pPr>
      <w:r>
        <w:rPr>
          <w:rFonts w:ascii="Times New Roman" w:cs="Times New Roman" w:eastAsia="Times New Roman" w:hAnsi="Times New Roman"/>
          <w:sz w:val="14"/>
          <w:szCs w:val="14"/>
          <w:b w:val="1"/>
          <w:bCs w:val="1"/>
          <w:color w:val="231F20"/>
        </w:rPr>
        <w:t>Other Operational Data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48830" cy="127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83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Comparable delivered sales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Comparable written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48830" cy="1270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83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margin as a % of net revenue</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48830" cy="127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83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operations as a % of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7148830" cy="133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830" cy="13398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and comprehensive income as a % of net revenue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148830" cy="1136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830" cy="1136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Adjusted EBITDA as a % of net revenue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Showrooms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48830" cy="1270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830" cy="127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200152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01520" cy="698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5"/>
        </w:trPr>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1,379,222</w:t>
            </w:r>
          </w:p>
        </w:tc>
        <w:tc>
          <w:tcPr>
            <w:tcW w:w="8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1,271,107</w:t>
            </w:r>
          </w:p>
        </w:tc>
      </w:tr>
      <w:tr>
        <w:trPr>
          <w:trHeight w:val="200"/>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0"/>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0"/>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39.4 %</w:t>
            </w:r>
          </w:p>
        </w:tc>
      </w:tr>
      <w:tr>
        <w:trPr>
          <w:trHeight w:val="200"/>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32.7 %</w:t>
            </w:r>
          </w:p>
        </w:tc>
      </w:tr>
      <w:tr>
        <w:trPr>
          <w:trHeight w:val="200"/>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r>
      <w:tr>
        <w:trPr>
          <w:trHeight w:val="211"/>
        </w:trPr>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67,256</w:t>
            </w:r>
          </w:p>
        </w:tc>
        <w:tc>
          <w:tcPr>
            <w:tcW w:w="80" w:type="dxa"/>
            <w:vAlign w:val="bottom"/>
          </w:tcPr>
          <w:p>
            <w:pPr>
              <w:spacing w:after="0"/>
              <w:rPr>
                <w:sz w:val="18"/>
                <w:szCs w:val="18"/>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68,550</w:t>
            </w:r>
          </w:p>
        </w:tc>
      </w:tr>
      <w:tr>
        <w:trPr>
          <w:trHeight w:val="207"/>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3"/>
        </w:trPr>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145,092</w:t>
            </w:r>
          </w:p>
        </w:tc>
        <w:tc>
          <w:tcPr>
            <w:tcW w:w="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133,283</w:t>
            </w:r>
          </w:p>
        </w:tc>
      </w:tr>
      <w:tr>
        <w:trPr>
          <w:trHeight w:val="196"/>
        </w:trPr>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r>
      <w:tr>
        <w:trPr>
          <w:trHeight w:val="183"/>
        </w:trPr>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bl>
    <w:p>
      <w:pPr>
        <w:spacing w:after="0" w:line="67" w:lineRule="exact"/>
        <w:rPr>
          <w:sz w:val="20"/>
          <w:szCs w:val="20"/>
          <w:color w:val="auto"/>
        </w:rPr>
      </w:pPr>
    </w:p>
    <w:p>
      <w:pPr>
        <w:sectPr>
          <w:pgSz w:w="11900" w:h="16838" w:orient="portrait"/>
          <w:cols w:equalWidth="0" w:num="2">
            <w:col w:w="7400" w:space="720"/>
            <w:col w:w="3140"/>
          </w:cols>
          <w:pgMar w:left="300" w:top="125" w:right="339" w:bottom="1440" w:gutter="0" w:footer="0" w:header="0"/>
          <w:type w:val="continuous"/>
        </w:sectPr>
      </w:pPr>
    </w:p>
    <w:p>
      <w:pPr>
        <w:ind w:left="120" w:hanging="116"/>
        <w:spacing w:after="0"/>
        <w:tabs>
          <w:tab w:leader="none" w:pos="120" w:val="left"/>
        </w:tabs>
        <w:numPr>
          <w:ilvl w:val="0"/>
          <w:numId w:val="26"/>
        </w:numPr>
        <w:rPr>
          <w:rFonts w:ascii="Times New Roman" w:cs="Times New Roman" w:eastAsia="Times New Roman" w:hAnsi="Times New Roman"/>
          <w:sz w:val="7"/>
          <w:szCs w:val="7"/>
          <w:color w:val="231F20"/>
        </w:rPr>
      </w:pPr>
      <w:r>
        <w:rPr>
          <w:rFonts w:ascii="Times New Roman" w:cs="Times New Roman" w:eastAsia="Times New Roman" w:hAnsi="Times New Roman"/>
          <w:sz w:val="11"/>
          <w:szCs w:val="11"/>
          <w:color w:val="231F20"/>
        </w:rPr>
        <w:t>See “How We Assess the Performance of Our Business” for a definition of adjusted EBITDA and a reconciliation of adjusted EBITDA to net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Revenue</w:t>
      </w:r>
    </w:p>
    <w:p>
      <w:pPr>
        <w:spacing w:after="0" w:line="14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Net revenue increased $108.1 million, or 8.5%, to $1,379.2 million in 2025 compared to $1,271.1 million in 2024. The increase was driven primarily by $64.4 million of revenue growth related to Showrooms opened in 2024 and 2025, with the remainder due to increased demand for our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Margin</w:t>
      </w:r>
    </w:p>
    <w:p>
      <w:pPr>
        <w:spacing w:after="0" w:line="15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4"/>
          <w:szCs w:val="14"/>
          <w:color w:val="auto"/>
        </w:rPr>
        <w:t>Gross margin increased $35.2 million, or 7.0%, to $536.4 million in 2025 compared to $501.2 million in 2024. The increase was primarily driven by higher net revenue, partially offset by higher products costs of $40.6 million, increased Showroom occupancy costs of $18.1 million, higher delivery and transportation costs of $6.1 million and higher credit card fees of $3.4 million.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As a percentage of net revenue, gross margin decreased 50 basis points to 38.9% of net revenue in 2025 compared to 39.4% of net revenue in 2024. The gross margin decrease as a percentage of net revenue was primarily the result of higher Showroom occupancy costs, which increased 60 basis points, partially offset by delivery and transportation costs, which decreased 40 basis points.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SG&amp;A expenses increased $32.0 million, or 7.7%, to $447.4 million in 2025 compared to $415.4 million in 2024. The increase was primarily driven by a $16.4 million increase in general and administrative costs primarily related to corporate expenses, strategic investments to support and drive the growth of the business, including supply chain and technology improvements and warehouse expenses, in addition to a $15.6 million increase in selling expenses primarily related to new Showrooms.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percentage of net revenue, selling, general and administrative expenses decreased 30 basis points to 32.4% of net revenue in 2025 compared to 32.7% of net revenue in 2024.</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net decreased to $3.0 million in 2025 compared to $3.2 million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7"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4"/>
          <w:szCs w:val="14"/>
          <w:color w:val="auto"/>
        </w:rPr>
        <w:t>Income tax expense was $24.7 million in 2025 compared to $22.4 million in 2024. The increase was primarily due to higher income before taxes. Our effective tax rate was 26.9% in 2025 and 24.6% in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and comprehensive income decreased $1.3 million to $67.3 million in 2025 compared to $68.6 million in 2024. The decrease was driven by the factors described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Outlook</w:t>
      </w:r>
    </w:p>
    <w:p>
      <w:pPr>
        <w:spacing w:after="0" w:line="14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4"/>
          <w:szCs w:val="14"/>
          <w:color w:val="auto"/>
        </w:rPr>
        <w:t>Our primary cash needs have historically been for merchandise inventories, payroll, marketing, Showroom rent,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 As of December 31, 2025, we had cash and cash equivalents of $253.4 million.</w:t>
      </w:r>
    </w:p>
    <w:p>
      <w:pPr>
        <w:spacing w:after="0" w:line="11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For the year ended December 31, 2025, our principal sources of liquidity were cash flows from operations. We believe our operating cash flows will be sufficient to meet working capital requirements and fulfill other capital needs for at least the next 12 months, although we may enter into borrowing arrangements in the future.</w:t>
      </w:r>
    </w:p>
    <w:p>
      <w:pPr>
        <w:spacing w:after="0" w:line="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related to growth initiatives, including supply chain and technology improvements. In addition, our needs and uses of capital may change in the future due to changes in our business or new opportunities that we choose to pursue. As of December 31, 2025, we have no material off-balance sheet arrangements.</w:t>
      </w:r>
    </w:p>
    <w:p>
      <w:pPr>
        <w:spacing w:after="0" w:line="11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 The Company paid $0.4 million of the aforementioned special cash dividend on its Class A common stock related to dividend equivalents on equity awards that vested during the year ended December 31, 2025, and $70.3 million on its Class A and Class B common stock to shareholders as of the Record Date and dividend equivalents on equity awards that vested during the year ended December 31, 2024.</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We have begun a multi-year transformation that will replace certain of our existing systems with a modern and integrated platform encompassing a new ERP system, an order management system and a transportation management system. The total incremental investment in connection with these technology upgrades is expected to be approximately $30 million, including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implementation and project staffing costs as well as licensing fees through 2030. Cash outflows were approximately $1 million during the year ended December 31, 2025, and we anticipate approximately $12 million in 2026 and $10 million in 2027, with cash outflows tapering in early 2028 as we transition to annual licensing and maintenance costs of approximately $2 million per year through 2030.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Facility</w:t>
      </w:r>
    </w:p>
    <w:p>
      <w:pPr>
        <w:spacing w:after="0" w:line="14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4"/>
          <w:szCs w:val="14"/>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(1.50%at December 31, 2023), whereas the applicable margin is adjusted quarterly based on the Company’s consolidated rent-adjusted total leverage ratio.</w:t>
      </w:r>
    </w:p>
    <w:p>
      <w:pPr>
        <w:spacing w:after="0" w:line="11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December,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104"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In August 2024, the Company amended the 2021 Credit Facility to adjust the index rate from the Bloomberg Short-Term Bank Yield Index to the Term Secured Overnight Financing Rate. The 2021 Credit Facility bears variable interest rates at the prevailing Term Secured Overnight Financing Rate plus the applicable margin (1.75% at December 31, 2024).</w:t>
      </w:r>
    </w:p>
    <w:p>
      <w:pPr>
        <w:spacing w:after="0" w:line="146"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4"/>
          <w:szCs w:val="14"/>
          <w:color w:val="auto"/>
        </w:rPr>
        <w:t>In May 2025, the Company issued an irrevocable standby letter of credit under the 2021 Credit Facility in the amount of $5.1 million in connection with a lease, which remained outstanding at December 31, 2025. The Company did not have any outstanding letters of credit at December 31, 2024.</w:t>
      </w:r>
    </w:p>
    <w:p>
      <w:pPr>
        <w:spacing w:after="0" w:line="14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In October 2025, the Company entered into the Third Amendment to Credit Agreement and Amendment to Security and Pledge Agreement (the “Amendment”). The Amendment further amends the 2021 Credit Facility to, among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the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December 31, 2025). At December 31, 2025 and 2024, we had no borrowings on the 2021 Credit Facility and the available borrowing capacity on the 2021 Credit Facility was $69.9 million and $75.0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Analysis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our cash provided by operating, investing and financing activities (in thousands):</w:t>
      </w:r>
    </w:p>
    <w:p>
      <w:pPr>
        <w:spacing w:after="0" w:line="18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15240</wp:posOffset>
            </wp:positionV>
            <wp:extent cx="187452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74520" cy="698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00" w:type="dxa"/>
            <w:vAlign w:val="bottom"/>
          </w:tcPr>
          <w:p>
            <w:pPr>
              <w:spacing w:after="0"/>
              <w:rPr>
                <w:sz w:val="16"/>
                <w:szCs w:val="16"/>
                <w:color w:val="auto"/>
              </w:rPr>
            </w:pPr>
          </w:p>
        </w:tc>
        <w:tc>
          <w:tcPr>
            <w:tcW w:w="4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136,848</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147,109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(77,816)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(99,534)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6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(72,951)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620" w:type="dxa"/>
            <w:vAlign w:val="bottom"/>
          </w:tcPr>
          <w:p>
            <w:pPr>
              <w:spacing w:after="0"/>
              <w:rPr>
                <w:sz w:val="16"/>
                <w:szCs w:val="16"/>
                <w:color w:val="auto"/>
              </w:rPr>
            </w:pP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55,551</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(25,376)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20" w:type="dxa"/>
            <w:vAlign w:val="bottom"/>
            <w:vMerge w:val="restart"/>
          </w:tcPr>
          <w:p>
            <w:pPr>
              <w:jc w:val="right"/>
              <w:ind w:right="2530"/>
              <w:spacing w:after="0"/>
              <w:rPr>
                <w:sz w:val="20"/>
                <w:szCs w:val="20"/>
                <w:color w:val="auto"/>
              </w:rPr>
            </w:pPr>
            <w:r>
              <w:rPr>
                <w:rFonts w:ascii="Times New Roman" w:cs="Times New Roman" w:eastAsia="Times New Roman" w:hAnsi="Times New Roman"/>
                <w:sz w:val="14"/>
                <w:szCs w:val="14"/>
                <w:color w:val="auto"/>
              </w:rPr>
              <w:t>49</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9"/>
        </w:trPr>
        <w:tc>
          <w:tcPr>
            <w:tcW w:w="47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700" w:type="dxa"/>
            <w:vAlign w:val="bottom"/>
            <w:tcBorders>
              <w:bottom w:val="single" w:sz="8" w:color="9A9A9A"/>
            </w:tcBorders>
          </w:tcPr>
          <w:p>
            <w:pPr>
              <w:spacing w:after="0"/>
              <w:rPr>
                <w:sz w:val="5"/>
                <w:szCs w:val="5"/>
                <w:color w:val="auto"/>
              </w:rPr>
            </w:pPr>
          </w:p>
        </w:tc>
        <w:tc>
          <w:tcPr>
            <w:tcW w:w="3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 Ended December 31, 2025 and December 31, 2024</w:t>
      </w:r>
    </w:p>
    <w:p>
      <w:pPr>
        <w:spacing w:after="0" w:line="147"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4"/>
          <w:szCs w:val="14"/>
          <w:color w:val="auto"/>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spacing w:after="0" w:line="93"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For 2025, net cash provided by operating activities was $136.8 million and consisted of net income of $67.3 million and an increase in non-cash items of $132.9 million, which were partially offset by a change in working capital and other activities of $63.3 million. The use of cash from working capital was primarily driven by a decrease in operating lease liabilities of $59.0 million primarily due to payments made under the related lease agreements, and an increase in merchandise inventory of $41.8 million, which were partially offset by an increase in client deposits of $15.1 million, an increase in accounts payable of $9.9 million, an increase in accrued expenses of $7.9 million, and a decrease in prepaid and other assets of $4.1 million.</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For 2024, net cash provided by operating activities was $147.1 million and consisted of net income of $68.6 million, an increase in non-cash items of $108.8 million, which were partially offset by a change in working capital and other activities of $30.2 million. The use of cash from working capital was primarily driven by an increase in merchandise inventory of $42.7 million, a decrease in operating lease liabilities of $37.9 million primarily due to payments made under the related lease agreements, an increase in prepaid and other assets of $2.5 million, a decrease in accrued expenses of $0.9 million, which were partially offset by an increase in client deposits of $47.1 million, an increase in accounts payable of $5.6 million, and a decrease in accounts receivable of $1.1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 Ended December 31, 2025 and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consist primarily of capital expenditures related to investments in Showrooms, information technology and systems infrastructure, as well as supply chain investments.</w:t>
      </w:r>
    </w:p>
    <w:p>
      <w:pPr>
        <w:spacing w:after="0" w:line="14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4"/>
          <w:szCs w:val="14"/>
          <w:color w:val="auto"/>
        </w:rPr>
        <w:t>For 2025, net cash used in investing activities was $77.8 million primarily due to investments in Showrooms, strategic investments in our supply chain, and information technology and systems infrastructure.</w:t>
      </w:r>
    </w:p>
    <w:p>
      <w:pPr>
        <w:spacing w:after="0" w:line="9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4"/>
          <w:szCs w:val="14"/>
          <w:color w:val="auto"/>
        </w:rPr>
        <w:t>For 2024, net cash used in investing activities was $99.5 million primarily due to investments in Showrooms, strategic investments in our supply chain, and information technology and systems infrastructure.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Historically,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Historical capital expenditures are summarized as follows (in thousands):</w:t>
      </w:r>
    </w:p>
    <w:p>
      <w:pPr>
        <w:spacing w:after="0" w:line="174"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9"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15240</wp:posOffset>
            </wp:positionV>
            <wp:extent cx="187452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74520" cy="698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8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Landlord contributions</w:t>
            </w:r>
          </w:p>
        </w:tc>
        <w:tc>
          <w:tcPr>
            <w:tcW w:w="39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w:t>
            </w:r>
          </w:p>
        </w:tc>
        <w:tc>
          <w:tcPr>
            <w:tcW w:w="39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bottom w:val="single" w:sz="8" w:color="CCEEFF"/>
            </w:tcBorders>
            <w:vMerge w:val="restart"/>
          </w:tcPr>
          <w:p>
            <w:pPr>
              <w:jc w:val="right"/>
              <w:ind w:right="2530"/>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3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360" w:type="dxa"/>
            <w:vAlign w:val="bottom"/>
            <w:tcBorders>
              <w:bottom w:val="single" w:sz="8" w:color="9A9A9A"/>
            </w:tcBorders>
          </w:tcPr>
          <w:p>
            <w:pPr>
              <w:spacing w:after="0"/>
              <w:rPr>
                <w:sz w:val="5"/>
                <w:szCs w:val="5"/>
                <w:color w:val="auto"/>
              </w:rPr>
            </w:pPr>
          </w:p>
        </w:tc>
        <w:tc>
          <w:tcPr>
            <w:tcW w:w="39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capital expenditures, net of landlord contributions decreased by $9.1 million in 2025 compared to 2024.</w:t>
      </w:r>
    </w:p>
    <w:p>
      <w:pPr>
        <w:spacing w:after="0" w:line="155"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We anticipate our total capital expenditures, net of landlord contributions to be approximately $70.0 million to $90.0 million in fiscal year 2026, primarily related to new Showrooms and information technology and systems infrastructure.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 Ended December 31, 2025 and December 31, 2024</w:t>
      </w:r>
    </w:p>
    <w:p>
      <w:pPr>
        <w:spacing w:after="0" w:line="157" w:lineRule="exact"/>
        <w:rPr>
          <w:sz w:val="20"/>
          <w:szCs w:val="20"/>
          <w:color w:val="auto"/>
        </w:rPr>
      </w:pPr>
    </w:p>
    <w:p>
      <w:pPr>
        <w:ind w:right="1660"/>
        <w:spacing w:after="0" w:line="460" w:lineRule="auto"/>
        <w:rPr>
          <w:sz w:val="20"/>
          <w:szCs w:val="20"/>
          <w:color w:val="auto"/>
        </w:rPr>
      </w:pPr>
      <w:r>
        <w:rPr>
          <w:rFonts w:ascii="Times New Roman" w:cs="Times New Roman" w:eastAsia="Times New Roman" w:hAnsi="Times New Roman"/>
          <w:sz w:val="14"/>
          <w:szCs w:val="14"/>
          <w:color w:val="auto"/>
        </w:rPr>
        <w:t xml:space="preserve">For 2025, net cash used in financing activities was $3.5 million, primarily due to the repurchase of shares for payment of withholding taxes for equity based compensation. For 2024, net cash used in financing activities was $73.0 million, primarily due to the payment of the special cash dividend on our Class A and Class B common stock. </w:t>
      </w:r>
      <w:r>
        <w:rPr>
          <w:rFonts w:ascii="Times New Roman" w:cs="Times New Roman" w:eastAsia="Times New Roman" w:hAnsi="Times New Roman"/>
          <w:sz w:val="14"/>
          <w:szCs w:val="14"/>
          <w:b w:val="1"/>
          <w:bCs w:val="1"/>
          <w:color w:val="auto"/>
        </w:rPr>
        <w:t>Critical Accounting Policies and Estimates</w:t>
      </w:r>
    </w:p>
    <w:p>
      <w:pPr>
        <w:spacing w:after="0" w:line="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 xml:space="preserve">Our consolidated financial statements have been prepared in accordance with accounting principles generally accepted in the United States which requires that certain estimates and assumptions be made that affect the amounts reported in our consolidated financial statements and related notes.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 Information on all of our significant accounting policies can be found in Note 2 — </w:t>
      </w:r>
      <w:r>
        <w:rPr>
          <w:rFonts w:ascii="Times New Roman" w:cs="Times New Roman" w:eastAsia="Times New Roman" w:hAnsi="Times New Roman"/>
          <w:sz w:val="14"/>
          <w:szCs w:val="14"/>
          <w:i w:val="1"/>
          <w:iCs w:val="1"/>
          <w:color w:val="auto"/>
        </w:rPr>
        <w:t>Basis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Presentation and Summary of Significant Accounting Policies </w:t>
      </w:r>
      <w:r>
        <w:rPr>
          <w:rFonts w:ascii="Times New Roman" w:cs="Times New Roman" w:eastAsia="Times New Roman" w:hAnsi="Times New Roman"/>
          <w:sz w:val="14"/>
          <w:szCs w:val="14"/>
          <w:color w:val="auto"/>
        </w:rPr>
        <w:t>in our consolidated financial statements.</w:t>
      </w:r>
    </w:p>
    <w:p>
      <w:pPr>
        <w:spacing w:after="0" w:line="112"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4"/>
          <w:szCs w:val="14"/>
          <w:color w:val="auto"/>
        </w:rPr>
        <w:t>Accounting policies and estimates are considered critical when they require management to make subjective and complex judgments, estimates and assumptions about matters that have a material impact on the presentation of the Company’s consolidated financial statements and accompanying notes. The following critical accounting policy reflects the significant estimates and/or judgments used in the preparation of our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 Lived Assets</w:t>
      </w:r>
    </w:p>
    <w:p>
      <w:pPr>
        <w:spacing w:after="0" w:line="1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 evaluates long-lived assets, such as property, furniture and equipment and lease right-of-use assets, or asset groups for impairment whenever events or change in circumstances indicate that the carrying amount of those assets may not be recoverable. Circumstances that may indicate impairment include changes in the assets or asset groups expected use, physical condition, market price, cash flow generation, significant adverse legal events, and any asset or asset group specific events. When such events or circumstances are present, we assess the recoverability of long-lived assets by determining whether the carrying value will be recovered through the expected undiscounted future cash flows resulting from the use of the asset.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45"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 xml:space="preserve">See Note 2 — </w:t>
      </w:r>
      <w:r>
        <w:rPr>
          <w:rFonts w:ascii="Times New Roman" w:cs="Times New Roman" w:eastAsia="Times New Roman" w:hAnsi="Times New Roman"/>
          <w:sz w:val="14"/>
          <w:szCs w:val="14"/>
          <w:i w:val="1"/>
          <w:iCs w:val="1"/>
          <w:color w:val="auto"/>
        </w:rPr>
        <w:t>Basis of Presentation and Summary of Significant Accounting Policies</w:t>
      </w:r>
      <w:r>
        <w:rPr>
          <w:rFonts w:ascii="Times New Roman" w:cs="Times New Roman" w:eastAsia="Times New Roman" w:hAnsi="Times New Roman"/>
          <w:sz w:val="14"/>
          <w:szCs w:val="14"/>
          <w:color w:val="auto"/>
        </w:rPr>
        <w:t xml:space="preserve"> to our consolidated financial statements regarding the impact or potential impact of recent accounting pronouncements.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4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Exchange Risk</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years ended December 31, 2025, 2024 and 2023. However, since we pay for the majority of our international purchases in U.S. dollars, a decline in the U.S. dollar relative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We are primarily exposed to interest rate risk with respect to borrowing under our 2021 Credit Facility. Except for the $5.1 million irrevocable standby letter of credit issued in May 2025 as discussed in Note 6 —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to our consolidated financial statements, we have no borrowings under the 2021 Credit Facility as of December 31, 2025. 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15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Inflation generally affects us by increasing our cost of labor, material, transportation, and our general costs. We have historically been able to recover these cost increases through price increases. However, we cannot reasonably estimate our ability to successfully recover any impact of inflation through price increases in the future. We currently do not use derivative instruments to manage this risk.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Stockholders of Arhaus, Inc.</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19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Arhaus, Inc. and its subsidiaries (the “Company”) as of December 31, 2025 and 2024, and the related consolidated statements of comprehensive income,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Committee of Sponsoring Organizations of the Treadway Commission (COSO).</w:t>
      </w:r>
    </w:p>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did not maintain,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Integrated Framework </w:t>
      </w:r>
      <w:r>
        <w:rPr>
          <w:rFonts w:ascii="Times New Roman" w:cs="Times New Roman" w:eastAsia="Times New Roman" w:hAnsi="Times New Roman"/>
          <w:sz w:val="14"/>
          <w:szCs w:val="14"/>
          <w:color w:val="auto"/>
        </w:rPr>
        <w:t>(2013) issued by the COSO because material weaknesses in internal control over financial reporting existed as of that date as the Company did not design and maintain (i)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control environment due to a lack of an appropriate level of experience and training related to internal control over financial reporting, (ii)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 and (iii) effective controls over information technology general controls for information systems that are relevant to the preparation of the financial statements, specifically, program change management controls, user access controls, computer operations controls, and program development controls.</w:t>
      </w:r>
    </w:p>
    <w:p>
      <w:pPr>
        <w:spacing w:after="0" w:line="1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2025 consolidated financial statements, and our opinion regarding the effectiveness of the Company’s internal control over financial reporting does not affect our opinion on those consolidated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19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1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Consolidated Financial Statements – Impact of Controls Related to Financial Reporting</w:t>
      </w:r>
    </w:p>
    <w:p>
      <w:pPr>
        <w:spacing w:after="0" w:line="19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4"/>
          <w:szCs w:val="14"/>
          <w:color w:val="auto"/>
        </w:rPr>
        <w:t>The completeness and accuracy of the consolidated financial statements, including the financial condition, results of operations and cash flows, is dependent on, in part, (i) maintaining an appropriate level of experience and training related to internal control over financial reporting; (ii) designing and maintaining sufficient accounting policies, procedures and controls, and maintaining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 and</w:t>
      </w:r>
    </w:p>
    <w:p>
      <w:pPr>
        <w:spacing w:after="0" w:line="2" w:lineRule="exact"/>
        <w:rPr>
          <w:sz w:val="20"/>
          <w:szCs w:val="20"/>
          <w:color w:val="auto"/>
        </w:rPr>
      </w:pPr>
    </w:p>
    <w:p>
      <w:pPr>
        <w:ind w:right="360" w:firstLine="4"/>
        <w:spacing w:after="0" w:line="262" w:lineRule="auto"/>
        <w:tabs>
          <w:tab w:leader="none" w:pos="24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designing and maintaining effective controls over information technology general controls for information systems that are relevant to the preparation of the Company’s financial statements, including controls over (a) program change management, (b) user access, (c) computer operations, and (d) program development.</w:t>
      </w:r>
    </w:p>
    <w:p>
      <w:pPr>
        <w:spacing w:after="0" w:line="16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4"/>
          <w:szCs w:val="14"/>
          <w:color w:val="auto"/>
        </w:rPr>
        <w:t>The principal considerations for our determination that the impact of controls related to financial reporting is a critical audit matter are a high degree of auditor subjectivity and effort in performing procedures and evaluating audit evidence related to business processes that affect substantially all financial statement account balances and disclosures. As described in the “Opinions on the Financial Statements and Internal Control over Financial Reporting” section, material weaknesses existed as of December 31, 2025 related to this matter.</w:t>
      </w:r>
    </w:p>
    <w:p>
      <w:pPr>
        <w:spacing w:after="0" w:line="15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among others, evaluating and determining the nature and extent of audit procedures performed and evidence obtained that are responsive to the material weaknesses identified. These procedures also included (i) manually testing the completeness and accuracy of system reports or other information generated by the Company’s information systems; (ii) evaluating whether segregation of duties were maintained over the preparation and recording of journal entries; (iii) testing certain non-routine or complex transactions; and (iv) manually testing and evaluating whether management had appropriately accounted for its significant accounts and disclosures to achieve complete, accurate and timely financial accounting, reporting and disclosures.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Cleveland, Ohio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231F20"/>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35560</wp:posOffset>
            </wp:positionV>
            <wp:extent cx="473900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390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0"/>
        </w:trPr>
        <w:tc>
          <w:tcPr>
            <w:tcW w:w="8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231F20"/>
              </w:rPr>
              <w:t>2024</w:t>
            </w:r>
          </w:p>
        </w:tc>
      </w:tr>
      <w:tr>
        <w:trPr>
          <w:trHeight w:val="159"/>
        </w:trPr>
        <w:tc>
          <w:tcPr>
            <w:tcW w:w="83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231F20"/>
              </w:rPr>
              <w:t>Assets</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Current assets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253,356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197,511</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Restricted cash</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3,418</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Accounts receivable,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Merchandise inventory, net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338,806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297,010</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Prepaid and other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31,852</w:t>
            </w: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Total current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621,374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531,043</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Operating right-of-use assets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391,274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322,302</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Financing right-of-use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36,105</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Property, furniture and equipment, net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282,520</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Deferred tax assets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Goodwill</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10,961</w:t>
            </w:r>
          </w:p>
        </w:tc>
      </w:tr>
      <w:tr>
        <w:trPr>
          <w:trHeight w:val="17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231F20"/>
              </w:rPr>
              <w:t>Other noncurrent assets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r>
      <w:tr>
        <w:trPr>
          <w:trHeight w:val="195"/>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231F20"/>
              </w:rPr>
              <w:t>Total assets</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1,394,746</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1,206,316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10"/>
        </w:trPr>
        <w:tc>
          <w:tcPr>
            <w:tcW w:w="8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0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231F20"/>
              </w:rPr>
              <w:t>Liabilities and Stockholders’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Current liabilities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Accounts payable</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68,621</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Accrued taxes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10,480</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Accrued wages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11,538</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Accrued other expenses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46,781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47,668</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Client deposits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235,943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220,873</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Current portion of operating lease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42,247</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Current portion of financing lease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8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Total current liabilities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453,262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402,451</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Operating lease liabilities, long-term</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467,226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402,916</w:t>
            </w: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Financing lease liabilities, long-term</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53,312</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Other long-term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3,892</w:t>
            </w:r>
          </w:p>
        </w:tc>
      </w:tr>
      <w:tr>
        <w:trPr>
          <w:trHeight w:val="180"/>
        </w:trPr>
        <w:tc>
          <w:tcPr>
            <w:tcW w:w="8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231F20"/>
              </w:rPr>
              <w:t>Total liabilities</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976,518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231F20"/>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862,571</w:t>
            </w:r>
          </w:p>
        </w:tc>
      </w:tr>
      <w:tr>
        <w:trPr>
          <w:trHeight w:val="149"/>
        </w:trPr>
        <w:tc>
          <w:tcPr>
            <w:tcW w:w="8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Commitments and contingencies (Note 11)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69"/>
        </w:trPr>
        <w:tc>
          <w:tcPr>
            <w:tcW w:w="8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9"/>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Stockholders’ equity</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4"/>
        </w:trPr>
        <w:tc>
          <w:tcPr>
            <w:tcW w:w="83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4"/>
                <w:szCs w:val="14"/>
                <w:color w:val="231F20"/>
              </w:rPr>
              <w:t>Class A shares, par value $0.001 per share (600,000,000 shares authorized, 54,565,242 shares issued and 53,969,149 outstanding as of</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04"/>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December 31, 2025; 53,788,036 shares issued and 53,514,062 shares outstanding as of December 31, 2024)</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231F20"/>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w:t>
            </w:r>
          </w:p>
        </w:tc>
      </w:tr>
      <w:tr>
        <w:trPr>
          <w:trHeight w:val="154"/>
        </w:trPr>
        <w:tc>
          <w:tcPr>
            <w:tcW w:w="83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231F20"/>
              </w:rPr>
              <w:t>Class B shares, par value $0.001 per share (100,000,000 shares authorized, 87,115,600 shares issued and outstanding as of December 31, 2025;</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4"/>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231F20"/>
              </w:rPr>
              <w:t>87,115,600 shares issued and outstanding as of December 31, 2024)</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231F20"/>
              </w:rPr>
              <w:t>Retained earnings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210,365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142,898</w:t>
            </w:r>
          </w:p>
        </w:tc>
      </w:tr>
      <w:tr>
        <w:trPr>
          <w:trHeight w:val="179"/>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231F20"/>
              </w:rPr>
              <w:t>Additional paid-in capital</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207,722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200,707</w:t>
            </w:r>
          </w:p>
        </w:tc>
      </w:tr>
      <w:tr>
        <w:trPr>
          <w:trHeight w:val="180"/>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231F20"/>
              </w:rPr>
              <w:t>Total stockholders’ equity</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418,228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343,745</w:t>
            </w:r>
          </w:p>
        </w:tc>
      </w:tr>
      <w:tr>
        <w:trPr>
          <w:trHeight w:val="170"/>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231F20"/>
              </w:rPr>
              <w:t>Total liabilities and stockholders’ equity</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1,394,746</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231F20"/>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1,206,316</w:t>
            </w:r>
          </w:p>
        </w:tc>
      </w:tr>
      <w:tr>
        <w:trPr>
          <w:trHeight w:val="20"/>
        </w:trPr>
        <w:tc>
          <w:tcPr>
            <w:tcW w:w="8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Comprehensive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18415</wp:posOffset>
            </wp:positionV>
            <wp:extent cx="532828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282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0" w:type="dxa"/>
            <w:vAlign w:val="bottom"/>
          </w:tcPr>
          <w:p>
            <w:pPr>
              <w:spacing w:after="0"/>
              <w:rPr>
                <w:sz w:val="1"/>
                <w:szCs w:val="1"/>
                <w:color w:val="auto"/>
              </w:rPr>
            </w:pPr>
          </w:p>
        </w:tc>
      </w:tr>
      <w:tr>
        <w:trPr>
          <w:trHeight w:val="1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1,379,222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1,271,107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1,287,704</w:t>
            </w:r>
          </w:p>
        </w:tc>
        <w:tc>
          <w:tcPr>
            <w:tcW w:w="0" w:type="dxa"/>
            <w:vAlign w:val="bottom"/>
          </w:tcPr>
          <w:p>
            <w:pPr>
              <w:spacing w:after="0"/>
              <w:rPr>
                <w:sz w:val="1"/>
                <w:szCs w:val="1"/>
                <w:color w:val="auto"/>
              </w:rPr>
            </w:pPr>
          </w:p>
        </w:tc>
      </w:tr>
      <w:tr>
        <w:trPr>
          <w:trHeight w:val="17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842,814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769,878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747,281</w:t>
            </w:r>
          </w:p>
        </w:tc>
        <w:tc>
          <w:tcPr>
            <w:tcW w:w="0" w:type="dxa"/>
            <w:vAlign w:val="bottom"/>
          </w:tcPr>
          <w:p>
            <w:pPr>
              <w:spacing w:after="0"/>
              <w:rPr>
                <w:sz w:val="1"/>
                <w:szCs w:val="1"/>
                <w:color w:val="auto"/>
              </w:rPr>
            </w:pPr>
          </w:p>
        </w:tc>
      </w:tr>
      <w:tr>
        <w:trPr>
          <w:trHeight w:val="17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margin</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536,408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540,423</w:t>
            </w:r>
          </w:p>
        </w:tc>
        <w:tc>
          <w:tcPr>
            <w:tcW w:w="0" w:type="dxa"/>
            <w:vAlign w:val="bottom"/>
          </w:tcPr>
          <w:p>
            <w:pPr>
              <w:spacing w:after="0"/>
              <w:rPr>
                <w:sz w:val="1"/>
                <w:szCs w:val="1"/>
                <w:color w:val="auto"/>
              </w:rPr>
            </w:pPr>
          </w:p>
        </w:tc>
      </w:tr>
      <w:tr>
        <w:trPr>
          <w:trHeight w:val="17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447,441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415,426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376,112</w:t>
            </w: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operations</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164,311</w:t>
            </w: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(3,351)</w:t>
            </w:r>
          </w:p>
        </w:tc>
        <w:tc>
          <w:tcPr>
            <w:tcW w:w="0" w:type="dxa"/>
            <w:vAlign w:val="bottom"/>
          </w:tcPr>
          <w:p>
            <w:pPr>
              <w:spacing w:after="0"/>
              <w:rPr>
                <w:sz w:val="1"/>
                <w:szCs w:val="1"/>
                <w:color w:val="auto"/>
              </w:rPr>
            </w:pPr>
          </w:p>
        </w:tc>
      </w:tr>
      <w:tr>
        <w:trPr>
          <w:trHeight w:val="17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0" w:type="dxa"/>
            <w:vAlign w:val="bottom"/>
          </w:tcPr>
          <w:p>
            <w:pPr>
              <w:spacing w:after="0"/>
              <w:rPr>
                <w:sz w:val="1"/>
                <w:szCs w:val="1"/>
                <w:color w:val="auto"/>
              </w:rPr>
            </w:pPr>
          </w:p>
        </w:tc>
      </w:tr>
      <w:tr>
        <w:trPr>
          <w:trHeight w:val="17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taxes</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168,689</w:t>
            </w:r>
          </w:p>
        </w:tc>
        <w:tc>
          <w:tcPr>
            <w:tcW w:w="0" w:type="dxa"/>
            <w:vAlign w:val="bottom"/>
          </w:tcPr>
          <w:p>
            <w:pPr>
              <w:spacing w:after="0"/>
              <w:rPr>
                <w:sz w:val="1"/>
                <w:szCs w:val="1"/>
                <w:color w:val="auto"/>
              </w:rPr>
            </w:pPr>
          </w:p>
        </w:tc>
      </w:tr>
      <w:tr>
        <w:trPr>
          <w:trHeight w:val="20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Income tax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43,450</w:t>
            </w:r>
          </w:p>
        </w:tc>
        <w:tc>
          <w:tcPr>
            <w:tcW w:w="0" w:type="dxa"/>
            <w:vAlign w:val="bottom"/>
          </w:tcPr>
          <w:p>
            <w:pPr>
              <w:spacing w:after="0"/>
              <w:rPr>
                <w:sz w:val="1"/>
                <w:szCs w:val="1"/>
                <w:color w:val="auto"/>
              </w:rPr>
            </w:pPr>
          </w:p>
        </w:tc>
      </w:tr>
      <w:tr>
        <w:trPr>
          <w:trHeight w:val="174"/>
        </w:trPr>
        <w:tc>
          <w:tcPr>
            <w:tcW w:w="6820" w:type="dxa"/>
            <w:vAlign w:val="bottom"/>
            <w:tcBorders>
              <w:bottom w:val="single" w:sz="8" w:color="CCEEFF"/>
            </w:tcBorders>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and comprehensive income</w:t>
            </w:r>
          </w:p>
        </w:tc>
        <w:tc>
          <w:tcPr>
            <w:tcW w:w="320" w:type="dxa"/>
            <w:vAlign w:val="bottom"/>
            <w:tcBorders>
              <w:bottom w:val="single" w:sz="8" w:color="auto"/>
            </w:tcBorders>
            <w:shd w:val="clear" w:color="auto" w:fill="CCEEFF"/>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67,256</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68,550</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125,239</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8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140,697,725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140,072,148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139,471,110</w:t>
            </w:r>
          </w:p>
        </w:tc>
        <w:tc>
          <w:tcPr>
            <w:tcW w:w="0" w:type="dxa"/>
            <w:vAlign w:val="bottom"/>
          </w:tcPr>
          <w:p>
            <w:pPr>
              <w:spacing w:after="0"/>
              <w:rPr>
                <w:sz w:val="1"/>
                <w:szCs w:val="1"/>
                <w:color w:val="auto"/>
              </w:rPr>
            </w:pPr>
          </w:p>
        </w:tc>
      </w:tr>
      <w:tr>
        <w:trPr>
          <w:trHeight w:val="179"/>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w:t>
            </w:r>
          </w:p>
        </w:tc>
        <w:tc>
          <w:tcPr>
            <w:tcW w:w="0" w:type="dxa"/>
            <w:vAlign w:val="bottom"/>
          </w:tcPr>
          <w:p>
            <w:pPr>
              <w:spacing w:after="0"/>
              <w:rPr>
                <w:sz w:val="1"/>
                <w:szCs w:val="1"/>
                <w:color w:val="auto"/>
              </w:rPr>
            </w:pP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Net and comprehensive income per share, diluted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141,412,481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140,692,000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140,096,732</w:t>
            </w: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The accompanying notes are an integral part of these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b w:val="1"/>
          <w:bCs w:val="1"/>
          <w:color w:val="231F20"/>
        </w:rPr>
        <w:t>Consolidated Statements of Changes in Stockholders’ Equity</w:t>
      </w:r>
    </w:p>
    <w:p>
      <w:pPr>
        <w:spacing w:after="0" w:line="8"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18415</wp:posOffset>
            </wp:positionV>
            <wp:extent cx="44113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4113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102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72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top w:val="single" w:sz="8" w:color="auto"/>
            </w:tcBorders>
            <w:gridSpan w:val="3"/>
          </w:tcPr>
          <w:p>
            <w:pPr>
              <w:jc w:val="center"/>
              <w:ind w:left="144"/>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2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3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00" w:type="dxa"/>
            <w:vAlign w:val="bottom"/>
          </w:tcPr>
          <w:p>
            <w:pPr>
              <w:spacing w:after="0"/>
              <w:rPr>
                <w:sz w:val="8"/>
                <w:szCs w:val="8"/>
                <w:color w:val="auto"/>
              </w:rPr>
            </w:pPr>
          </w:p>
        </w:tc>
        <w:tc>
          <w:tcPr>
            <w:tcW w:w="840" w:type="dxa"/>
            <w:vAlign w:val="bottom"/>
          </w:tcPr>
          <w:p>
            <w:pPr>
              <w:jc w:val="center"/>
              <w:ind w:right="44"/>
              <w:spacing w:after="0" w:line="97"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4"/>
        </w:trPr>
        <w:tc>
          <w:tcPr>
            <w:tcW w:w="3320" w:type="dxa"/>
            <w:vAlign w:val="bottom"/>
          </w:tcPr>
          <w:p>
            <w:pPr>
              <w:spacing w:after="0"/>
              <w:rPr>
                <w:sz w:val="9"/>
                <w:szCs w:val="9"/>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6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center"/>
              <w:ind w:right="44"/>
              <w:spacing w:after="0" w:line="11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00" w:type="dxa"/>
            <w:vAlign w:val="bottom"/>
          </w:tcPr>
          <w:p>
            <w:pPr>
              <w:spacing w:after="0"/>
              <w:rPr>
                <w:sz w:val="13"/>
                <w:szCs w:val="13"/>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2022</w:t>
            </w:r>
          </w:p>
        </w:tc>
        <w:tc>
          <w:tcPr>
            <w:tcW w:w="4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51,437</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51</w:t>
            </w: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20,053</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189,504</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209,695</w:t>
            </w: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125,239</w:t>
            </w:r>
          </w:p>
        </w:tc>
        <w:tc>
          <w:tcPr>
            <w:tcW w:w="0" w:type="dxa"/>
            <w:vAlign w:val="bottom"/>
          </w:tcPr>
          <w:p>
            <w:pPr>
              <w:spacing w:after="0"/>
              <w:rPr>
                <w:sz w:val="1"/>
                <w:szCs w:val="1"/>
                <w:color w:val="auto"/>
              </w:rPr>
            </w:pPr>
          </w:p>
        </w:tc>
      </w:tr>
      <w:tr>
        <w:trPr>
          <w:trHeight w:val="115"/>
        </w:trPr>
        <w:tc>
          <w:tcPr>
            <w:tcW w:w="33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Adjustment to deferred tax asset impact of Reorganization from</w:t>
            </w:r>
          </w:p>
        </w:tc>
        <w:tc>
          <w:tcPr>
            <w:tcW w:w="5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(1,625)</w:t>
            </w: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partnership to a corporation</w:t>
            </w:r>
          </w:p>
        </w:tc>
        <w:tc>
          <w:tcPr>
            <w:tcW w:w="5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56</w:t>
            </w:r>
          </w:p>
        </w:tc>
        <w:tc>
          <w:tcPr>
            <w:tcW w:w="0" w:type="dxa"/>
            <w:vAlign w:val="bottom"/>
          </w:tcPr>
          <w:p>
            <w:pPr>
              <w:spacing w:after="0"/>
              <w:rPr>
                <w:sz w:val="1"/>
                <w:szCs w:val="1"/>
                <w:color w:val="auto"/>
              </w:rPr>
            </w:pPr>
          </w:p>
        </w:tc>
      </w:tr>
      <w:tr>
        <w:trPr>
          <w:trHeight w:val="16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1,316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7,909</w:t>
            </w:r>
          </w:p>
        </w:tc>
        <w:tc>
          <w:tcPr>
            <w:tcW w:w="0" w:type="dxa"/>
            <w:vAlign w:val="bottom"/>
          </w:tcPr>
          <w:p>
            <w:pPr>
              <w:spacing w:after="0"/>
              <w:rPr>
                <w:sz w:val="1"/>
                <w:szCs w:val="1"/>
                <w:color w:val="auto"/>
              </w:rPr>
            </w:pPr>
          </w:p>
        </w:tc>
      </w:tr>
      <w:tr>
        <w:trPr>
          <w:trHeight w:val="109"/>
        </w:trPr>
        <w:tc>
          <w:tcPr>
            <w:tcW w:w="33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Shares withheld to cover employees’ withholding taxes for equity</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84</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0" w:type="dxa"/>
            <w:vAlign w:val="bottom"/>
          </w:tcPr>
          <w:p>
            <w:pPr>
              <w:spacing w:after="0"/>
              <w:rPr>
                <w:sz w:val="1"/>
                <w:szCs w:val="1"/>
                <w:color w:val="auto"/>
              </w:rPr>
            </w:pPr>
          </w:p>
        </w:tc>
      </w:tr>
      <w:tr>
        <w:trPr>
          <w:trHeight w:val="150"/>
        </w:trPr>
        <w:tc>
          <w:tcPr>
            <w:tcW w:w="33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based awards</w:t>
            </w:r>
          </w:p>
        </w:tc>
        <w:tc>
          <w:tcPr>
            <w:tcW w:w="4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2023</w:t>
            </w:r>
          </w:p>
        </w:tc>
        <w:tc>
          <w:tcPr>
            <w:tcW w:w="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52,669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52</w:t>
            </w: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84</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145,292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194,807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340,238</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68,550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68,550</w:t>
            </w:r>
          </w:p>
        </w:tc>
        <w:tc>
          <w:tcPr>
            <w:tcW w:w="0" w:type="dxa"/>
            <w:vAlign w:val="bottom"/>
          </w:tcPr>
          <w:p>
            <w:pPr>
              <w:spacing w:after="0"/>
              <w:rPr>
                <w:sz w:val="1"/>
                <w:szCs w:val="1"/>
                <w:color w:val="auto"/>
              </w:rPr>
            </w:pPr>
          </w:p>
        </w:tc>
      </w:tr>
      <w:tr>
        <w:trPr>
          <w:trHeight w:val="17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761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7,640</w:t>
            </w:r>
          </w:p>
        </w:tc>
        <w:tc>
          <w:tcPr>
            <w:tcW w:w="0" w:type="dxa"/>
            <w:vAlign w:val="bottom"/>
          </w:tcPr>
          <w:p>
            <w:pPr>
              <w:spacing w:after="0"/>
              <w:rPr>
                <w:sz w:val="1"/>
                <w:szCs w:val="1"/>
                <w:color w:val="auto"/>
              </w:rPr>
            </w:pPr>
          </w:p>
        </w:tc>
      </w:tr>
      <w:tr>
        <w:trPr>
          <w:trHeight w:val="14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Shares withheld to cover employees’ withholding taxes for equity</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based awards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(1,769)</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(70,944)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(70,944)</w:t>
            </w:r>
          </w:p>
        </w:tc>
        <w:tc>
          <w:tcPr>
            <w:tcW w:w="0" w:type="dxa"/>
            <w:vAlign w:val="bottom"/>
          </w:tcPr>
          <w:p>
            <w:pPr>
              <w:spacing w:after="0"/>
              <w:rPr>
                <w:sz w:val="1"/>
                <w:szCs w:val="1"/>
                <w:color w:val="auto"/>
              </w:rPr>
            </w:pPr>
          </w:p>
        </w:tc>
      </w:tr>
      <w:tr>
        <w:trPr>
          <w:trHeight w:val="158"/>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2024</w:t>
            </w:r>
          </w:p>
        </w:tc>
        <w:tc>
          <w:tcPr>
            <w:tcW w:w="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53,289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53</w:t>
            </w: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274</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142,898</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200,707</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343,745</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67,256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67,256</w:t>
            </w:r>
          </w:p>
        </w:tc>
        <w:tc>
          <w:tcPr>
            <w:tcW w:w="0" w:type="dxa"/>
            <w:vAlign w:val="bottom"/>
          </w:tcPr>
          <w:p>
            <w:pPr>
              <w:spacing w:after="0"/>
              <w:rPr>
                <w:sz w:val="1"/>
                <w:szCs w:val="1"/>
                <w:color w:val="auto"/>
              </w:rPr>
            </w:pPr>
          </w:p>
        </w:tc>
      </w:tr>
      <w:tr>
        <w:trPr>
          <w:trHeight w:val="17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Shareholder capital contribution</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based compensation</w:t>
            </w:r>
          </w:p>
        </w:tc>
        <w:tc>
          <w:tcPr>
            <w:tcW w:w="4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9,181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9,182</w:t>
            </w:r>
          </w:p>
        </w:tc>
        <w:tc>
          <w:tcPr>
            <w:tcW w:w="0" w:type="dxa"/>
            <w:vAlign w:val="bottom"/>
          </w:tcPr>
          <w:p>
            <w:pPr>
              <w:spacing w:after="0"/>
              <w:rPr>
                <w:sz w:val="1"/>
                <w:szCs w:val="1"/>
                <w:color w:val="auto"/>
              </w:rPr>
            </w:pPr>
          </w:p>
        </w:tc>
      </w:tr>
      <w:tr>
        <w:trPr>
          <w:trHeight w:val="119"/>
        </w:trPr>
        <w:tc>
          <w:tcPr>
            <w:tcW w:w="33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1"/>
                <w:szCs w:val="11"/>
                <w:color w:val="auto"/>
              </w:rPr>
              <w:t>Shares withheld to cover employees’ withholding taxes for equity</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323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w:t>
            </w:r>
          </w:p>
        </w:tc>
        <w:tc>
          <w:tcPr>
            <w:tcW w:w="0" w:type="dxa"/>
            <w:vAlign w:val="bottom"/>
          </w:tcPr>
          <w:p>
            <w:pPr>
              <w:spacing w:after="0"/>
              <w:rPr>
                <w:sz w:val="1"/>
                <w:szCs w:val="1"/>
                <w:color w:val="auto"/>
              </w:rPr>
            </w:pPr>
          </w:p>
        </w:tc>
      </w:tr>
      <w:tr>
        <w:trPr>
          <w:trHeight w:val="154"/>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based awards</w:t>
            </w:r>
          </w:p>
        </w:tc>
        <w:tc>
          <w:tcPr>
            <w:tcW w:w="4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83"/>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as of December 31, 2025</w:t>
            </w:r>
          </w:p>
        </w:tc>
        <w:tc>
          <w:tcPr>
            <w:tcW w:w="4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53,905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87,116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597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210,365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207,722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418,228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231F20"/>
        </w:rPr>
        <w:t>The accompanying notes are an integral part of these consolidated financial statements.</w:t>
      </w:r>
    </w:p>
    <w:p>
      <w:pPr>
        <w:spacing w:after="0" w:line="200" w:lineRule="exact"/>
        <w:rPr>
          <w:sz w:val="20"/>
          <w:szCs w:val="20"/>
          <w:color w:val="auto"/>
        </w:rPr>
      </w:pPr>
    </w:p>
    <w:p>
      <w:pPr>
        <w:spacing w:after="0" w:line="2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280"/>
          </w:cols>
          <w:pgMar w:left="300" w:top="125"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18415</wp:posOffset>
            </wp:positionV>
            <wp:extent cx="350774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077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39"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4326890</wp:posOffset>
            </wp:positionH>
            <wp:positionV relativeFrom="paragraph">
              <wp:posOffset>28575</wp:posOffset>
            </wp:positionV>
            <wp:extent cx="28384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38450" cy="6985"/>
                    </a:xfrm>
                    <a:prstGeom prst="rect">
                      <a:avLst/>
                    </a:prstGeom>
                    <a:noFill/>
                  </pic:spPr>
                </pic:pic>
              </a:graphicData>
            </a:graphic>
          </wp:anchor>
        </w:drawing>
      </w:r>
    </w:p>
    <w:p>
      <w:pPr>
        <w:spacing w:after="0" w:line="30" w:lineRule="exact"/>
        <w:rPr>
          <w:sz w:val="20"/>
          <w:szCs w:val="20"/>
          <w:color w:val="auto"/>
        </w:rPr>
      </w:pPr>
    </w:p>
    <w:p>
      <w:pPr>
        <w:jc w:val="both"/>
        <w:ind w:left="7400"/>
        <w:spacing w:after="0"/>
        <w:tabs>
          <w:tab w:leader="none" w:pos="9040" w:val="left"/>
          <w:tab w:leader="none" w:pos="106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2"/>
          <w:szCs w:val="12"/>
          <w:b w:val="1"/>
          <w:bCs w:val="1"/>
          <w:color w:val="auto"/>
        </w:rPr>
        <w:t>2023</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62165" cy="1270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20" w:type="dxa"/>
            <w:vAlign w:val="bottom"/>
          </w:tcPr>
          <w:p>
            <w:pPr>
              <w:spacing w:after="0"/>
              <w:rPr>
                <w:sz w:val="15"/>
                <w:szCs w:val="15"/>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operating lease right-of-use asset</w:t>
            </w:r>
          </w:p>
        </w:tc>
        <w:tc>
          <w:tcPr>
            <w:tcW w:w="120" w:type="dxa"/>
            <w:vAlign w:val="bottom"/>
          </w:tcPr>
          <w:p>
            <w:pPr>
              <w:spacing w:after="0"/>
              <w:rPr>
                <w:sz w:val="17"/>
                <w:szCs w:val="17"/>
                <w:color w:val="auto"/>
              </w:rPr>
            </w:pPr>
          </w:p>
        </w:tc>
      </w:tr>
      <w:tr>
        <w:trPr>
          <w:trHeight w:val="175"/>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deferred financing fees, interest on finance lease in excess of principal paid and interest on operating</w:t>
            </w:r>
          </w:p>
        </w:tc>
        <w:tc>
          <w:tcPr>
            <w:tcW w:w="120" w:type="dxa"/>
            <w:vAlign w:val="bottom"/>
          </w:tcPr>
          <w:p>
            <w:pPr>
              <w:spacing w:after="0"/>
              <w:rPr>
                <w:sz w:val="15"/>
                <w:szCs w:val="15"/>
                <w:color w:val="auto"/>
              </w:rPr>
            </w:pPr>
          </w:p>
        </w:tc>
      </w:tr>
      <w:tr>
        <w:trPr>
          <w:trHeight w:val="183"/>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leases</w:t>
            </w:r>
          </w:p>
        </w:tc>
        <w:tc>
          <w:tcPr>
            <w:tcW w:w="120" w:type="dxa"/>
            <w:vAlign w:val="bottom"/>
          </w:tcPr>
          <w:p>
            <w:pPr>
              <w:spacing w:after="0"/>
              <w:rPr>
                <w:sz w:val="15"/>
                <w:szCs w:val="15"/>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based compensation</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cloud computing arrangements</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and write-off of lease incentives</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proceeds</w:t>
            </w:r>
          </w:p>
        </w:tc>
        <w:tc>
          <w:tcPr>
            <w:tcW w:w="120" w:type="dxa"/>
            <w:vAlign w:val="bottom"/>
          </w:tcPr>
          <w:p>
            <w:pPr>
              <w:spacing w:after="0"/>
              <w:rPr>
                <w:sz w:val="17"/>
                <w:szCs w:val="17"/>
                <w:color w:val="auto"/>
              </w:rPr>
            </w:pPr>
          </w:p>
        </w:tc>
      </w:tr>
      <w:tr>
        <w:trPr>
          <w:trHeight w:val="200"/>
        </w:trPr>
        <w:tc>
          <w:tcPr>
            <w:tcW w:w="67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Merchandise inventory</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and other assets</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tcPr>
          <w:p>
            <w:pPr>
              <w:spacing w:after="0"/>
              <w:rPr>
                <w:sz w:val="17"/>
                <w:szCs w:val="17"/>
                <w:color w:val="auto"/>
              </w:rPr>
            </w:pPr>
          </w:p>
        </w:tc>
      </w:tr>
      <w:tr>
        <w:trPr>
          <w:trHeight w:val="200"/>
        </w:trPr>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Client deposits</w:t>
            </w:r>
          </w:p>
        </w:tc>
        <w:tc>
          <w:tcPr>
            <w:tcW w:w="120" w:type="dxa"/>
            <w:vAlign w:val="bottom"/>
          </w:tcPr>
          <w:p>
            <w:pPr>
              <w:spacing w:after="0"/>
              <w:rPr>
                <w:sz w:val="17"/>
                <w:szCs w:val="17"/>
                <w:color w:val="auto"/>
              </w:rPr>
            </w:pPr>
          </w:p>
        </w:tc>
      </w:tr>
      <w:tr>
        <w:trPr>
          <w:trHeight w:val="200"/>
        </w:trPr>
        <w:tc>
          <w:tcPr>
            <w:tcW w:w="67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-2630170</wp:posOffset>
            </wp:positionV>
            <wp:extent cx="7162165" cy="1270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-2375535</wp:posOffset>
            </wp:positionV>
            <wp:extent cx="7162165" cy="127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-2020570</wp:posOffset>
            </wp:positionV>
            <wp:extent cx="7162165" cy="127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-1766570</wp:posOffset>
            </wp:positionV>
            <wp:extent cx="7162165" cy="127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-1511935</wp:posOffset>
            </wp:positionV>
            <wp:extent cx="7162165" cy="1270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-1257935</wp:posOffset>
            </wp:positionV>
            <wp:extent cx="7162165" cy="127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-1003300</wp:posOffset>
            </wp:positionV>
            <wp:extent cx="7162165" cy="1270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-748665</wp:posOffset>
            </wp:positionV>
            <wp:extent cx="7162165" cy="1270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wp:posOffset>
            </wp:positionV>
            <wp:extent cx="7162165" cy="1270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127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-240030</wp:posOffset>
            </wp:positionV>
            <wp:extent cx="7162165" cy="127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-97790</wp:posOffset>
            </wp:positionV>
            <wp:extent cx="7162165" cy="1270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Purchases of property, furniture and equipment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Proceeds from the sale of property, furniture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165" cy="127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Insurance proceeds</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165" cy="1270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12700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67,256</w:t>
            </w: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68,550</w:t>
            </w:r>
          </w:p>
        </w:tc>
        <w:tc>
          <w:tcPr>
            <w:tcW w:w="100" w:type="dxa"/>
            <w:vAlign w:val="bottom"/>
          </w:tcPr>
          <w:p>
            <w:pPr>
              <w:spacing w:after="0"/>
              <w:rPr>
                <w:sz w:val="15"/>
                <w:szCs w:val="15"/>
                <w:color w:val="auto"/>
              </w:rPr>
            </w:pP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125,239</w:t>
            </w:r>
          </w:p>
        </w:tc>
      </w:tr>
      <w:tr>
        <w:trPr>
          <w:trHeight w:val="401"/>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46,793</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29,442</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42,792</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33,306</w:t>
            </w:r>
          </w:p>
        </w:tc>
      </w:tr>
      <w:tr>
        <w:trPr>
          <w:trHeight w:val="358"/>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29,682</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22,075</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9,182</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1,546</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(1,964)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196"/>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81</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(1,202)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2,797</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698</w:t>
            </w:r>
          </w:p>
        </w:tc>
      </w:tr>
      <w:tr>
        <w:trPr>
          <w:trHeight w:val="196"/>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204"/>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60</w:t>
            </w:r>
          </w:p>
        </w:tc>
      </w:tr>
      <w:tr>
        <w:trPr>
          <w:trHeight w:val="401"/>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589</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200"/>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6"/>
              </w:rPr>
              <w:t>(41,796)</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32,067</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4,119</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(11,109)</w:t>
            </w:r>
          </w:p>
        </w:tc>
      </w:tr>
      <w:tr>
        <w:trPr>
          <w:trHeight w:val="200"/>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9,860</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7,863</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w:t>
            </w:r>
          </w:p>
        </w:tc>
      </w:tr>
      <w:tr>
        <w:trPr>
          <w:trHeight w:val="200"/>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6"/>
              </w:rPr>
              <w:t>(58,980)</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(39,020)</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15,070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47,065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(28,779)</w:t>
            </w:r>
          </w:p>
        </w:tc>
      </w:tr>
      <w:tr>
        <w:trPr>
          <w:trHeight w:val="18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6"/>
              </w:rPr>
              <w:t>136,848</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147,109</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168,685</w:t>
            </w:r>
          </w:p>
        </w:tc>
      </w:tr>
      <w:tr>
        <w:trPr>
          <w:trHeight w:val="376"/>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6"/>
              </w:rPr>
              <w:t>(77,870)</w:t>
            </w:r>
          </w:p>
        </w:tc>
        <w:tc>
          <w:tcPr>
            <w:tcW w:w="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(107,370)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(93,441)</w:t>
            </w:r>
          </w:p>
        </w:tc>
      </w:tr>
      <w:tr>
        <w:trPr>
          <w:trHeight w:val="183"/>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w:t>
            </w:r>
          </w:p>
        </w:tc>
        <w:tc>
          <w:tcPr>
            <w:tcW w:w="4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6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21"/>
        </w:trPr>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0"/>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6"/>
              </w:rPr>
              <w:t>(77,816)</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(99,534)</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-6350</wp:posOffset>
            </wp:positionV>
            <wp:extent cx="9105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10590" cy="698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-768985</wp:posOffset>
            </wp:positionV>
            <wp:extent cx="9105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10590" cy="698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7020" w:space="720"/>
            <w:col w:w="354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under finance leases</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shares for payment of withholding taxes for equity based compensation</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20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dividend payments</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(70,255)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r>
      <w:tr>
        <w:trPr>
          <w:trHeight w:val="180"/>
        </w:trPr>
        <w:tc>
          <w:tcPr>
            <w:tcW w:w="6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55,551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73,778</w:t>
            </w: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200,929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226,305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152,527</w:t>
            </w:r>
          </w:p>
        </w:tc>
      </w:tr>
      <w:tr>
        <w:trPr>
          <w:trHeight w:val="184"/>
        </w:trPr>
        <w:tc>
          <w:tcPr>
            <w:tcW w:w="68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End of year</w:t>
            </w:r>
          </w:p>
        </w:tc>
        <w:tc>
          <w:tcPr>
            <w:tcW w:w="500" w:type="dxa"/>
            <w:vAlign w:val="bottom"/>
            <w:tcBorders>
              <w:bottom w:val="single" w:sz="8" w:color="auto"/>
            </w:tcBorders>
            <w:shd w:val="clear" w:color="auto" w:fill="CCEEFF"/>
          </w:tcPr>
          <w:p>
            <w:pPr>
              <w:jc w:val="right"/>
              <w:ind w:right="3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256,480</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200,929</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226,305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18415</wp:posOffset>
            </wp:positionV>
            <wp:extent cx="47726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72660" cy="69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0"/>
        </w:trPr>
        <w:tc>
          <w:tcPr>
            <w:tcW w:w="6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
        </w:trPr>
        <w:tc>
          <w:tcPr>
            <w:tcW w:w="6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1"/>
        </w:trPr>
        <w:tc>
          <w:tcPr>
            <w:tcW w:w="68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in cash</w:t>
            </w: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tcPr>
          <w:p>
            <w:pPr>
              <w:spacing w:after="0"/>
              <w:rPr>
                <w:sz w:val="17"/>
                <w:szCs w:val="17"/>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00" w:type="dxa"/>
            <w:vAlign w:val="bottom"/>
          </w:tcPr>
          <w:p>
            <w:pPr>
              <w:spacing w:after="0"/>
              <w:rPr>
                <w:sz w:val="17"/>
                <w:szCs w:val="17"/>
                <w:color w:val="auto"/>
              </w:rPr>
            </w:pP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5,301</w:t>
            </w: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received in cash</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8,778</w:t>
            </w: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 in cash</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23,770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6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Purchases of property, furniture and equipment in current liabilities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w:t>
            </w:r>
          </w:p>
        </w:tc>
      </w:tr>
      <w:tr>
        <w:trPr>
          <w:trHeight w:val="20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financing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0"/>
        </w:trPr>
        <w:tc>
          <w:tcPr>
            <w:tcW w:w="68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Adjustment to deferred tax asset impact of Reorganization from partnership to a corporation</w:t>
            </w:r>
          </w:p>
        </w:tc>
        <w:tc>
          <w:tcPr>
            <w:tcW w:w="9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The accompanying notes are an integral part of these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Business</w:t>
      </w:r>
    </w:p>
    <w:p>
      <w:pPr>
        <w:spacing w:after="0" w:line="14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Arhaus, Inc. (“Arhaus,” “Company,” “we,” “us” or “our”) is a Delaware corporation and is a premium retailer in the home furnishings market, specializing in livable luxury supported by heirloom quality merchandise. We offer merchandise across a broad range of categories, including furniture, outdoor, bath, lighting, textiles and décor. Our curated assortments are presented across our sales channels in sophisticated, family-friendly and lifestyle-oriented settings. We position our retail locations as Showrooms for our brand, while our website acts as a virtual extension of our Showrooms. We operated 107 Showrooms at December 31, 2025.</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Arhaus was formed on July 14, 2021 for the purpose of completing an initial public offering (“IPO”) of its common stock and related transactions in order to carry on the business of Arhaus, LLC (“LLC”) and its subsidiaries. In connection with the IPO, the Company reorganized its ownership structure from a limited liability company to a corporation through a series of transactions for the purpose of issuing common stock on a publicly traded exchange. Pursuant to the corporate reorganization (“Reorganization”) and the completion of the IPO in November 2021, the Company became a holding company for LLC and its subsidiaries.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Basis of Presentation and Summary of Significant Accounting Policies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significant accounting policies applied in the preparation of the consolidated financial statements are as follows: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4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4"/>
          <w:szCs w:val="14"/>
          <w:color w:val="auto"/>
        </w:rPr>
        <w:t>The accounting and reporting policies of the Company are in accordance with accounting principles generally accepted in the United States of America (“U.S. GAAP”). The consolidated financial statements include our accounts and those of our wholly owned subsidiaries. Accordingly, all intercompany balances and transactions have been eliminated through the consolidation process.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47"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GAAP requires management to make estimates and assumptions that affect the reported amounts of assets and liabilities, disclosures of contingent assets and liabilities at the date of the consolidated financial statements and the reported amounts of revenues and expenses during the reporting period. Actual results could differ from those estimates.</w:t>
      </w:r>
    </w:p>
    <w:p>
      <w:pPr>
        <w:spacing w:after="0" w:line="13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The accounting estimates and other matters included within our consolidated financial statements and notes to the consolidated financial statements we have assessed include, but were not limited to, revenue recognition, including a reserve for merchandise returns, inventory reserves, impairment of long-lived assets and fair value of financial instruments which include, but are not limited to, accounts receivable, payables and lease obligations.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47"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4"/>
          <w:szCs w:val="14"/>
          <w:color w:val="auto"/>
        </w:rPr>
        <w:t>The Company considers cash and all other highly liquid investments with an original maturity of three months or less to be cash equivalents. The Company regularly carries deposits in excess of federally insured amounts, but does not believe that it is exposed to significant concentration of credit risk as they are carried at high-quality financial institutions with investment-grade ratings.</w:t>
      </w:r>
    </w:p>
    <w:p>
      <w:pPr>
        <w:spacing w:after="0" w:line="9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4"/>
          <w:szCs w:val="14"/>
          <w:color w:val="auto"/>
        </w:rPr>
        <w:t>The Company invests in cash and cash equivalent investments such as money market funds and interest-bearing checking accounts. For the years ended December 31, 2025, 2024, and 2023, the Company earned $8.5 million, $8.6 million, and $8.8 million in interest income, respectively. Interest income is included within interest income, net on our consolidated statements of comprehensive income.</w:t>
      </w:r>
    </w:p>
    <w:p>
      <w:pPr>
        <w:spacing w:after="0" w:line="11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4"/>
          <w:szCs w:val="14"/>
          <w:color w:val="auto"/>
        </w:rPr>
        <w:t>Cash and cash equivalents include $21.3 million and $14.0 million at December 31, 2025 and 2024, respectively, for amounts in-transit from credit card companies since settlement is reasonably assured and not restricted.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5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4"/>
          <w:szCs w:val="14"/>
          <w:color w:val="auto"/>
        </w:rPr>
        <w:t>The Company maintains certain cash balances restricted as to withdrawal or use. Restricted cash is comprised primarily of cash used as collateral with the Company’s insurance carrier related to a portion of our workers’ compensation obligations and a portion of our customs obligation that the U.S Customs and Border Protection requires us to collateralize.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Receivables</w:t>
      </w:r>
    </w:p>
    <w:p>
      <w:pPr>
        <w:spacing w:after="0" w:line="14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Company’s accounts receivables are $0.7 million and $1.3 million, respectively, at December 31, 2025 and 2024, net of allowance for expected credit losses of $0.4 million and $0.4 million, respectively. The allowance for expected credit losses is determined by considering a number of factors, including the length of time trade accounts receivables are past due, previous loss history, the client’s current ability to pay its obligations, and the current and future condition of the general economy and industry as a whole. Accounts receivables are written off when they become uncollectible and any payments subsequently received on such receivables are credited to the allowance for expected credit losses. Accounts receivables are recorded at the invoiced amount and do not bear 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47"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4"/>
          <w:szCs w:val="14"/>
          <w:color w:val="auto"/>
        </w:rPr>
        <w:t>Net revenue consists of sales to clients, net of returns and discounts. Net revenue and cost of goods sold are recognized when performance obligations under the terms of the contract are satisfied and the control of merchandise has been transferred to a client, which occurs when merchandise is received by our clients. Net revenue from “direct-to-client” and “home-delivered” sales are recognized when the merchandise is delivered to the client. Net revenue from “cash-and-carry” Showroom sales are recognized at the point of sale in the Showroom. Discounts provided to clients are accounted for as a reduction of sales at the point of sale. Sales commissions are incremental costs and are expensed as incurred.</w:t>
      </w:r>
    </w:p>
    <w:p>
      <w:pPr>
        <w:spacing w:after="0" w:line="1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 reserve is recorded for projected merchandise returns based on actual historical return rates. The Company provides an allowance for sales returns based on historical return rates less expected restocking fee income. Actual merchandise returns are monitored regularly and have not been materially different from the estimates recorded. Merchandise returns are granted for various reasons, including delays in merchandise delivery, merchandise quality issues, client preference and other similar matters. The Company has various return policies for their merchandise, depending on the type of merchandise sold. Returned merchandise often represents merchandise that can be resold. Amounts refunded to clients are generally made by issuing the same payment tender as used in the original purchase. Merchandise exchanges of the same merchandise at the same price are not considered merchandise returns and, therefore, are excluded when calculating the sales returns reserve.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0"/>
        </w:trPr>
        <w:tc>
          <w:tcPr>
            <w:tcW w:w="68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the period</w:t>
            </w:r>
          </w:p>
        </w:tc>
        <w:tc>
          <w:tcPr>
            <w:tcW w:w="8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9,600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7,985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8,330</w:t>
            </w:r>
          </w:p>
        </w:tc>
      </w:tr>
      <w:tr>
        <w:trPr>
          <w:trHeight w:val="190"/>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for sales returns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31,075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28,864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30,834</w:t>
            </w:r>
          </w:p>
        </w:tc>
      </w:tr>
      <w:tr>
        <w:trPr>
          <w:trHeight w:val="19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Actual sales returns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(30,100)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(27,249)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(31,179)</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end of the period</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10,575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9,600</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7,985</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4"/>
          <w:szCs w:val="14"/>
          <w:color w:val="auto"/>
        </w:rPr>
        <w:t>The Company also recognizes a right of return asset for the estimated value of the right to recover products from returns, which is reduced by the estimated restocking costs based on historical restocking expense. The right of return asset is recognized on a gross basis outside of the allowance for sales returns. The right of return asset of $2.1 million and $1.9 million at December 31, 2025 and 2024, respectively, is recorded in prepaid expense and other current assets on the consolidated balance sheets.</w:t>
      </w:r>
    </w:p>
    <w:p>
      <w:pPr>
        <w:spacing w:after="0" w:line="10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All taxes assessed by a government authority that are both imposed on and concurrent with a specific revenue producing transaction and collected by the Company from clients are excluded from the measurement of the transaction price. As a result, sales are stated net of tax.</w:t>
      </w:r>
    </w:p>
    <w:p>
      <w:pPr>
        <w:spacing w:after="0" w:line="9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The Company collects various taxes as an agent in connection with the sale of merchandise and remits these amounts to the respective taxing authorities. These taxes are included within accrued taxes line item of the consolidated balance sheets until remitted to the respective taxing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Shipping and handling is recognized as an activity to fulfill the performance obligation of transferring merchandise to clients, therefore the fees are recorded in net revenue. The costs incurred by the Company for shipping and handling are included in cost of goods sold, and the costs of shipping and handling activities are accrued for in the same period as the delivery to clients.</w:t>
      </w:r>
    </w:p>
    <w:p>
      <w:pPr>
        <w:spacing w:after="0" w:line="10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4"/>
          <w:szCs w:val="14"/>
          <w:color w:val="auto"/>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that substantially all client deposits as of December 31, 2025 will be recognized within the next 12 months as the performance obligations are satisfied.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Label Credit Card</w:t>
      </w:r>
    </w:p>
    <w:p>
      <w:pPr>
        <w:spacing w:after="0" w:line="14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4"/>
          <w:szCs w:val="14"/>
          <w:color w:val="auto"/>
        </w:rPr>
        <w:t>The Company has an agreement with a Credit Card Issuer (“Issuer”) to provide clients with private label credit cards (the “Card Agreement”) which was amended on January 13, 2021 to extend the term of the agreement through August 31, 2026. Each private label credit card bears the Arhaus brand logo and can only be used at the Company’s Showroom locations or website. The Issuer is the sole owner of the accounts issued under the private label credit card program and absorbs the losses associated with non-payment by the private label card holders.</w:t>
      </w:r>
    </w:p>
    <w:p>
      <w:pPr>
        <w:spacing w:after="0" w:line="1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During the term of the Card Agreement, the Company receives a percentage of private label credit card sales from the Issuer and is also eligible to receive incentive payments for the achievement of certain targets. These funds are recorded within net revenue in the consolidated statements of comprehensive income. The Company also receives reimbursement funds from the Issuer for certain expenses the Company incurs. These reimbursement funds are used by the Company to fund marketing and other programs associated with the private label credit card and are recorded within net revenue in the consolidated statements of comprehensive income.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Loyalty Reward Program</w:t>
      </w:r>
    </w:p>
    <w:p>
      <w:pPr>
        <w:spacing w:after="0" w:line="1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Company offers a loyalty reward program for clients who use the Company’s private label credit card to receive rewards based on the client’s merchandise purchases. The liabilities associated with the rewards are established on the consolidated balance sheets when the rewards are issued and are removed from the consolidated balance sheets, either when used by the client or upon expiration (three months from when the reward is issued). At December 31, 2025 and 2024, outstanding liabilities related to the loyalty reward program of $2.0 million and $2.0 million, respectively, are included within the accrued other expenses line item of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Merchandise Inventory</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Company’s merchandise inventory is comprised primarily of finished goods and is carried at the lower of cost or net realizable value, with cost determined on a weighted-average cost method. To determine if the value of inventory should be marked down, below original cost, we use estimates to determine the lower of cost or net realizable value, which considers current and anticipated demand, client preference and merchandise age.</w:t>
      </w:r>
    </w:p>
    <w:p>
      <w:pPr>
        <w:spacing w:after="0" w:line="10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4"/>
          <w:szCs w:val="14"/>
          <w:color w:val="auto"/>
        </w:rPr>
        <w:t>Reserves for shrinkage are estimated and recorded throughout the period as a percentage of current merchandise inventory levels and historical shrinkage results. Actual shrinkage is recorded throughout the year based upon periodic cycle counts and the results of the Company’s physical inventory 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Merchandise inventory includes reserves of $17.4 million and $8.7 million at December 31, 2025 and 2024, respectively.</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Prepaid and Other Current Assets</w:t>
            </w: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16"/>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consist of the following (amounts in thousands):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8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170"/>
        </w:trPr>
        <w:tc>
          <w:tcPr>
            <w:tcW w:w="80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13,293</w:t>
            </w: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return asset</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r>
      <w:tr>
        <w:trPr>
          <w:trHeight w:val="179"/>
        </w:trPr>
        <w:tc>
          <w:tcPr>
            <w:tcW w:w="80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Prepaid cloud computing arrangements, net</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w:t>
            </w: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9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17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r>
      <w:tr>
        <w:trPr>
          <w:trHeight w:val="17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prepaid and other current assets</w:t>
            </w:r>
          </w:p>
        </w:tc>
        <w:tc>
          <w:tcPr>
            <w:tcW w:w="9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25,425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31,852</w:t>
            </w:r>
          </w:p>
        </w:tc>
      </w:tr>
      <w:tr>
        <w:trPr>
          <w:trHeight w:val="20"/>
        </w:trPr>
        <w:tc>
          <w:tcPr>
            <w:tcW w:w="8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00" w:hanging="96"/>
        <w:spacing w:after="0"/>
        <w:tabs>
          <w:tab w:leader="none" w:pos="100" w:val="left"/>
        </w:tabs>
        <w:numPr>
          <w:ilvl w:val="0"/>
          <w:numId w:val="28"/>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Presented net of accumulated amortization of $8.7 million and $5.3 million as of December 31, 2025 and 2024,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Advertising Costs</w:t>
      </w:r>
    </w:p>
    <w:p>
      <w:pPr>
        <w:spacing w:after="0" w:line="15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Except for costs associated with the semi-annual catalogs, the Company expenses advertising costs as incurred. Advertising costs amounted to $45.6 million, $47.5 million and $43.0 million for the years ended December 31, 2025, 2024 and 2023, respectively, and are included within the selling, general and administrative expenses line item on the consolidated statements of comprehensive income. Expense associated with the catalogs are recognized upon the delivery of the catalogs to the carrier.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Accounting</w:t>
      </w:r>
    </w:p>
    <w:p>
      <w:pPr>
        <w:spacing w:after="0" w:line="14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leases real estate for Showrooms, corporate headquarters, distribution centers, warehouses and equipment. We determine if a contract contains a lease at inception based on our right to control the use of an identified asset and our right to obtain substantially all the economic benefits from the use of that identified asset. Our leases often have the option to renew lease terms and certain lease agreements may be terminated prior to their original expiration date. The Company assesses these options to determine if we are reasonably certain to exercise them based on all relevant economic and financial factors. Any options that meet these criteria are included in the lease term at lease commencement. The Company elected to exclude short-term leases from our consolidated balance sheets. Our lease agreements do not contain any material residual value guarantees or material restrictive covenants.</w:t>
      </w:r>
    </w:p>
    <w:p>
      <w:pPr>
        <w:spacing w:after="0" w:line="12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The Company elected the practical expedient to not separate lease and non-lease components. We determine the lease classification and begin to recognize lease and any related expenses upon the lease’s commencement, which is generally when we take possession or control of the asset.</w:t>
      </w:r>
    </w:p>
    <w:p>
      <w:pPr>
        <w:spacing w:after="0" w:line="9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Lease arrangements may require the landlord to provide tenant allowances for the Company’s real estate leases. Standard tenant allowances received from landlords, typically those received under operating lease agreements, are recorded as cash and cash equivalents with an offset recorded in operating right-of-use assets on the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Classification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real estate and equipment leases are classified as finance leases. Lease characteristics that we evaluate to</w:t>
      </w:r>
    </w:p>
    <w:p>
      <w:pPr>
        <w:ind w:right="60"/>
        <w:spacing w:after="0" w:line="237" w:lineRule="auto"/>
        <w:rPr>
          <w:sz w:val="20"/>
          <w:szCs w:val="20"/>
          <w:color w:val="auto"/>
        </w:rPr>
      </w:pPr>
      <w:r>
        <w:rPr>
          <w:rFonts w:ascii="Times New Roman" w:cs="Times New Roman" w:eastAsia="Times New Roman" w:hAnsi="Times New Roman"/>
          <w:sz w:val="14"/>
          <w:szCs w:val="14"/>
          <w:color w:val="auto"/>
        </w:rPr>
        <w:t>determine lease classification include, but are not limited to, the lease term, incremental borrowing rate and the fair value and economic life of the leased asset. Lease related assets classified as financing leases are included in financing right-of-use assets on the consolidated balance sheets. Financing lease assets and liabilities are recognized at the commencement date of the lease based on the present value of future minimum lease payments over the lease term. For finance leases, interest expense is presented for the lease liability in the interest income, net line item of our consolidated statements of comprehensive income, consistent with how other interest expense is presented. The Company presents amortization of the right-of-use assets for finance leases in the cost of goods sold and selling, general and administrative expense line items of our consolidated statements of comprehensive income based on the nature of the expense or the leased asset’s use, consistent with presentation of depreciation or amortization of similar assets.</w:t>
      </w:r>
    </w:p>
    <w:p>
      <w:pPr>
        <w:spacing w:after="0" w:line="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Leases that do not meet the definition of a finance lease are considered operating leases. Lease related assets classified as operating leases are included in operating right-of-use assets on the consolidated balance sheets. Operating lease assets and liabilities are recognized at the commencement date of the lease based on the present value of future minimum lease payments over the lease term. For operating leases, the Company presents lease expense in the cost of goods sold and selling, general and administrative expense line items of our consolidated statements of comprehensive income based on the nature of the expense or the leased asset’s use. The Company recognizes lease cost on a straight-line basis over the term of the lease.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Payments</w:t>
      </w:r>
    </w:p>
    <w:p>
      <w:pPr>
        <w:spacing w:after="0" w:line="24"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4"/>
          <w:szCs w:val="14"/>
          <w:color w:val="auto"/>
        </w:rPr>
        <w:t>The majority of the real estate lease agreements include minimum rent payments which are subject to stated lease escalations over the lease term and eligible renewal periods. These stated fixed payments, through the lease term, are included in our measurement of the lease right-of-use assets and lease liabilities upon lease commencement.</w:t>
      </w:r>
    </w:p>
    <w:p>
      <w:pPr>
        <w:spacing w:after="0" w:line="15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4"/>
          <w:szCs w:val="14"/>
          <w:color w:val="auto"/>
        </w:rPr>
        <w:t>Certain Showroom leases include variable rent payments dependent on meeting certain sales thresholds. Due to the variable and unpredictable nature of such payments, the Company does not recognize a lease right-of-use asset and lease liability related to such payments. Estimated variable rental payments are included in accrued expenses on the consolidated balance sheets in the period they are incurred and until such payments are made, and the related lease cost is included in cost of goods sold on the consolidated statements of comprehensive income.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Incremental Borrowing Rate</w:t>
      </w:r>
    </w:p>
    <w:p>
      <w:pPr>
        <w:spacing w:after="0" w:line="24" w:lineRule="exact"/>
        <w:rPr>
          <w:sz w:val="20"/>
          <w:szCs w:val="20"/>
          <w:color w:val="auto"/>
        </w:rPr>
      </w:pPr>
    </w:p>
    <w:p>
      <w:pPr>
        <w:jc w:val="both"/>
        <w:ind w:right="360"/>
        <w:spacing w:after="0" w:line="257" w:lineRule="auto"/>
        <w:rPr>
          <w:sz w:val="20"/>
          <w:szCs w:val="20"/>
          <w:color w:val="auto"/>
        </w:rPr>
      </w:pPr>
      <w:r>
        <w:rPr>
          <w:rFonts w:ascii="Times New Roman" w:cs="Times New Roman" w:eastAsia="Times New Roman" w:hAnsi="Times New Roman"/>
          <w:sz w:val="14"/>
          <w:szCs w:val="14"/>
          <w:color w:val="auto"/>
        </w:rPr>
        <w:t xml:space="preserve">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See Note 7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further discussion on how the Company estimated the IBR.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Furniture and Equipment</w:t>
      </w:r>
    </w:p>
    <w:p>
      <w:pPr>
        <w:spacing w:after="0" w:line="14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4"/>
          <w:szCs w:val="14"/>
          <w:color w:val="auto"/>
        </w:rPr>
        <w:t>Property, furniture and equipment is stated at cost, net of accumulated depreciation and amortization. Depreciation and amortization is calculated using the straight-line method generally using the following useful lives: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Asset class/type</w:t>
            </w:r>
          </w:p>
        </w:tc>
        <w:tc>
          <w:tcPr>
            <w:tcW w:w="7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 life-years</w:t>
            </w:r>
          </w:p>
        </w:tc>
      </w:tr>
      <w:tr>
        <w:trPr>
          <w:trHeight w:val="170"/>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0" w:type="dxa"/>
            <w:vAlign w:val="bottom"/>
            <w:tcBorders>
              <w:top w:val="single" w:sz="8" w:color="CCEEFF"/>
            </w:tcBorders>
            <w:shd w:val="clear" w:color="auto" w:fill="CCEEFF"/>
          </w:tcPr>
          <w:p>
            <w:pPr>
              <w:spacing w:after="0"/>
              <w:rPr>
                <w:sz w:val="14"/>
                <w:szCs w:val="14"/>
                <w:color w:val="auto"/>
              </w:rPr>
            </w:pPr>
          </w:p>
        </w:tc>
        <w:tc>
          <w:tcPr>
            <w:tcW w:w="7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Lesser of the intended useful life of the underlying asset or lease term</w:t>
            </w:r>
          </w:p>
        </w:tc>
      </w:tr>
      <w:tr>
        <w:trPr>
          <w:trHeight w:val="17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Landlord improvements</w:t>
            </w:r>
          </w:p>
        </w:tc>
        <w:tc>
          <w:tcPr>
            <w:tcW w:w="7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Lesser of the intended useful life of the underlying asset or lease term</w:t>
            </w:r>
          </w:p>
        </w:tc>
      </w:tr>
      <w:tr>
        <w:trPr>
          <w:trHeight w:val="17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7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 to 5 years</w:t>
            </w:r>
          </w:p>
        </w:tc>
      </w:tr>
      <w:tr>
        <w:trPr>
          <w:trHeight w:val="179"/>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Computers and equipment</w:t>
            </w:r>
          </w:p>
        </w:tc>
        <w:tc>
          <w:tcPr>
            <w:tcW w:w="7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 to 10 years</w:t>
            </w:r>
          </w:p>
        </w:tc>
      </w:tr>
      <w:tr>
        <w:trPr>
          <w:trHeight w:val="17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7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 to 10 years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was $46.8 million, $39.1 million and $29.4 million for the years ended December 31, 2025, 2024 and 2023, respectively.</w:t>
      </w:r>
    </w:p>
    <w:p>
      <w:pPr>
        <w:spacing w:after="0" w:line="15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Property, furniture and equipment is reviewed for impairment whenever events or changes in circumstances indicate that the carrying amount of assets may not be recoverable. For further discussion regarding the impairment accounting policy refer to “Long-Lived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Software Capitalization</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For software developed or obtained for internal use, the Company capitalizes direct external costs associated with developing or obtaining internal-use software. Capitalized costs related to internal-use software under development are treated as construction-in-progress until the program, feature or functionality is ready for its intended use, at which time depreciation commences. These costs are amortized on a straight-line basis over the estimated useful life of the software, which generally is three years. The Company expenses any data conversion or training costs as incurred. Capitalized software costs are included in property, furniture and equipment, net in the consolidated balance sheets.</w:t>
      </w:r>
    </w:p>
    <w:p>
      <w:pPr>
        <w:spacing w:after="0" w:line="16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Company defers costs incurred, including certain payroll costs for employees directly associated with and who devote time to the implementation of a cloud computing arrangement (“CCA”) that is a service contract, consistent with our policy for software developed or obtained for internal use. The deferred implementation costs are amortized on a straight-line basis over the term of the CCA, generally ranging from one to five years, in selling, general and administrative expenses in the consolidated statements of comprehensive income, which is the same line item as the associated hosting fees. The eligible implementation costs incurred in connection with a CCA are included in prepaid and other current assets and other noncurrent assets in the consolidated balance sheets, and in operating cash flows of the consolidated statements of cash flows. Deferred CCA implementation costs were $4.9 million and $6.8 million, net of accumulated amortization of $4.7 million and $2.3 million for the years ended December 31, 2025 and 2024, respectively.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5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assets and liabilities acquired in a business combination. The Company operates as one segment and has a single reporting unit, “Arhaus Consolidated”. For the purposes of goodwill impairment testing, a reporting unit is defined as an operating segment or one level below an operating segment (referred to as a component) for which discrete financial information is available.</w:t>
      </w:r>
    </w:p>
    <w:p>
      <w:pPr>
        <w:spacing w:after="0" w:line="104"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We test goodwill for impairment on an annual basis in the fourth quarter of each year, and more frequently if events or changes in circumstances indicate that it might be impaired. Circumstances that may indicate impairment include, but are not limited to:</w:t>
      </w:r>
    </w:p>
    <w:p>
      <w:pPr>
        <w:spacing w:after="0" w:line="93" w:lineRule="exact"/>
        <w:rPr>
          <w:sz w:val="20"/>
          <w:szCs w:val="20"/>
          <w:color w:val="auto"/>
        </w:rPr>
      </w:pPr>
    </w:p>
    <w:p>
      <w:pPr>
        <w:ind w:left="500" w:hanging="24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Deterioration in general economic conditions, limitations on accessing capital, or other developments in equity and credit markets;</w:t>
      </w:r>
    </w:p>
    <w:p>
      <w:pPr>
        <w:spacing w:after="0" w:line="22" w:lineRule="exact"/>
        <w:rPr>
          <w:rFonts w:ascii="Times New Roman" w:cs="Times New Roman" w:eastAsia="Times New Roman" w:hAnsi="Times New Roman"/>
          <w:sz w:val="14"/>
          <w:szCs w:val="14"/>
          <w:color w:val="auto"/>
        </w:rPr>
      </w:pPr>
    </w:p>
    <w:p>
      <w:pPr>
        <w:ind w:left="520" w:hanging="263"/>
        <w:spacing w:after="0" w:line="25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and market considerations such as deterioration in the environment in which the Company operates, an increased competitive environment, a decline in market dependent multiples or metrics, a change in the market for the Company’s merchandise or services, or a regulatory or political development;</w:t>
      </w:r>
    </w:p>
    <w:p>
      <w:pPr>
        <w:ind w:left="500" w:hanging="24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factors that have a negative effect on earnings and cash flows;</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financial performance;</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management, key personnel, strategy, or clients; and</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sustained decrease in share price in either absolute terms or relative to peers.</w:t>
      </w:r>
    </w:p>
    <w:p>
      <w:pPr>
        <w:spacing w:after="0" w:line="14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Under U.S. GAAP, we have the option to first assess qualitative factors in order to determine if it is more likely than not that the fair value of our reporting unit is greater than its carrying value (“Step 0”). The term more likely than not refers to a level of likelihood that is more than 50 percent. If the qualitative assessment leads to a determination that the reporting unit’s fair value is likely less than its carrying value, or if we elect to bypass the qualitative assessment altogether, we are required to perform a quantitative impairment test (“Step 1”) by calculating the fair value of the reporting unit and comparing the fair value with its associated carrying value. We will recognize an impairment charge for the amount by which the carrying amount exceeds the reporting unit’s fair value.</w:t>
      </w:r>
    </w:p>
    <w:p>
      <w:pPr>
        <w:spacing w:after="0" w:line="10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4"/>
          <w:szCs w:val="14"/>
          <w:color w:val="auto"/>
        </w:rPr>
        <w:t>We determine fair values using an equally weighted combination of the discounted cash flow approach (“income approach”) and the guideline public company method (“market approach”), based upon the relevance and availability of the data at the time we perform the valuation.</w:t>
      </w:r>
    </w:p>
    <w:p>
      <w:pPr>
        <w:spacing w:after="0" w:line="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Under the income approach, fair value is determined based on the present value of estimated future cash flows, discounted at an appropriate risk-adjusted rate. We use our internal forecasts to estimate future cash flows and include an estimate of long-term future growth rates based on our most recent views of the long-term outlook for the reporting unit. Actual results may differ from those assumed in our forecasts. We derive our discount rate based on our weighted average cost of capital determined by using a combination of the capital asset pricing model, the cost of debt and an appropriate industry capital structure. We use a discount rate that is commensurate with the risks and uncertainty inherent in the respective businesses and in our internally developed forecasts. Valuations using the market approach are derived from metrics of publicly traded companies that are deemed sufficiently similar to the Company.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w:t>
      </w:r>
    </w:p>
    <w:p>
      <w:pPr>
        <w:spacing w:after="0" w:line="147"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4"/>
          <w:szCs w:val="14"/>
          <w:color w:val="auto"/>
        </w:rPr>
        <w:t>The Company evaluates long-lived assets, such as property, furniture and equipment and lease right-of-use assets, for impairment whenever events or changes in circumstances indicate that the carrying amount of those assets may not be recoverable. Circumstances that may indicate impairment include, but are not limited to:</w:t>
      </w:r>
    </w:p>
    <w:p>
      <w:pPr>
        <w:spacing w:after="0" w:line="93" w:lineRule="exact"/>
        <w:rPr>
          <w:sz w:val="20"/>
          <w:szCs w:val="20"/>
          <w:color w:val="auto"/>
        </w:rPr>
      </w:pPr>
    </w:p>
    <w:p>
      <w:pPr>
        <w:ind w:left="500" w:hanging="24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decrease in the market price of a long-lived asset or asset group;</w:t>
      </w:r>
    </w:p>
    <w:p>
      <w:pPr>
        <w:spacing w:after="0" w:line="2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adverse change in the extent or manner in which a long-lived asset or asset group is being used or in its physical condition;</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significant adverse change in legal factors or in the business climate that could affect the value of a long-lived asset or asset group, including an adverse action or assessment by a regulator;</w:t>
      </w:r>
    </w:p>
    <w:p>
      <w:pPr>
        <w:spacing w:after="0" w:line="7"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accumulation of costs significantly in excess of the amount originally expected for the acquisition or construction of a long-lived asset or asset group;</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right="80" w:hanging="263"/>
        <w:spacing w:after="0" w:line="262"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current-period operating or cash flow loss combined with a history of operating or cash flow losses or a projection or forecast that demonstrates continuing losses associated with the use of a long-lived asset or asset group; and</w:t>
      </w:r>
    </w:p>
    <w:p>
      <w:pPr>
        <w:ind w:left="500" w:hanging="243"/>
        <w:spacing w:after="0"/>
        <w:tabs>
          <w:tab w:leader="none" w:pos="5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current expectation that, more likely than not, a long-lived asset or asset group will be sold or otherwise disposed of significantly before the end of its previously estimated useful life.</w:t>
      </w:r>
    </w:p>
    <w:p>
      <w:pPr>
        <w:spacing w:after="0" w:line="130"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4"/>
          <w:szCs w:val="14"/>
          <w:color w:val="auto"/>
        </w:rPr>
        <w:t>An asset group is defined as the lowest level for which identifiable cash flows are available and largely independent of the cash flows of other groups of assets, which for our Showrooms is the individual Showroom level.</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In those circumstances that may indicate an impairment, the Company performs an undiscounted cash flow analysis to determine if an impairment exists. If the sum of the estimated undiscounted future cash flows over the remaining life of the asset are less than the carrying value, the Company will recognize an impairment charge equal to the difference between the carrying value and the fair value, usually determined by the estimated discounted future cash flows associated with the asset.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management’s analysis, there were no impairment charges relating to long-lived assets during 2025, 2024, or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Merchandise Warranties</w:t>
      </w:r>
    </w:p>
    <w:p>
      <w:pPr>
        <w:spacing w:after="0" w:line="15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The Company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at the time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Pr>
          <w:p>
            <w:pPr>
              <w:spacing w:after="0"/>
              <w:rPr>
                <w:sz w:val="20"/>
                <w:szCs w:val="20"/>
                <w:color w:val="auto"/>
              </w:rPr>
            </w:pPr>
            <w:r>
              <w:rPr>
                <w:rFonts w:ascii="Times New Roman" w:cs="Times New Roman" w:eastAsia="Times New Roman" w:hAnsi="Times New Roman"/>
                <w:sz w:val="14"/>
                <w:szCs w:val="14"/>
                <w:color w:val="auto"/>
              </w:rPr>
              <w:t>A reconciliation of the changes in our limited merchandise warranty liability is as follows (amounts in thousands):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31"/>
        </w:trPr>
        <w:tc>
          <w:tcPr>
            <w:tcW w:w="6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5"/>
        </w:trPr>
        <w:tc>
          <w:tcPr>
            <w:tcW w:w="6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0"/>
        </w:trPr>
        <w:tc>
          <w:tcPr>
            <w:tcW w:w="68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
        </w:trPr>
        <w:tc>
          <w:tcPr>
            <w:tcW w:w="6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beginning of the period</w:t>
            </w:r>
          </w:p>
        </w:tc>
        <w:tc>
          <w:tcPr>
            <w:tcW w:w="88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6,375</w:t>
            </w:r>
          </w:p>
        </w:tc>
      </w:tr>
      <w:tr>
        <w:trPr>
          <w:trHeight w:val="186"/>
        </w:trPr>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Accruals during the period</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13,941</w:t>
            </w:r>
          </w:p>
        </w:tc>
      </w:tr>
      <w:tr>
        <w:trPr>
          <w:trHeight w:val="19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Settlements during the period</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(13,232)</w:t>
            </w:r>
          </w:p>
        </w:tc>
      </w:tr>
      <w:tr>
        <w:trPr>
          <w:trHeight w:val="183"/>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end of the period</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7,627</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7,084</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color w:val="auto"/>
        </w:rPr>
        <w:t>We recorded accruals in the cost of goods sold line item in the consolidated statements of comprehensive income during the periods presented in the table above, primarily to reflect charges that relate to warranties issued during the respective periods.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take into account all expected future events then known to us, other than changes in the tax law or rates which have not yet been enacted and which are not permitted to be considered. We may record a valuation allowance to reduce our net deferred tax assets to the amount that is more-likely-than-not to be realized. The determination as to whether a deferred tax asset will be realized is made on a jurisdictional basis and is based upon the weight of available evidence. Future taxable income of the appropriate character in either the carryback or carryforward period under the tax law and ongoing prudent and feasible tax planning are considered in determining the amount of the valuation allowance, and the amount of the allowance is subject to adjustment in the future. Specifically, in the event we were to determine that it is not more-likely-than-not that we would be able to realize our net deferred tax assets in the future, an adjustment to the valuation allowance would decrease net income in the period such determination is made. This allowance does not alter our ability to utilize the underlying tax net operating loss and credit carryforwards in the future, the utilization of which requires future taxable income.</w:t>
      </w:r>
    </w:p>
    <w:p>
      <w:pPr>
        <w:spacing w:after="0" w:line="11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The accounting standard for uncertainty in income taxes prescribes a recognition threshold that a tax position is required to meet before being recognized in the financial statements and provides guidance on subsequent recognition, derecognition, and measurement based on management’s best judgment given the facts, circumstances, and information available at the reporting date. Differences between tax positions taken in a tax return and amounts recognized in the financial statements generally result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in an increase in liability for income taxes payable or a reduction of an income tax refund receivable, or a reduction in a deferred tax asset or an increase in a deferred tax liability, or both. At December 31, 2025 and 2024, the Company assessed its income tax positions and concluded that it had no unrecognized tax benefits. We recognize interest and penalties related to unrecognized tax benefits in income tax expense on the consolidated statements of comprehensive income. No such interest and penalties were recorded for the years ended December 31, 2025, 2024 or 2023.</w:t>
      </w:r>
    </w:p>
    <w:p>
      <w:pPr>
        <w:spacing w:after="0" w:line="11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 Company is subject to federal, state and local income tax examinations by tax authorities. With few exceptions, the Company is no longer subject to federal, state and local tax examinations for the years before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w:t>
      </w:r>
    </w:p>
    <w:p>
      <w:pPr>
        <w:spacing w:after="0" w:line="1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includes all logistics costs associated with shipping product to our clients, partially offset by delivery fees collected from clients (recorded in net revenue on the consolidated statements of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SG&amp;A expenses as a percentage of net revenue are usually higher in lower-volume quarters and lower in higher-volume quarters because a significant portion of the costs are fixed.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Gift Cards</w:t>
      </w:r>
    </w:p>
    <w:p>
      <w:pPr>
        <w:spacing w:after="0" w:line="1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December 31, 2025 and 2024 of $0.6 million and $0.5 million, respectively, is recorded in the accrued other expenses line item of the consolidated balance sheets. The Company recognizes income associated with breakage proportional to actual gift card redemptions. For the years ended December 31, 2025, 2024, and 2023, breakage income was minimal.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Self-Insurance</w:t>
      </w:r>
    </w:p>
    <w:p>
      <w:pPr>
        <w:spacing w:after="0" w:line="1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We maintain insurance coverage for significant exposures as well as those risks that, by law, must be insured. In the case of health care coverage for employees, we have a managed self-insurance program related to claims filed. Expenses related to this self-insured program are computed on an actuarial basis, based on claims experience, regulatory requirements, an estimate of claims incurred but not yet reported (“IBNR”) and other relevant factors. The projections involved in this process are subject to uncertainty related to the timing and number of claims filed, levels of IBNR, fluctuations in health care costs and changes to regulatory requirements. The liability related to IBNR at December 31, 2025 and 2024 of $1.6 million and $1.4 million, respectively, is recorded in the accrued other expenses line item of the consolidated balance sheets. We carry workers’ compensation insurance subject to a deductible amount for which we are responsible on each claim. We recorded liabilities related to workers’ compensation claims of $0.4 million and $0.6 million at December 31, 2025 and 2024,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Risk and Concentration Risk</w:t>
      </w:r>
    </w:p>
    <w:p>
      <w:pPr>
        <w:spacing w:after="0" w:line="147"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Approximately 11%, 12% and 15% of the Company’s merchandise was purchased from one external vendor for the years ended December 31, 2025, 2024 and 2023, respectively. No other external vendor made up more than 10% of purchases for the years ended December 31, 2025, 2024 and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Values of Financial Instruments</w:t>
      </w:r>
    </w:p>
    <w:p>
      <w:pPr>
        <w:spacing w:after="0" w:line="15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 xml:space="preserve">The Company’s primary financial instruments are cash and cash equivalent investments, accounts receivable, payables, lease obligations, and equity based compensation instruments. Due to the short-term maturities of cash and cash equivalent investments, accounts receivable and payables, the Company believes the fair values of these instruments approximate their respective carrying values at December 31, 2025 and 2024. See Note 7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discussion of our lease obligations and Note 8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Based Compensation</w:t>
      </w:r>
      <w:r>
        <w:rPr>
          <w:rFonts w:ascii="Times New Roman" w:cs="Times New Roman" w:eastAsia="Times New Roman" w:hAnsi="Times New Roman"/>
          <w:sz w:val="14"/>
          <w:szCs w:val="14"/>
          <w:color w:val="auto"/>
        </w:rPr>
        <w:t xml:space="preserve"> for discussion of our equity based compensation instruments.</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spacing w:after="0" w:line="10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Unadjusted quoted prices in active markets for identical, unrestricted assets and liabilities that the reporting entity has the ability to access at the measurement date.</w:t>
      </w:r>
    </w:p>
    <w:p>
      <w:pPr>
        <w:spacing w:after="0" w:line="155" w:lineRule="exact"/>
        <w:rPr>
          <w:sz w:val="20"/>
          <w:szCs w:val="20"/>
          <w:color w:val="auto"/>
        </w:rPr>
      </w:pPr>
    </w:p>
    <w:p>
      <w:pPr>
        <w:ind w:left="520" w:right="640" w:hanging="505"/>
        <w:spacing w:after="0" w:line="284" w:lineRule="auto"/>
        <w:tabs>
          <w:tab w:leader="none" w:pos="500" w:val="left"/>
        </w:tabs>
        <w:rPr>
          <w:sz w:val="20"/>
          <w:szCs w:val="20"/>
          <w:color w:val="auto"/>
        </w:rPr>
      </w:pPr>
      <w:r>
        <w:rPr>
          <w:rFonts w:ascii="Times New Roman" w:cs="Times New Roman" w:eastAsia="Times New Roman" w:hAnsi="Times New Roman"/>
          <w:sz w:val="14"/>
          <w:szCs w:val="14"/>
          <w:color w:val="auto"/>
        </w:rPr>
        <w:t>Level 2</w:t>
        <w:tab/>
        <w:t>Inputs other than quoted prices included within Level 1 that are observable for the asset and liability or can be corroborated with observable market data for substantially the entire contractual term of the asset or liability.</w:t>
      </w:r>
    </w:p>
    <w:p>
      <w:pPr>
        <w:spacing w:after="0" w:line="93" w:lineRule="exact"/>
        <w:rPr>
          <w:sz w:val="20"/>
          <w:szCs w:val="20"/>
          <w:color w:val="auto"/>
        </w:rPr>
      </w:pPr>
    </w:p>
    <w:p>
      <w:pPr>
        <w:ind w:left="520" w:right="200" w:hanging="505"/>
        <w:spacing w:after="0" w:line="284" w:lineRule="auto"/>
        <w:tabs>
          <w:tab w:leader="none" w:pos="500" w:val="left"/>
        </w:tabs>
        <w:rPr>
          <w:sz w:val="20"/>
          <w:szCs w:val="20"/>
          <w:color w:val="auto"/>
        </w:rPr>
      </w:pPr>
      <w:r>
        <w:rPr>
          <w:rFonts w:ascii="Times New Roman" w:cs="Times New Roman" w:eastAsia="Times New Roman" w:hAnsi="Times New Roman"/>
          <w:sz w:val="14"/>
          <w:szCs w:val="14"/>
          <w:color w:val="auto"/>
        </w:rPr>
        <w:t>Level 3</w:t>
        <w:tab/>
        <w:t>Unobservable inputs that reflect the entity’s own assumptions about the assumptions market participants would use in the pricing of the asset or liability and are consequently not based on market activity but rather through particular valuation techniques.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Financing Fees</w:t>
      </w:r>
    </w:p>
    <w:p>
      <w:pPr>
        <w:spacing w:after="0" w:line="15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Debt issuance costs were recorded as part of the establishment and subsequent amendments of the Company’s financing arrangements (see Note 6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The debt issuance costs were recorded within the other noncurrent assets line item on the consolidated balance sheets and are amortized as interest expense over the contractual life of the debt structure using the straight-line method.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Stockholders’ Equity</w:t>
      </w:r>
    </w:p>
    <w:p>
      <w:pPr>
        <w:spacing w:after="0" w:line="14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Holders of Class A common stock are entitled to one vote per share, and holders of Class B common stock are entitled to ten votes per share. Except as otherwise required in the Company’s Certificate of Incorporation or by applicable law, the holders of Class A common stock and Class B common stock shall vote together as a single class on all matters. Further, except as otherwise required in the Certificate of Incorporation or by applicable law, the holders of Class A common stock and Class B common stock shall be treated equally, identically and ratable in all respects as to all matters including, dividends, distributions, subdivision or combination and change of control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Based Compensation</w:t>
      </w:r>
    </w:p>
    <w:p>
      <w:pPr>
        <w:spacing w:after="0" w:line="14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 xml:space="preserve">In connection with the Reorganization, the Company adopted the 2021 Equity Incentive Plan (the “2021 Equity Plan”), which authorized the Company to grant stock options (either incentive or non-qualified), stock appreciation rights (“SARs”), restricted stock, restricted stock units (“RSUs”), performance shares, performance share units (“PSUs”) and other stock-based awards with respect to our Class A common stock. During the years ended December 31, 2025 and 2024, the Company granted RSU and PSU awards to certain of the Company’s named executive officers and other key employees under the 2021 Equity Plan. The Company also granted RSU awards to certain members of the Board of Directors and certain consultants. Generally, the fair value of each RSU and PSU award is determined based on the market value of the Company’s Class A common stock on the grant date. The fair value of the portion of PSUs related to relative Total Shareholder Return (“TSR”) is derived from a Monte Carlo valuation model that estimates fair value as of the grant date. Each RSU and PSU award recognizes costs as expense over the vesting period. Forfeitures are accounted for as they occur. See Note 8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Based Compensation</w:t>
      </w:r>
      <w:r>
        <w:rPr>
          <w:rFonts w:ascii="Times New Roman" w:cs="Times New Roman" w:eastAsia="Times New Roman" w:hAnsi="Times New Roman"/>
          <w:sz w:val="14"/>
          <w:szCs w:val="14"/>
          <w:color w:val="auto"/>
        </w:rPr>
        <w:t xml:space="preserve"> for further discussion on the awards granted under the 2021 Equity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Benefit Plans</w:t>
      </w:r>
    </w:p>
    <w:p>
      <w:pPr>
        <w:spacing w:after="0" w:line="15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The Company has a defined contribution retirement savings plan covering substantially all employees. The Company may contribute a discretionary matching contribution equal to a percentage that the Company deems advisable. Total costs recorded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in cost of goods sold and selling, general and administrative expenses on the consolidated statements of comprehensive income related to the plan were $4.6 million, $4.2 million and $3.7 million for the years ended December 31, 2025, 2024 and 2023,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and comprehensive income per share</w:t>
      </w:r>
    </w:p>
    <w:p>
      <w:pPr>
        <w:spacing w:after="0" w:line="1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Basic net and comprehensive income per share is computed as net and comprehensive income divided by the weighted-average number of common shares outstanding for the period. Diluted net and comprehensive income per share is computed as net and comprehensive income divided by the weighted-average number of common shares outstanding for the period and common share equivalents under equity plans using the treasury stock method. Potential dilutive securities are excluded from the computation of diluted net income per share if their effect is anti-dilutive.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 Adopted</w:t>
      </w:r>
    </w:p>
    <w:p>
      <w:pPr>
        <w:spacing w:after="0" w:line="14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 xml:space="preserve">The Company adopted Accounting Standards Updates (“ASU”) 2023-09 — Income Taxes (Topic 740): Improvements to Income Tax Disclosures during the year ended December 31, 2025. The adoption of ASU 2023-09 did not have a material impact on our accounting policies, financial position or results of operations but did require additional disclosures. See Note 13 —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for additional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Standards Not Yet Adopted</w:t>
      </w:r>
    </w:p>
    <w:p>
      <w:pPr>
        <w:spacing w:after="0" w:line="19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following table summarizes accounting standards which the Company has not yet adopted but will be adopted in upcoming fiscal years. ASU 2024-03 and the related ASU 2025-01 are effective for annual periods beginning after December 15, 2026. We are evaluating the impact these pronouncements will have on our consolidated financial statements and related disclosures. ASU 2025-05 is effective for annual periods beginning after December 15, 2025. We are evaluating the impact ASU 2025-05 will have on our consolidated financial statements and related disclosures. ASU 2025-06 is effective for annual periods beginning after December 15, 2027. We are evaluating the impact ASU 2025-06 will have on our consolidated financial statements and related disclosures.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ASU</w:t>
            </w:r>
          </w:p>
        </w:tc>
        <w:tc>
          <w:tcPr>
            <w:tcW w:w="7600" w:type="dxa"/>
            <w:vAlign w:val="bottom"/>
            <w:gridSpan w:val="2"/>
          </w:tcPr>
          <w:p>
            <w:pPr>
              <w:ind w:left="3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Adoption Date</w:t>
            </w:r>
          </w:p>
        </w:tc>
      </w:tr>
      <w:tr>
        <w:trPr>
          <w:trHeight w:val="155"/>
        </w:trPr>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5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Income Statement</w:t>
            </w:r>
            <w:r>
              <w:rPr>
                <w:rFonts w:ascii="Arial" w:cs="Arial" w:eastAsia="Arial" w:hAnsi="Arial"/>
                <w:sz w:val="16"/>
                <w:szCs w:val="16"/>
                <w:color w:val="auto"/>
              </w:rPr>
              <w:t>—</w:t>
            </w:r>
            <w:r>
              <w:rPr>
                <w:rFonts w:ascii="Times New Roman" w:cs="Times New Roman" w:eastAsia="Times New Roman" w:hAnsi="Times New Roman"/>
                <w:sz w:val="14"/>
                <w:szCs w:val="14"/>
                <w:color w:val="auto"/>
              </w:rPr>
              <w:t>Reporting Comprehensive Income</w:t>
            </w:r>
            <w:r>
              <w:rPr>
                <w:rFonts w:ascii="Arial" w:cs="Arial" w:eastAsia="Arial" w:hAnsi="Arial"/>
                <w:sz w:val="16"/>
                <w:szCs w:val="16"/>
                <w:color w:val="auto"/>
              </w:rPr>
              <w:t>—</w:t>
            </w:r>
            <w:r>
              <w:rPr>
                <w:rFonts w:ascii="Times New Roman" w:cs="Times New Roman" w:eastAsia="Times New Roman" w:hAnsi="Times New Roman"/>
                <w:sz w:val="14"/>
                <w:szCs w:val="14"/>
                <w:color w:val="auto"/>
              </w:rPr>
              <w:t>Expense Disaggregation Disclosures (Subtopic 220-40): Disaggregation of</w:t>
            </w:r>
          </w:p>
        </w:tc>
        <w:tc>
          <w:tcPr>
            <w:tcW w:w="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r>
      <w:tr>
        <w:trPr>
          <w:trHeight w:val="183"/>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2024-03</w:t>
            </w: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Statement Expenses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Fiscal Year 2027</w:t>
            </w:r>
          </w:p>
        </w:tc>
        <w:tc>
          <w:tcPr>
            <w:tcW w:w="420" w:type="dxa"/>
            <w:vAlign w:val="bottom"/>
          </w:tcPr>
          <w:p>
            <w:pPr>
              <w:spacing w:after="0"/>
              <w:rPr>
                <w:sz w:val="15"/>
                <w:szCs w:val="15"/>
                <w:color w:val="auto"/>
              </w:rPr>
            </w:pPr>
          </w:p>
        </w:tc>
      </w:tr>
      <w:tr>
        <w:trPr>
          <w:trHeight w:val="165"/>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2"/>
          </w:tcPr>
          <w:p>
            <w:pPr>
              <w:spacing w:after="0" w:line="164" w:lineRule="exact"/>
              <w:rPr>
                <w:sz w:val="20"/>
                <w:szCs w:val="20"/>
                <w:color w:val="auto"/>
              </w:rPr>
            </w:pPr>
            <w:r>
              <w:rPr>
                <w:rFonts w:ascii="Times New Roman" w:cs="Times New Roman" w:eastAsia="Times New Roman" w:hAnsi="Times New Roman"/>
                <w:sz w:val="14"/>
                <w:szCs w:val="14"/>
                <w:color w:val="auto"/>
              </w:rPr>
              <w:t>Income Statement</w:t>
            </w:r>
            <w:r>
              <w:rPr>
                <w:rFonts w:ascii="Arial" w:cs="Arial" w:eastAsia="Arial" w:hAnsi="Arial"/>
                <w:sz w:val="16"/>
                <w:szCs w:val="16"/>
                <w:color w:val="auto"/>
              </w:rPr>
              <w:t>—</w:t>
            </w:r>
            <w:r>
              <w:rPr>
                <w:rFonts w:ascii="Times New Roman" w:cs="Times New Roman" w:eastAsia="Times New Roman" w:hAnsi="Times New Roman"/>
                <w:sz w:val="14"/>
                <w:szCs w:val="14"/>
                <w:color w:val="auto"/>
              </w:rPr>
              <w:t>Reporting Comprehensive Income Expense</w:t>
            </w:r>
            <w:r>
              <w:rPr>
                <w:rFonts w:ascii="Arial" w:cs="Arial" w:eastAsia="Arial" w:hAnsi="Arial"/>
                <w:sz w:val="16"/>
                <w:szCs w:val="16"/>
                <w:color w:val="auto"/>
              </w:rPr>
              <w:t>—</w:t>
            </w:r>
            <w:r>
              <w:rPr>
                <w:rFonts w:ascii="Times New Roman" w:cs="Times New Roman" w:eastAsia="Times New Roman" w:hAnsi="Times New Roman"/>
                <w:sz w:val="14"/>
                <w:szCs w:val="14"/>
                <w:color w:val="auto"/>
              </w:rPr>
              <w:t>Disaggregation Disclosures (Subtopic 220-40): Clarifying the</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ASU 2025-01</w:t>
            </w: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Effective Date</w:t>
            </w:r>
          </w:p>
        </w:tc>
        <w:tc>
          <w:tcPr>
            <w:tcW w:w="2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8"/>
              </w:rPr>
              <w:t>Fiscal Year 2027</w:t>
            </w:r>
          </w:p>
        </w:tc>
      </w:tr>
      <w:tr>
        <w:trPr>
          <w:trHeight w:val="211"/>
        </w:trPr>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ASU 2025-05</w:t>
            </w: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w:t>
            </w:r>
            <w:r>
              <w:rPr>
                <w:rFonts w:ascii="Arial" w:cs="Arial" w:eastAsia="Arial" w:hAnsi="Arial"/>
                <w:sz w:val="16"/>
                <w:szCs w:val="16"/>
                <w:color w:val="auto"/>
              </w:rPr>
              <w:t>—</w:t>
            </w:r>
            <w:r>
              <w:rPr>
                <w:rFonts w:ascii="Times New Roman" w:cs="Times New Roman" w:eastAsia="Times New Roman" w:hAnsi="Times New Roman"/>
                <w:sz w:val="14"/>
                <w:szCs w:val="14"/>
                <w:color w:val="auto"/>
              </w:rPr>
              <w:t>Credit Losses (Topic 326): Measurement of Credit Losses for Accounts Receivable and Contract Assets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Fiscal Year 2026</w:t>
            </w:r>
          </w:p>
        </w:tc>
        <w:tc>
          <w:tcPr>
            <w:tcW w:w="420" w:type="dxa"/>
            <w:vAlign w:val="bottom"/>
          </w:tcPr>
          <w:p>
            <w:pPr>
              <w:spacing w:after="0"/>
              <w:rPr>
                <w:sz w:val="18"/>
                <w:szCs w:val="18"/>
                <w:color w:val="auto"/>
              </w:rPr>
            </w:pPr>
          </w:p>
        </w:tc>
      </w:tr>
      <w:tr>
        <w:trPr>
          <w:trHeight w:val="165"/>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0" w:type="dxa"/>
            <w:vAlign w:val="bottom"/>
            <w:gridSpan w:val="2"/>
          </w:tcPr>
          <w:p>
            <w:pPr>
              <w:spacing w:after="0" w:line="164" w:lineRule="exact"/>
              <w:rPr>
                <w:sz w:val="20"/>
                <w:szCs w:val="20"/>
                <w:color w:val="auto"/>
              </w:rPr>
            </w:pPr>
            <w:r>
              <w:rPr>
                <w:rFonts w:ascii="Times New Roman" w:cs="Times New Roman" w:eastAsia="Times New Roman" w:hAnsi="Times New Roman"/>
                <w:sz w:val="14"/>
                <w:szCs w:val="14"/>
                <w:color w:val="auto"/>
              </w:rPr>
              <w:t>Intangibles</w:t>
            </w:r>
            <w:r>
              <w:rPr>
                <w:rFonts w:ascii="Arial" w:cs="Arial" w:eastAsia="Arial" w:hAnsi="Arial"/>
                <w:sz w:val="16"/>
                <w:szCs w:val="16"/>
                <w:color w:val="auto"/>
              </w:rPr>
              <w:t>—</w:t>
            </w:r>
            <w:r>
              <w:rPr>
                <w:rFonts w:ascii="Times New Roman" w:cs="Times New Roman" w:eastAsia="Times New Roman" w:hAnsi="Times New Roman"/>
                <w:sz w:val="14"/>
                <w:szCs w:val="14"/>
                <w:color w:val="auto"/>
              </w:rPr>
              <w:t>Goodwill and Other</w:t>
            </w:r>
            <w:r>
              <w:rPr>
                <w:rFonts w:ascii="Arial" w:cs="Arial" w:eastAsia="Arial" w:hAnsi="Arial"/>
                <w:sz w:val="16"/>
                <w:szCs w:val="16"/>
                <w:color w:val="auto"/>
              </w:rPr>
              <w:t>—</w:t>
            </w:r>
            <w:r>
              <w:rPr>
                <w:rFonts w:ascii="Times New Roman" w:cs="Times New Roman" w:eastAsia="Times New Roman" w:hAnsi="Times New Roman"/>
                <w:sz w:val="14"/>
                <w:szCs w:val="14"/>
                <w:color w:val="auto"/>
              </w:rPr>
              <w:t>Internal Use Software (Subtopic 350-40): Targeted Improvements to the Accounting for</w:t>
            </w: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ASU 2025-06</w:t>
            </w:r>
          </w:p>
        </w:tc>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Internal Use Software</w:t>
            </w:r>
          </w:p>
        </w:tc>
        <w:tc>
          <w:tcPr>
            <w:tcW w:w="2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8"/>
              </w:rPr>
              <w:t>Fiscal Year 2028</w:t>
            </w:r>
          </w:p>
        </w:tc>
      </w:tr>
      <w:tr>
        <w:trPr>
          <w:trHeight w:val="907"/>
        </w:trPr>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20" w:type="dxa"/>
            <w:vAlign w:val="bottom"/>
          </w:tcPr>
          <w:p>
            <w:pPr>
              <w:ind w:left="4040"/>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5"/>
        </w:trPr>
        <w:tc>
          <w:tcPr>
            <w:tcW w:w="1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7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16216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Property, Furniture and Equipment</w:t>
      </w:r>
    </w:p>
    <w:p>
      <w:pPr>
        <w:sectPr>
          <w:pgSz w:w="11900" w:h="16838" w:orient="portrait"/>
          <w:cols w:equalWidth="0" w:num="1">
            <w:col w:w="11260"/>
          </w:cols>
          <w:pgMar w:left="300" w:top="125"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furniture and equipment, net consists of the following (amounts in thousands):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001510" cy="1270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0151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Landlord improvements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001510" cy="127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151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Computer and equipment</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001510" cy="127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01510" cy="12700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Construction in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wp:posOffset>
            </wp:positionV>
            <wp:extent cx="187452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74520" cy="6985"/>
                    </a:xfrm>
                    <a:prstGeom prst="rect">
                      <a:avLst/>
                    </a:prstGeom>
                    <a:noFill/>
                  </pic:spPr>
                </pic:pic>
              </a:graphicData>
            </a:graphic>
          </wp:anchor>
        </w:drawing>
      </w:r>
    </w:p>
    <w:p>
      <w:pPr>
        <w:spacing w:after="0" w:line="19" w:lineRule="exact"/>
        <w:rPr>
          <w:sz w:val="20"/>
          <w:szCs w:val="20"/>
          <w:color w:val="auto"/>
        </w:rPr>
      </w:pPr>
    </w:p>
    <w:p>
      <w:pPr>
        <w:ind w:left="560"/>
        <w:spacing w:after="0"/>
        <w:tabs>
          <w:tab w:leader="none" w:pos="20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62" w:lineRule="exact"/>
        <w:rPr>
          <w:sz w:val="20"/>
          <w:szCs w:val="20"/>
          <w:color w:val="auto"/>
        </w:rPr>
      </w:pPr>
    </w:p>
    <w:p>
      <w:pPr>
        <w:spacing w:after="0"/>
        <w:tabs>
          <w:tab w:leader="none" w:pos="880" w:val="left"/>
          <w:tab w:leader="none" w:pos="1500" w:val="left"/>
          <w:tab w:leader="none" w:pos="24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208,797</w:t>
        <w:tab/>
        <w:t>$</w:t>
      </w:r>
      <w:r>
        <w:rPr>
          <w:sz w:val="20"/>
          <w:szCs w:val="20"/>
          <w:color w:val="auto"/>
        </w:rPr>
        <w:tab/>
      </w:r>
      <w:r>
        <w:rPr>
          <w:rFonts w:ascii="Times New Roman" w:cs="Times New Roman" w:eastAsia="Times New Roman" w:hAnsi="Times New Roman"/>
          <w:sz w:val="14"/>
          <w:szCs w:val="14"/>
          <w:color w:val="auto"/>
        </w:rPr>
        <w:t>162,064</w:t>
      </w:r>
    </w:p>
    <w:p>
      <w:pPr>
        <w:spacing w:after="0" w:line="39" w:lineRule="exact"/>
        <w:rPr>
          <w:sz w:val="20"/>
          <w:szCs w:val="20"/>
          <w:color w:val="auto"/>
        </w:rPr>
      </w:pPr>
    </w:p>
    <w:p>
      <w:pPr>
        <w:jc w:val="both"/>
        <w:ind w:left="900"/>
        <w:spacing w:after="0"/>
        <w:tabs>
          <w:tab w:leader="none" w:pos="2400" w:val="left"/>
        </w:tabs>
        <w:rPr>
          <w:sz w:val="20"/>
          <w:szCs w:val="20"/>
          <w:color w:val="auto"/>
        </w:rPr>
      </w:pPr>
      <w:r>
        <w:rPr>
          <w:rFonts w:ascii="Times New Roman" w:cs="Times New Roman" w:eastAsia="Times New Roman" w:hAnsi="Times New Roman"/>
          <w:sz w:val="14"/>
          <w:szCs w:val="14"/>
          <w:color w:val="auto"/>
        </w:rPr>
        <w:t>205,049</w:t>
      </w:r>
      <w:r>
        <w:rPr>
          <w:sz w:val="20"/>
          <w:szCs w:val="20"/>
          <w:color w:val="auto"/>
        </w:rPr>
        <w:tab/>
      </w:r>
      <w:r>
        <w:rPr>
          <w:rFonts w:ascii="Times New Roman" w:cs="Times New Roman" w:eastAsia="Times New Roman" w:hAnsi="Times New Roman"/>
          <w:sz w:val="14"/>
          <w:szCs w:val="14"/>
          <w:color w:val="auto"/>
        </w:rPr>
        <w:t>201,567</w:t>
      </w:r>
    </w:p>
    <w:p>
      <w:pPr>
        <w:spacing w:after="0" w:line="39" w:lineRule="exact"/>
        <w:rPr>
          <w:sz w:val="20"/>
          <w:szCs w:val="20"/>
          <w:color w:val="auto"/>
        </w:rPr>
      </w:pPr>
    </w:p>
    <w:p>
      <w:pPr>
        <w:ind w:left="980"/>
        <w:spacing w:after="0"/>
        <w:tabs>
          <w:tab w:leader="none" w:pos="2460" w:val="left"/>
        </w:tabs>
        <w:rPr>
          <w:sz w:val="20"/>
          <w:szCs w:val="20"/>
          <w:color w:val="auto"/>
        </w:rPr>
      </w:pPr>
      <w:r>
        <w:rPr>
          <w:rFonts w:ascii="Times New Roman" w:cs="Times New Roman" w:eastAsia="Times New Roman" w:hAnsi="Times New Roman"/>
          <w:sz w:val="14"/>
          <w:szCs w:val="14"/>
          <w:color w:val="auto"/>
        </w:rPr>
        <w:t>11,056</w:t>
      </w:r>
      <w:r>
        <w:rPr>
          <w:sz w:val="20"/>
          <w:szCs w:val="20"/>
          <w:color w:val="auto"/>
        </w:rPr>
        <w:tab/>
      </w:r>
      <w:r>
        <w:rPr>
          <w:rFonts w:ascii="Times New Roman" w:cs="Times New Roman" w:eastAsia="Times New Roman" w:hAnsi="Times New Roman"/>
          <w:sz w:val="14"/>
          <w:szCs w:val="14"/>
          <w:color w:val="auto"/>
        </w:rPr>
        <w:t>10,057</w:t>
      </w:r>
    </w:p>
    <w:p>
      <w:pPr>
        <w:spacing w:after="0" w:line="39" w:lineRule="exact"/>
        <w:rPr>
          <w:sz w:val="20"/>
          <w:szCs w:val="20"/>
          <w:color w:val="auto"/>
        </w:rPr>
      </w:pPr>
    </w:p>
    <w:p>
      <w:pPr>
        <w:ind w:left="980"/>
        <w:spacing w:after="0"/>
        <w:tabs>
          <w:tab w:leader="none" w:pos="2460" w:val="left"/>
        </w:tabs>
        <w:rPr>
          <w:sz w:val="20"/>
          <w:szCs w:val="20"/>
          <w:color w:val="auto"/>
        </w:rPr>
      </w:pPr>
      <w:r>
        <w:rPr>
          <w:rFonts w:ascii="Times New Roman" w:cs="Times New Roman" w:eastAsia="Times New Roman" w:hAnsi="Times New Roman"/>
          <w:sz w:val="14"/>
          <w:szCs w:val="14"/>
          <w:color w:val="auto"/>
        </w:rPr>
        <w:t>61,171</w:t>
      </w:r>
      <w:r>
        <w:rPr>
          <w:sz w:val="20"/>
          <w:szCs w:val="20"/>
          <w:color w:val="auto"/>
        </w:rPr>
        <w:tab/>
      </w:r>
      <w:r>
        <w:rPr>
          <w:rFonts w:ascii="Times New Roman" w:cs="Times New Roman" w:eastAsia="Times New Roman" w:hAnsi="Times New Roman"/>
          <w:sz w:val="14"/>
          <w:szCs w:val="14"/>
          <w:color w:val="auto"/>
        </w:rPr>
        <w:t>56,250</w:t>
      </w:r>
    </w:p>
    <w:p>
      <w:pPr>
        <w:spacing w:after="0" w:line="39" w:lineRule="exact"/>
        <w:rPr>
          <w:sz w:val="20"/>
          <w:szCs w:val="20"/>
          <w:color w:val="auto"/>
        </w:rPr>
      </w:pPr>
    </w:p>
    <w:p>
      <w:pPr>
        <w:jc w:val="both"/>
        <w:ind w:left="980"/>
        <w:spacing w:after="0"/>
        <w:tabs>
          <w:tab w:leader="none" w:pos="2640" w:val="left"/>
        </w:tabs>
        <w:rPr>
          <w:sz w:val="20"/>
          <w:szCs w:val="20"/>
          <w:color w:val="auto"/>
        </w:rPr>
      </w:pPr>
      <w:r>
        <w:rPr>
          <w:rFonts w:ascii="Times New Roman" w:cs="Times New Roman" w:eastAsia="Times New Roman" w:hAnsi="Times New Roman"/>
          <w:sz w:val="14"/>
          <w:szCs w:val="14"/>
          <w:color w:val="auto"/>
        </w:rPr>
        <w:t>12,351</w:t>
      </w:r>
      <w:r>
        <w:rPr>
          <w:sz w:val="20"/>
          <w:szCs w:val="20"/>
          <w:color w:val="auto"/>
        </w:rPr>
        <w:tab/>
      </w:r>
      <w:r>
        <w:rPr>
          <w:rFonts w:ascii="Times New Roman" w:cs="Times New Roman" w:eastAsia="Times New Roman" w:hAnsi="Times New Roman"/>
          <w:sz w:val="14"/>
          <w:szCs w:val="14"/>
          <w:color w:val="auto"/>
        </w:rPr>
        <w:t>215</w:t>
      </w:r>
    </w:p>
    <w:p>
      <w:pPr>
        <w:spacing w:after="0" w:line="39" w:lineRule="exact"/>
        <w:rPr>
          <w:sz w:val="20"/>
          <w:szCs w:val="20"/>
          <w:color w:val="auto"/>
        </w:rPr>
      </w:pPr>
    </w:p>
    <w:p>
      <w:pPr>
        <w:ind w:left="980"/>
        <w:spacing w:after="0"/>
        <w:tabs>
          <w:tab w:leader="none" w:pos="2460" w:val="left"/>
        </w:tabs>
        <w:rPr>
          <w:sz w:val="20"/>
          <w:szCs w:val="20"/>
          <w:color w:val="auto"/>
        </w:rPr>
      </w:pPr>
      <w:r>
        <w:rPr>
          <w:rFonts w:ascii="Times New Roman" w:cs="Times New Roman" w:eastAsia="Times New Roman" w:hAnsi="Times New Roman"/>
          <w:sz w:val="14"/>
          <w:szCs w:val="14"/>
          <w:color w:val="auto"/>
        </w:rPr>
        <w:t>29,501</w:t>
      </w:r>
      <w:r>
        <w:rPr>
          <w:sz w:val="20"/>
          <w:szCs w:val="20"/>
          <w:color w:val="auto"/>
        </w:rPr>
        <w:tab/>
      </w:r>
      <w:r>
        <w:rPr>
          <w:rFonts w:ascii="Times New Roman" w:cs="Times New Roman" w:eastAsia="Times New Roman" w:hAnsi="Times New Roman"/>
          <w:sz w:val="14"/>
          <w:szCs w:val="14"/>
          <w:color w:val="auto"/>
        </w:rPr>
        <w:t>32,561</w:t>
      </w:r>
    </w:p>
    <w:p>
      <w:pPr>
        <w:spacing w:after="0" w:line="20" w:lineRule="exact"/>
        <w:rPr>
          <w:sz w:val="20"/>
          <w:szCs w:val="20"/>
          <w:color w:val="auto"/>
        </w:rPr>
      </w:pPr>
    </w:p>
    <w:p>
      <w:pPr>
        <w:sectPr>
          <w:pgSz w:w="11900" w:h="16838" w:orient="portrait"/>
          <w:cols w:equalWidth="0" w:num="2">
            <w:col w:w="7380" w:space="720"/>
            <w:col w:w="3160"/>
          </w:cols>
          <w:pgMar w:left="30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0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527,925</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462,714</w:t>
            </w: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Less: Accumulated depreciation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(211,709)</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(180,194)</w:t>
            </w:r>
          </w:p>
        </w:tc>
        <w:tc>
          <w:tcPr>
            <w:tcW w:w="0" w:type="dxa"/>
            <w:vAlign w:val="bottom"/>
          </w:tcPr>
          <w:p>
            <w:pPr>
              <w:spacing w:after="0"/>
              <w:rPr>
                <w:sz w:val="1"/>
                <w:szCs w:val="1"/>
                <w:color w:val="auto"/>
              </w:rPr>
            </w:pPr>
          </w:p>
        </w:tc>
      </w:tr>
      <w:tr>
        <w:trPr>
          <w:trHeight w:val="19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furniture and equipment, net</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316,216</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282,520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4. Accrued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0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Accrued other expenses consist of the following (amounts in thousands):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80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Loyalty reward program</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Reserve for returns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0" w:type="dxa"/>
            <w:vAlign w:val="bottom"/>
          </w:tcPr>
          <w:p>
            <w:pPr>
              <w:spacing w:after="0"/>
              <w:rPr>
                <w:sz w:val="1"/>
                <w:szCs w:val="1"/>
                <w:color w:val="auto"/>
              </w:rPr>
            </w:pPr>
          </w:p>
        </w:tc>
      </w:tr>
      <w:tr>
        <w:trPr>
          <w:trHeight w:val="17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Showroom costs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14,197</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warranty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w:t>
            </w:r>
          </w:p>
        </w:tc>
        <w:tc>
          <w:tcPr>
            <w:tcW w:w="0" w:type="dxa"/>
            <w:vAlign w:val="bottom"/>
          </w:tcPr>
          <w:p>
            <w:pPr>
              <w:spacing w:after="0"/>
              <w:rPr>
                <w:sz w:val="1"/>
                <w:szCs w:val="1"/>
                <w:color w:val="auto"/>
              </w:rPr>
            </w:pPr>
          </w:p>
        </w:tc>
      </w:tr>
      <w:tr>
        <w:trPr>
          <w:trHeight w:val="17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Gift cards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7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15,621</w:t>
            </w:r>
          </w:p>
        </w:tc>
        <w:tc>
          <w:tcPr>
            <w:tcW w:w="0" w:type="dxa"/>
            <w:vAlign w:val="bottom"/>
          </w:tcPr>
          <w:p>
            <w:pPr>
              <w:spacing w:after="0"/>
              <w:rPr>
                <w:sz w:val="1"/>
                <w:szCs w:val="1"/>
                <w:color w:val="auto"/>
              </w:rPr>
            </w:pPr>
          </w:p>
        </w:tc>
      </w:tr>
      <w:tr>
        <w:trPr>
          <w:trHeight w:val="17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other expenses</w:t>
            </w: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46,781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47,668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w:t>
      </w:r>
    </w:p>
    <w:p>
      <w:pPr>
        <w:spacing w:after="0" w:line="1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During 2025, we reviewed Arhaus Consolidated, our one reporting unit’s goodwill for impairment by performing a qualitative assessment in the fourth quarter. Based on the results, we determined that it was more likely than not the fair value of goodwill recorded exceeded the current carrying value and concluded no impairment existed.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and 2024, there was no change in the recorded goodwill balances and we have not recorded any historical goodwill impairments.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Debt</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4"/>
          <w:szCs w:val="14"/>
          <w:color w:val="auto"/>
        </w:rPr>
        <w:t>Term Bank Yield index rate plus the applicable margin (1.50% at December 31, 2023), whereas the applicable margin is adjusted quarterly based on the Company’s consolidated rent-adjusted total leverage ratio.</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In December 2022, the Company amended the 2021 Credit Facility to increase the revolving credit commitment thereunder by $25.0 million. After giving effect to such increase, the aggregate amount of all commitments under the 2021 Credit Facility is $75.0 million.</w:t>
      </w:r>
    </w:p>
    <w:p>
      <w:pPr>
        <w:spacing w:after="0" w:line="9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In August 2024, the Company amended the 2021 Credit Facility to adjust the index rate from the Bloomberg Short-Term Bank Yield Index to the Term Secured Overnight Financing Rate. The 2021 Credit Facility bears variable interest rates at the prevailing Term Secured Overnight Financing Rate plus the applicable margin (1.75% at December 31, 2024).</w:t>
      </w:r>
    </w:p>
    <w:p>
      <w:pPr>
        <w:spacing w:after="0" w:line="93"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4"/>
          <w:szCs w:val="14"/>
          <w:color w:val="auto"/>
        </w:rPr>
        <w:t>In May 2025, the Company issued an irrevocable standby letter of credit under the 2021 Credit Facility in the amount of $5.1 million in connection with a lease, which remained outstanding at December 31, 2025. The Company did not have any outstanding letters of credit at December 31, 2024.</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October 2025, the Company entered into the Third Amendment to Credit Agreement and Amendment to Security and Pledge Agreement (the “Amendment”). The Amendment further amends the 2021 Credit Facility to, among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the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December 31, 2025).</w:t>
      </w:r>
    </w:p>
    <w:p>
      <w:pPr>
        <w:spacing w:after="0" w:line="11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At December 31, 2025 and 2024, we had no borrowings on the 2021 Credit Facility and the available borrowing capacity on the 2021 Credit Facility was $69.9 million and $75.0 million, respectively. Deferred financing costs related to the 2021 Credit Facility of $0.3 million and $0.4 million at December 31, 2025 and 2024, respectively, were recorded in other noncurrent assets on the consolidated balance sheets and will be amortized over the term of the 2021 Credit Facility on a straight-line basis. Accumulated amortization related to deferred financing costs for the 2021 Credit Facility was $0.3 million and $0.2 million as of December 31, 2025 and 2024,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was in compliance with all applicable debt covenants at December 31, 2025 and 2024, and expects to remain in compliance over the next 12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155"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4"/>
          <w:szCs w:val="14"/>
          <w:color w:val="auto"/>
        </w:rPr>
        <w:t xml:space="preserve">The Company leases real estate and equipment under operating and finance leases, some of which are from related parties as discussed in Note 12 </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Related Party Transactions</w:t>
      </w:r>
      <w:r>
        <w:rPr>
          <w:rFonts w:ascii="Times New Roman" w:cs="Times New Roman" w:eastAsia="Times New Roman" w:hAnsi="Times New Roman"/>
          <w:sz w:val="14"/>
          <w:szCs w:val="14"/>
          <w:color w:val="auto"/>
        </w:rPr>
        <w:t>. The most significant obligations under these lease agreements require the payments of periodic rentals, real estate taxes, insurance and maintenance costs. Depending on particular Showroom leases, the Company can also owe a percentage rent payment if particular Showrooms meet certain sales figures. Certain prior year amounts have been reclassified to conform to the current year presentation.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amounts recognized in our consolidated balance sheets related to leases (amounts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0"/>
        </w:trPr>
        <w:tc>
          <w:tcPr>
            <w:tcW w:w="3160" w:type="dxa"/>
            <w:vAlign w:val="bottom"/>
          </w:tcPr>
          <w:p>
            <w:pPr>
              <w:spacing w:after="0"/>
              <w:rPr>
                <w:sz w:val="14"/>
                <w:szCs w:val="14"/>
                <w:color w:val="auto"/>
              </w:rPr>
            </w:pPr>
          </w:p>
        </w:tc>
        <w:tc>
          <w:tcPr>
            <w:tcW w:w="50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Consolidated Balance Sheets Classification</w:t>
            </w:r>
          </w:p>
        </w:tc>
        <w:tc>
          <w:tcPr>
            <w:tcW w:w="340" w:type="dxa"/>
            <w:vAlign w:val="bottom"/>
          </w:tcPr>
          <w:p>
            <w:pPr>
              <w:spacing w:after="0"/>
              <w:rPr>
                <w:sz w:val="14"/>
                <w:szCs w:val="14"/>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9"/>
        </w:trPr>
        <w:tc>
          <w:tcPr>
            <w:tcW w:w="3160" w:type="dxa"/>
            <w:vAlign w:val="bottom"/>
            <w:tcBorders>
              <w:top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4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7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391,274</w:t>
            </w:r>
          </w:p>
        </w:tc>
        <w:tc>
          <w:tcPr>
            <w:tcW w:w="80" w:type="dxa"/>
            <w:vAlign w:val="bottom"/>
          </w:tcPr>
          <w:p>
            <w:pPr>
              <w:spacing w:after="0"/>
              <w:rPr>
                <w:sz w:val="15"/>
                <w:szCs w:val="15"/>
                <w:color w:val="auto"/>
              </w:rPr>
            </w:pP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322,302</w:t>
            </w:r>
          </w:p>
        </w:tc>
      </w:tr>
      <w:tr>
        <w:trPr>
          <w:trHeight w:val="17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right-of-use assets</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33,275</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36,105</w:t>
            </w:r>
          </w:p>
        </w:tc>
      </w:t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leased assets</w:t>
            </w: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424,549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358,407</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1"/>
        </w:trPr>
        <w:tc>
          <w:tcPr>
            <w:tcW w:w="3160" w:type="dxa"/>
            <w:vAlign w:val="bottom"/>
            <w:shd w:val="clear" w:color="auto" w:fill="CCEEFF"/>
          </w:tcPr>
          <w:p>
            <w:pPr>
              <w:spacing w:after="0"/>
              <w:rPr>
                <w:sz w:val="14"/>
                <w:szCs w:val="14"/>
                <w:color w:val="auto"/>
              </w:rPr>
            </w:pPr>
          </w:p>
        </w:tc>
        <w:tc>
          <w:tcPr>
            <w:tcW w:w="4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79"/>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operating leases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42,247</w:t>
            </w:r>
          </w:p>
        </w:tc>
      </w:tr>
      <w:tr>
        <w:trPr>
          <w:trHeight w:val="17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operating leases</w:t>
            </w:r>
          </w:p>
        </w:tc>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long-term</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467,226</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402,916</w:t>
            </w:r>
          </w:p>
        </w:tc>
      </w:tr>
      <w:tr>
        <w:trPr>
          <w:trHeight w:val="1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527,341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445,163</w:t>
            </w:r>
          </w:p>
        </w:tc>
      </w:tr>
      <w:tr>
        <w:trPr>
          <w:trHeight w:val="200"/>
        </w:trPr>
        <w:tc>
          <w:tcPr>
            <w:tcW w:w="31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7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finance leases</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 of financing lease liabilities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7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Non-current finance leases</w:t>
            </w:r>
          </w:p>
        </w:tc>
        <w:tc>
          <w:tcPr>
            <w:tcW w:w="5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Financing lease liabilities, long-term</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52,374</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53,312</w:t>
            </w:r>
          </w:p>
        </w:tc>
      </w:tr>
      <w:tr>
        <w:trPr>
          <w:trHeight w:val="17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4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54,336</w:t>
            </w:r>
          </w:p>
        </w:tc>
      </w:tr>
      <w:tr>
        <w:trPr>
          <w:trHeight w:val="170"/>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580,577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499,499</w:t>
            </w:r>
          </w:p>
        </w:tc>
      </w:tr>
      <w:tr>
        <w:trPr>
          <w:trHeight w:val="20"/>
        </w:trPr>
        <w:tc>
          <w:tcPr>
            <w:tcW w:w="31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cost recognized within our consolidated statements of comprehensive income are as follows (amounts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8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0"/>
        </w:trPr>
        <w:tc>
          <w:tcPr>
            <w:tcW w:w="68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68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Lease costs</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79"/>
        </w:trPr>
        <w:tc>
          <w:tcPr>
            <w:tcW w:w="6820" w:type="dxa"/>
            <w:vAlign w:val="bottom"/>
          </w:tcPr>
          <w:p>
            <w:pPr>
              <w:ind w:left="20"/>
              <w:spacing w:after="0" w:line="179" w:lineRule="exact"/>
              <w:rPr>
                <w:sz w:val="20"/>
                <w:szCs w:val="20"/>
                <w:color w:val="auto"/>
              </w:rPr>
            </w:pPr>
            <w:r>
              <w:rPr>
                <w:rFonts w:ascii="Times New Roman" w:cs="Times New Roman" w:eastAsia="Times New Roman" w:hAnsi="Times New Roman"/>
                <w:sz w:val="14"/>
                <w:szCs w:val="14"/>
                <w:color w:val="auto"/>
              </w:rPr>
              <w:t>Operating lease costs</w:t>
            </w:r>
            <w:r>
              <w:rPr>
                <w:rFonts w:ascii="Times New Roman" w:cs="Times New Roman" w:eastAsia="Times New Roman" w:hAnsi="Times New Roman"/>
                <w:sz w:val="18"/>
                <w:szCs w:val="18"/>
                <w:color w:val="auto"/>
                <w:vertAlign w:val="superscript"/>
              </w:rPr>
              <w:t>(1)</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70,998</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60,474</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52,715</w:t>
            </w: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9"/>
        </w:trPr>
        <w:tc>
          <w:tcPr>
            <w:tcW w:w="6820" w:type="dxa"/>
            <w:vAlign w:val="bottom"/>
          </w:tcPr>
          <w:p>
            <w:pPr>
              <w:ind w:left="100"/>
              <w:spacing w:after="0" w:line="179" w:lineRule="exact"/>
              <w:rPr>
                <w:sz w:val="20"/>
                <w:szCs w:val="20"/>
                <w:color w:val="auto"/>
              </w:rPr>
            </w:pPr>
            <w:r>
              <w:rPr>
                <w:rFonts w:ascii="Times New Roman" w:cs="Times New Roman" w:eastAsia="Times New Roman" w:hAnsi="Times New Roman"/>
                <w:sz w:val="14"/>
                <w:szCs w:val="14"/>
                <w:color w:val="auto"/>
              </w:rPr>
              <w:t>Amortization of right-of-use assets</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r>
      <w:tr>
        <w:trPr>
          <w:trHeight w:val="179"/>
        </w:trPr>
        <w:tc>
          <w:tcPr>
            <w:tcW w:w="6820" w:type="dxa"/>
            <w:vAlign w:val="bottom"/>
            <w:shd w:val="clear" w:color="auto" w:fill="CCEEFF"/>
          </w:tcPr>
          <w:p>
            <w:pPr>
              <w:ind w:left="100"/>
              <w:spacing w:after="0" w:line="179" w:lineRule="exact"/>
              <w:rPr>
                <w:sz w:val="20"/>
                <w:szCs w:val="20"/>
                <w:color w:val="auto"/>
              </w:rPr>
            </w:pPr>
            <w:r>
              <w:rPr>
                <w:rFonts w:ascii="Times New Roman" w:cs="Times New Roman" w:eastAsia="Times New Roman" w:hAnsi="Times New Roman"/>
                <w:sz w:val="14"/>
                <w:szCs w:val="14"/>
                <w:color w:val="auto"/>
              </w:rPr>
              <w:t>Interest expense on lease liabilities</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w:t>
            </w:r>
          </w:p>
        </w:tc>
      </w:tr>
      <w:tr>
        <w:trPr>
          <w:trHeight w:val="179"/>
        </w:trPr>
        <w:tc>
          <w:tcPr>
            <w:tcW w:w="6820" w:type="dxa"/>
            <w:vAlign w:val="bottom"/>
          </w:tcPr>
          <w:p>
            <w:pPr>
              <w:ind w:left="20"/>
              <w:spacing w:after="0" w:line="179" w:lineRule="exact"/>
              <w:rPr>
                <w:sz w:val="20"/>
                <w:szCs w:val="20"/>
                <w:color w:val="auto"/>
              </w:rPr>
            </w:pPr>
            <w:r>
              <w:rPr>
                <w:rFonts w:ascii="Times New Roman" w:cs="Times New Roman" w:eastAsia="Times New Roman" w:hAnsi="Times New Roman"/>
                <w:sz w:val="14"/>
                <w:szCs w:val="14"/>
                <w:color w:val="auto"/>
              </w:rPr>
              <w:t>Variable lease costs</w:t>
            </w:r>
            <w:r>
              <w:rPr>
                <w:rFonts w:ascii="Times New Roman" w:cs="Times New Roman" w:eastAsia="Times New Roman" w:hAnsi="Times New Roman"/>
                <w:sz w:val="18"/>
                <w:szCs w:val="18"/>
                <w:color w:val="auto"/>
                <w:vertAlign w:val="superscript"/>
              </w:rPr>
              <w:t>(3)</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38,381</w:t>
            </w:r>
          </w:p>
        </w:tc>
      </w:tr>
      <w:tr>
        <w:trPr>
          <w:trHeight w:val="179"/>
        </w:trPr>
        <w:tc>
          <w:tcPr>
            <w:tcW w:w="682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4"/>
                <w:szCs w:val="14"/>
                <w:color w:val="auto"/>
              </w:rPr>
              <w:t>Short term lease costs</w:t>
            </w:r>
            <w:r>
              <w:rPr>
                <w:rFonts w:ascii="Times New Roman" w:cs="Times New Roman" w:eastAsia="Times New Roman" w:hAnsi="Times New Roman"/>
                <w:sz w:val="18"/>
                <w:szCs w:val="18"/>
                <w:color w:val="auto"/>
                <w:vertAlign w:val="superscript"/>
              </w:rPr>
              <w:t>(4)</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r>
      <w:tr>
        <w:trPr>
          <w:trHeight w:val="17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costs</w:t>
            </w:r>
          </w:p>
        </w:tc>
        <w:tc>
          <w:tcPr>
            <w:tcW w:w="8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125,119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102,822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98,947</w:t>
            </w:r>
          </w:p>
        </w:tc>
      </w:tr>
      <w:tr>
        <w:trPr>
          <w:trHeight w:val="20"/>
        </w:trPr>
        <w:tc>
          <w:tcPr>
            <w:tcW w:w="6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right="40" w:firstLine="4"/>
        <w:spacing w:after="0" w:line="268" w:lineRule="auto"/>
        <w:tabs>
          <w:tab w:leader="none" w:pos="103" w:val="left"/>
        </w:tabs>
        <w:numPr>
          <w:ilvl w:val="0"/>
          <w:numId w:val="32"/>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Operating lease costs and amortization of finance lease right-of-use assets are included in cost of goods sold or selling, general and administrative expenses on the consolidated statements of comprehensive income based on the nature and use of the asset as defined in our accounting policy.</w:t>
      </w:r>
    </w:p>
    <w:p>
      <w:pPr>
        <w:spacing w:after="0" w:line="141" w:lineRule="exact"/>
        <w:rPr>
          <w:rFonts w:ascii="Times New Roman" w:cs="Times New Roman" w:eastAsia="Times New Roman" w:hAnsi="Times New Roman"/>
          <w:sz w:val="11"/>
          <w:szCs w:val="11"/>
          <w:color w:val="auto"/>
          <w:vertAlign w:val="superscript"/>
        </w:rPr>
      </w:pPr>
    </w:p>
    <w:p>
      <w:pPr>
        <w:ind w:left="120" w:hanging="116"/>
        <w:spacing w:after="0" w:line="192" w:lineRule="auto"/>
        <w:tabs>
          <w:tab w:leader="none" w:pos="120"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Included in interest income, net on the consolidated statements of comprehensive income.</w:t>
      </w:r>
    </w:p>
    <w:p>
      <w:pPr>
        <w:ind w:right="120" w:firstLine="4"/>
        <w:spacing w:after="0" w:line="258" w:lineRule="auto"/>
        <w:tabs>
          <w:tab w:leader="none" w:pos="113" w:val="left"/>
        </w:tabs>
        <w:numPr>
          <w:ilvl w:val="0"/>
          <w:numId w:val="32"/>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consolidated statements of comprehensive income based on the nature and use of the asset as defined in our accounting policy. Includes $0.4 million of month-to-month lease costs for the year ended December 31, 2023. There were no month-to-month lease costs for the years ended December 31, 2025 and 2024 respectively.</w:t>
      </w:r>
    </w:p>
    <w:p>
      <w:pPr>
        <w:ind w:left="120" w:hanging="116"/>
        <w:spacing w:after="0" w:line="204" w:lineRule="auto"/>
        <w:tabs>
          <w:tab w:leader="none" w:pos="120" w:val="left"/>
        </w:tabs>
        <w:numPr>
          <w:ilvl w:val="0"/>
          <w:numId w:val="3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Represents leases with an initial term of 12 months or less which are not recorded on the balance sheet and instead expensed on a straight-line basis over the lease term, excluding expenses relating to leases with a lease term of one month or less.</w:t>
      </w:r>
    </w:p>
    <w:p>
      <w:pPr>
        <w:spacing w:after="0" w:line="18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4"/>
          <w:szCs w:val="14"/>
          <w:color w:val="auto"/>
        </w:rPr>
        <w:t>We often have options to renew lease terms for Showrooms and other assets. The exercise of lease renewal options is generally at our sole discretion. In addition, certain lease agreements may be terminated prior to their original expiration date at our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discretion. We evaluate each renewal and termination option at the lease commencement date to determine if we are reasonably certain to exercise the option on the basis of economic factors. The weighted average remaining lease terms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center"/>
              <w:ind w:left="89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5"/>
                <w:szCs w:val="15"/>
                <w:color w:val="auto"/>
              </w:rPr>
            </w:pPr>
          </w:p>
        </w:tc>
      </w:tr>
      <w:tr>
        <w:trPr>
          <w:trHeight w:val="185"/>
        </w:trPr>
        <w:tc>
          <w:tcPr>
            <w:tcW w:w="8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Borders>
              <w:bottom w:val="single" w:sz="8" w:color="auto"/>
            </w:tcBorders>
            <w:gridSpan w:val="3"/>
          </w:tcPr>
          <w:p>
            <w:pPr>
              <w:jc w:val="center"/>
              <w:ind w:left="8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0"/>
        </w:trPr>
        <w:tc>
          <w:tcPr>
            <w:tcW w:w="8140" w:type="dxa"/>
            <w:vAlign w:val="bottom"/>
            <w:gridSpan w:val="2"/>
          </w:tcPr>
          <w:p>
            <w:pPr>
              <w:ind w:left="2460"/>
              <w:spacing w:after="0"/>
              <w:rPr>
                <w:sz w:val="20"/>
                <w:szCs w:val="20"/>
                <w:color w:val="auto"/>
              </w:rPr>
            </w:pPr>
            <w:r>
              <w:rPr>
                <w:rFonts w:ascii="Times New Roman" w:cs="Times New Roman" w:eastAsia="Times New Roman" w:hAnsi="Times New Roman"/>
                <w:sz w:val="14"/>
                <w:szCs w:val="14"/>
                <w:b w:val="1"/>
                <w:bCs w:val="1"/>
                <w:color w:val="auto"/>
              </w:rPr>
              <w:t>Weighted Average Remaining Lease Term (In Years)</w:t>
            </w: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18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r>
    </w:tbl>
    <w:p>
      <w:pPr>
        <w:spacing w:after="0" w:line="1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IBR. For leases in which the discount rate was not explicit,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5"/>
          </w:tcPr>
          <w:p>
            <w:pPr>
              <w:jc w:val="right"/>
              <w:ind w:right="115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5"/>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5"/>
          </w:tcPr>
          <w:p>
            <w:pPr>
              <w:jc w:val="right"/>
              <w:ind w:right="109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0"/>
        </w:trPr>
        <w:tc>
          <w:tcPr>
            <w:tcW w:w="5060" w:type="dxa"/>
            <w:vAlign w:val="bottom"/>
            <w:gridSpan w:val="2"/>
          </w:tcPr>
          <w:p>
            <w:pPr>
              <w:ind w:left="2940"/>
              <w:spacing w:after="0"/>
              <w:rPr>
                <w:sz w:val="20"/>
                <w:szCs w:val="20"/>
                <w:color w:val="auto"/>
              </w:rPr>
            </w:pPr>
            <w:r>
              <w:rPr>
                <w:rFonts w:ascii="Times New Roman" w:cs="Times New Roman" w:eastAsia="Times New Roman" w:hAnsi="Times New Roman"/>
                <w:sz w:val="14"/>
                <w:szCs w:val="14"/>
                <w:b w:val="1"/>
                <w:bCs w:val="1"/>
                <w:color w:val="auto"/>
              </w:rPr>
              <w:t>Weighted Average Discount Rate</w:t>
            </w: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40" w:type="dxa"/>
            <w:vAlign w:val="bottom"/>
            <w:tcBorders>
              <w:top w:val="single" w:sz="8" w:color="auto"/>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6.05 %</w:t>
            </w:r>
          </w:p>
        </w:tc>
      </w:tr>
      <w:tr>
        <w:trPr>
          <w:trHeight w:val="18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9.68 %</w:t>
            </w:r>
          </w:p>
        </w:tc>
        <w:tc>
          <w:tcPr>
            <w:tcW w:w="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9.65 %</w:t>
            </w:r>
          </w:p>
        </w:tc>
      </w:tr>
      <w:tr>
        <w:trPr>
          <w:trHeight w:val="375"/>
        </w:trPr>
        <w:tc>
          <w:tcPr>
            <w:tcW w:w="5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 lease liabilities at December 31, 2025 are as follows (amounts in thousands):</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2"/>
        </w:trPr>
        <w:tc>
          <w:tcPr>
            <w:tcW w:w="506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19"/>
                <w:szCs w:val="19"/>
                <w:color w:val="auto"/>
              </w:rPr>
            </w:pPr>
          </w:p>
        </w:tc>
        <w:tc>
          <w:tcPr>
            <w:tcW w:w="2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Operating Lease Liabilities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9"/>
                <w:szCs w:val="19"/>
                <w:color w:val="auto"/>
              </w:rPr>
            </w:pPr>
          </w:p>
        </w:tc>
        <w:tc>
          <w:tcPr>
            <w:tcW w:w="19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Finance Lease Liabilities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99"/>
              </w:rPr>
              <w:t>Total Lease Liabilities</w:t>
            </w:r>
          </w:p>
        </w:tc>
      </w:tr>
      <w:tr>
        <w:trPr>
          <w:trHeight w:val="191"/>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86,729</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92,683</w:t>
            </w:r>
          </w:p>
        </w:tc>
      </w:tr>
      <w:tr>
        <w:trPr>
          <w:trHeight w:val="20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91,132</w:t>
            </w:r>
          </w:p>
        </w:tc>
      </w:tr>
      <w:tr>
        <w:trPr>
          <w:trHeight w:val="20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79,213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84,909</w:t>
            </w:r>
          </w:p>
        </w:tc>
      </w:tr>
      <w:tr>
        <w:trPr>
          <w:trHeight w:val="200"/>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82,450</w:t>
            </w:r>
          </w:p>
        </w:tc>
      </w:tr>
      <w:tr>
        <w:trPr>
          <w:trHeight w:val="20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77,411</w:t>
            </w:r>
          </w:p>
        </w:tc>
      </w:tr>
      <w:tr>
        <w:trPr>
          <w:trHeight w:val="17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285,208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99,496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384,704</w:t>
            </w:r>
          </w:p>
        </w:tc>
      </w:tr>
      <w:tr>
        <w:trPr>
          <w:trHeight w:val="17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40" w:type="dxa"/>
            <w:vAlign w:val="bottom"/>
            <w:shd w:val="clear" w:color="auto" w:fill="CCEEFF"/>
          </w:tcPr>
          <w:p>
            <w:pPr>
              <w:spacing w:after="0"/>
              <w:rPr>
                <w:sz w:val="14"/>
                <w:szCs w:val="14"/>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685,675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813,289</w:t>
            </w:r>
          </w:p>
        </w:tc>
      </w:tr>
      <w:tr>
        <w:trPr>
          <w:trHeight w:val="179"/>
        </w:trPr>
        <w:tc>
          <w:tcPr>
            <w:tcW w:w="5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Less: Amounts representing interest</w:t>
            </w:r>
          </w:p>
        </w:tc>
        <w:tc>
          <w:tcPr>
            <w:tcW w:w="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(158,334)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(74,378)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(232,712)</w:t>
            </w:r>
          </w:p>
        </w:tc>
      </w:tr>
      <w:tr>
        <w:trPr>
          <w:trHeight w:val="195"/>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527,341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53,236</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580,577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120" w:hanging="116"/>
        <w:spacing w:after="0"/>
        <w:tabs>
          <w:tab w:leader="none" w:pos="120" w:val="left"/>
        </w:tabs>
        <w:numPr>
          <w:ilvl w:val="0"/>
          <w:numId w:val="3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 xml:space="preserve">Includes leases with related parties. See Note 12 — </w:t>
      </w:r>
      <w:r>
        <w:rPr>
          <w:rFonts w:ascii="Times New Roman" w:cs="Times New Roman" w:eastAsia="Times New Roman" w:hAnsi="Times New Roman"/>
          <w:sz w:val="11"/>
          <w:szCs w:val="11"/>
          <w:i w:val="1"/>
          <w:iCs w:val="1"/>
          <w:color w:val="auto"/>
        </w:rPr>
        <w:t>Related Party Transactions</w:t>
      </w:r>
      <w:r>
        <w:rPr>
          <w:rFonts w:ascii="Times New Roman" w:cs="Times New Roman" w:eastAsia="Times New Roman" w:hAnsi="Times New Roman"/>
          <w:sz w:val="11"/>
          <w:szCs w:val="11"/>
          <w:color w:val="auto"/>
        </w:rPr>
        <w:t xml:space="preserve"> for amounts leased from related parties.</w:t>
      </w:r>
    </w:p>
    <w:p>
      <w:pPr>
        <w:spacing w:after="0" w:line="15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At December 31, 2025, the Company has entered into leases for Showrooms and equipment which have not yet commenced with expected lease terms ranging from 10 to 15 years. The aggregate minimum rental payments over the term of the leases of approximately $232.4 million are not included in the above table.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(amounts in thousands):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42"/>
        </w:trPr>
        <w:tc>
          <w:tcPr>
            <w:tcW w:w="6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5"/>
        </w:trPr>
        <w:tc>
          <w:tcPr>
            <w:tcW w:w="68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70"/>
        </w:trPr>
        <w:tc>
          <w:tcPr>
            <w:tcW w:w="68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68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Cash paid for amounts included in the measurement of lease liabilities:</w:t>
            </w: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79"/>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80,042</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68,912</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57,070</w:t>
            </w:r>
          </w:p>
        </w:tc>
      </w:tr>
      <w:tr>
        <w:trPr>
          <w:trHeight w:val="17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cash flows for finance leases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w:t>
            </w:r>
          </w:p>
        </w:tc>
      </w:tr>
      <w:tr>
        <w:trPr>
          <w:trHeight w:val="179"/>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cash flows for finance leases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17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Right-of-use assets obtained in exchange for lease obligations: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9"/>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880" w:type="dxa"/>
            <w:vAlign w:val="bottom"/>
          </w:tcPr>
          <w:p>
            <w:pPr>
              <w:jc w:val="right"/>
              <w:ind w:right="7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111,711</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58,478</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79,721</w:t>
            </w:r>
          </w:p>
        </w:tc>
      </w:tr>
      <w:tr>
        <w:trPr>
          <w:trHeight w:val="17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Equity Based Compensation</w:t>
      </w:r>
    </w:p>
    <w:p>
      <w:pPr>
        <w:spacing w:after="0" w:line="15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Prior to the Reorganization and pursuant to previously established equity award plans, certain employees were granted incentive units of LLC (“Incentive Units”) that vest over three to five years. All holders of the Incentive Units become fully vested in the event of a change in control, death or disability, as long as the holder of the unit is employed by the Company on the date of such event. Further, certain Incentive Unit holders who are terminated without cause will have their unvested units fully vest upon that event. In connection with the Reorganization, the Incentive Unit holders contributed their Incentive Units to Arhaus, Inc. in exchange for shares of Class A or Class B common stock for their vested Incentive Units and Class A or Class B restricted stock for their unvested Incentive Units. The vesting requirements for the exchanged Class A and Class B restricted stock (collectively the "Restricted Stock") did not change from the original Incentive Unit terms.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of the Company’s Restricted Stock and their equity based compensation expense are summarized in the following tables (amounts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6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1"/>
                <w:szCs w:val="11"/>
                <w:color w:val="auto"/>
              </w:rPr>
            </w:pPr>
          </w:p>
        </w:tc>
        <w:tc>
          <w:tcPr>
            <w:tcW w:w="1360" w:type="dxa"/>
            <w:vAlign w:val="bottom"/>
            <w:gridSpan w:val="2"/>
          </w:tcPr>
          <w:p>
            <w:pPr>
              <w:jc w:val="right"/>
              <w:ind w:right="90"/>
              <w:spacing w:after="0" w:line="132"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5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70"/>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3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224,452</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(80,260)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(80,005)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64,187</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7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Equity based compensation expense - Restricted Stock</w:t>
            </w:r>
            <w:r>
              <w:rPr>
                <w:rFonts w:ascii="Times New Roman" w:cs="Times New Roman" w:eastAsia="Times New Roman" w:hAnsi="Times New Roman"/>
                <w:sz w:val="18"/>
                <w:szCs w:val="18"/>
                <w:color w:val="auto"/>
                <w:vertAlign w:val="superscript"/>
              </w:rPr>
              <w:t>(1)</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2,354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2,697</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right="100" w:firstLine="4"/>
        <w:spacing w:after="0" w:line="279" w:lineRule="auto"/>
        <w:tabs>
          <w:tab w:leader="none" w:pos="113" w:val="left"/>
        </w:tabs>
        <w:numPr>
          <w:ilvl w:val="0"/>
          <w:numId w:val="3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Total unrecognized compensation cost to be recognized in future periods is $0.4 million at December 31, 2025, and will be recognized over a weighted average period of 0.4 years. Equity based compensation is recorded within selling, general and administrative expenses on our consolidated statements of comprehensive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Restricted Stock vested during the years ended December 31, 2025, 2024 and 2023 was $0.7 million, $3.4 million and $13.1 million, respectively.</w:t>
      </w:r>
    </w:p>
    <w:p>
      <w:pPr>
        <w:spacing w:after="0" w:line="14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The 2021 Equity Plan, authorizes the Company to grant stock options (either incentive or non-qualified), SARs, restricted stock, RSUs, performance shares, PSUs and other stock-based awards with respect to our Class A common stock to our employees, officers, consultants, advisors and directors. The maximum number of Class A common stock that may be granted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2021 Equity Plan is 11,205,100 shares. As of December 31, 2025, there were 6,554,422 shares of Class A common stock available to be granted.</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Per the 2021 Equity Plan, each RSU and PSU represents a contingent right to receive one share of the Company’s Class A common stock upon vesting. The RSUs granted to award recipients will vest over two to five years (depending on the terms of the award) on each anniversary of the date of grant, provided that the award recipient continues to serve the Company through the applicable vesting date (“Continuous Service”). If the award recipient’s Continuous Service terminates for any reason other than death, disability or in connection with a change in control (as such terms are defined in the 2021 Equity Plan), unless the Compensation Committee of the Board of Directors determines otherwise, all RSUs that are unvested at the time of such termination shall be forfeited and cancelled immediately without consideration. RSU and PSU awards contain forfeitable rights to dividend equivalents. Dividend equivalents for outstanding awards are accrued when dividends are declared on the Company’s common stock but are not paid until the awards vest, and dividend equivalents accrued for awards that ultimately do not vest are forfeited. The RSUs issued to certain members of the Board of Directors will generally vest on the one-year anniversary of the grant date. The fair value of RSUs is determined based on the market value of the Company’s Class A common stock on the grant date.</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The number of PSUs earned will be based on the Company’s financial performance as measured against pre-established target goals over the applicable performance period. For PSUs granted in fiscal years 2023 and 2024, the performance goals are cumulative demand revenue and cumulative adjusted EBITDA. In April 2025, the Company granted PSUs with the aforementioned performance goals and a new performance goal for relative TSR. Generally,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The Company accounts for forfeitures as they occur.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80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Activity of the Company’s PSU and RSU awards and their equity based compensation expense are summarized in the following tables (amounts in thousands, except share and per share data):</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5220" w:type="dxa"/>
            <w:vAlign w:val="bottom"/>
          </w:tcPr>
          <w:p>
            <w:pPr>
              <w:spacing w:after="0"/>
              <w:rPr>
                <w:sz w:val="24"/>
                <w:szCs w:val="24"/>
                <w:color w:val="auto"/>
              </w:rPr>
            </w:pPr>
          </w:p>
        </w:tc>
        <w:tc>
          <w:tcPr>
            <w:tcW w:w="3040" w:type="dxa"/>
            <w:vAlign w:val="bottom"/>
            <w:gridSpan w:val="7"/>
          </w:tcPr>
          <w:p>
            <w:pPr>
              <w:ind w:left="1100"/>
              <w:spacing w:after="0"/>
              <w:rPr>
                <w:sz w:val="20"/>
                <w:szCs w:val="20"/>
                <w:color w:val="auto"/>
              </w:rPr>
            </w:pPr>
            <w:r>
              <w:rPr>
                <w:rFonts w:ascii="Times New Roman" w:cs="Times New Roman" w:eastAsia="Times New Roman" w:hAnsi="Times New Roman"/>
                <w:sz w:val="14"/>
                <w:szCs w:val="14"/>
                <w:b w:val="1"/>
                <w:bCs w:val="1"/>
                <w:color w:val="auto"/>
              </w:rPr>
              <w:t>PSU Awards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20" w:type="dxa"/>
            <w:vAlign w:val="bottom"/>
          </w:tcPr>
          <w:p>
            <w:pPr>
              <w:spacing w:after="0"/>
              <w:rPr>
                <w:sz w:val="11"/>
                <w:szCs w:val="11"/>
                <w:color w:val="auto"/>
              </w:rPr>
            </w:pPr>
          </w:p>
        </w:tc>
        <w:tc>
          <w:tcPr>
            <w:tcW w:w="152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110"/>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right"/>
              <w:ind w:right="90"/>
              <w:spacing w:after="0" w:line="12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2024</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426,756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960,548</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566,955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2,818,151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(317,019)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(1,068,410)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(71,653)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(389,422)</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December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605,039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2,320,867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22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Equity based compensation expense - PSUs</w:t>
            </w:r>
            <w:r>
              <w:rPr>
                <w:rFonts w:ascii="Times New Roman" w:cs="Times New Roman" w:eastAsia="Times New Roman" w:hAnsi="Times New Roman"/>
                <w:sz w:val="18"/>
                <w:szCs w:val="18"/>
                <w:color w:val="auto"/>
                <w:vertAlign w:val="superscript"/>
              </w:rPr>
              <w:t>(1)</w:t>
            </w:r>
          </w:p>
        </w:tc>
        <w:tc>
          <w:tcPr>
            <w:tcW w:w="14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w:t>
            </w:r>
          </w:p>
        </w:tc>
        <w:tc>
          <w:tcPr>
            <w:tcW w:w="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based compensation expense - RSUs</w:t>
            </w:r>
            <w:r>
              <w:rPr>
                <w:rFonts w:ascii="Times New Roman" w:cs="Times New Roman" w:eastAsia="Times New Roman" w:hAnsi="Times New Roman"/>
                <w:sz w:val="18"/>
                <w:szCs w:val="18"/>
                <w:color w:val="auto"/>
                <w:vertAlign w:val="superscript"/>
              </w:rPr>
              <w:t>(2)</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right="320" w:firstLine="4"/>
        <w:spacing w:after="0"/>
        <w:tabs>
          <w:tab w:leader="none" w:pos="103" w:val="left"/>
        </w:tabs>
        <w:numPr>
          <w:ilvl w:val="0"/>
          <w:numId w:val="35"/>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Total unrecognized equity based compensation for the PSUs to be recognized in future periods is $3.6 million at December 31, 2025, and will be recognized over a weighted average period of 1.9 years. Equity based compensation expense is recorded within selling, general and administrative expenses on our consolidated statements of comprehensive income.</w:t>
      </w:r>
    </w:p>
    <w:p>
      <w:pPr>
        <w:ind w:right="260" w:firstLine="4"/>
        <w:spacing w:after="0" w:line="335" w:lineRule="auto"/>
        <w:tabs>
          <w:tab w:leader="none" w:pos="103" w:val="left"/>
        </w:tabs>
        <w:numPr>
          <w:ilvl w:val="0"/>
          <w:numId w:val="3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Total unrecognized equity based compensation for the RSUs to be recognized in future periods is $14.6 million at December 31, 2025, and will be recognized over a weighted average period of 2.8 years. Equity based compensation expense is recorded within selling, general and administrative expenses on our consolidated statements of comprehensive income.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The weighted average fair value of the PSUs that were granted during the years ended December 31, 2025, 2024, 2023 was $7.94, $15.83, and $9.47, respectively. The total fair value of PSUs vested during the years ended December 31, 2025 and 2024 was $0.8 million and $3.3 million, respectively. There were no PSUs that vested for the year ended December 31, 2023.</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The weighted average fair value of the RSUs that were granted during the years ended December 31, 2025, 2024, 2023 was $8.36, $15.75, and $8.62, respectively. The total fair value of RSUs vested during the years ended December 31, 2025, 2024 and 2023 was $3.4 million, $7.1 million and $3.5 million,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Segment Reporting</w:t>
      </w:r>
    </w:p>
    <w:p>
      <w:pPr>
        <w:spacing w:after="0" w:line="14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number of categories, including furniture, outdoor, bath, lighting, textiles and décor. The assortment of merchandise can be purchased through our Retail and eCommerce sales channels.</w:t>
      </w:r>
    </w:p>
    <w:p>
      <w:pPr>
        <w:spacing w:after="0" w:line="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The majority of our revenue is generated through sales to clients in the United States. Sales to clients outside of the United States are not significant. Further, no single client represents ten percent or more of our net revenue. There are no inter-segment transactions. Additionally, all property, furniture and equipment are located in the United States.</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The accounting policies of our single operating segment are the same as those described within our summary of significant accounting policies. The CODM assesses performance at the consolidated level and makes business decisions based on various key performance indicators, primarily net income, which is also reported on the consolidated statements of comprehensive income as net and comprehensive income.</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w:t>
      </w:r>
    </w:p>
    <w:p>
      <w:pPr>
        <w:spacing w:after="0" w:line="10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Asset information is reported on the consolidated balance sheets as total assets. However, asset information is not used for purposes of making decisions, assessing financial performance or allocating resources.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the consolidated statements of cash flow for property, furniture and equipment expenditures, related depreciation and amortization and other significant noncash items.</w:t>
      </w: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revenue by merchandise sales channel and significant segment expenses (amounts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5"/>
        </w:trPr>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0"/>
        </w:trPr>
        <w:tc>
          <w:tcPr>
            <w:tcW w:w="6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1,145,483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1,051,510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1,045,079</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eCommerce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219,597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242,625</w:t>
            </w:r>
          </w:p>
        </w:tc>
      </w:tr>
      <w:tr>
        <w:trPr>
          <w:trHeight w:val="21"/>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6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net revenue</w:t>
            </w:r>
          </w:p>
        </w:tc>
        <w:tc>
          <w:tcPr>
            <w:tcW w:w="3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1,379,222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1,271,107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231F20"/>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1,287,704</w:t>
            </w:r>
          </w:p>
        </w:tc>
      </w:tr>
      <w:tr>
        <w:trPr>
          <w:trHeight w:val="200"/>
        </w:trPr>
        <w:tc>
          <w:tcPr>
            <w:tcW w:w="67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Less significant costs and expenses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842,814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769,878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747,281</w:t>
            </w:r>
          </w:p>
        </w:tc>
      </w:tr>
      <w:tr>
        <w:trPr>
          <w:trHeight w:val="211"/>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administrative expenses</w:t>
            </w:r>
            <w:r>
              <w:rPr>
                <w:rFonts w:ascii="Times New Roman" w:cs="Times New Roman" w:eastAsia="Times New Roman" w:hAnsi="Times New Roman"/>
                <w:sz w:val="18"/>
                <w:szCs w:val="18"/>
                <w:color w:val="auto"/>
                <w:vertAlign w:val="superscript"/>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223,925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206,433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190,814</w:t>
            </w:r>
          </w:p>
        </w:tc>
      </w:tr>
      <w:tr>
        <w:trPr>
          <w:trHeight w:val="19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expenses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171,140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155,522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136,331</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Marketing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52,376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53,471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48,967</w:t>
            </w:r>
          </w:p>
        </w:tc>
      </w:tr>
      <w:tr>
        <w:trPr>
          <w:trHeight w:val="21"/>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(gain) on disposal of assets</w:t>
            </w: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(1,202)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(3,163)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(3,351)</w:t>
            </w:r>
          </w:p>
        </w:tc>
      </w:tr>
      <w:tr>
        <w:trPr>
          <w:trHeight w:val="21"/>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(754)</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(1,027)</w:t>
            </w:r>
          </w:p>
        </w:tc>
      </w:tr>
      <w:tr>
        <w:trPr>
          <w:trHeight w:val="180"/>
        </w:trPr>
        <w:tc>
          <w:tcPr>
            <w:tcW w:w="6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before taxes</w:t>
            </w: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91,979</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90,922</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168,689</w:t>
            </w:r>
          </w:p>
        </w:tc>
      </w:tr>
      <w:tr>
        <w:trPr>
          <w:trHeight w:val="21"/>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24,723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22,372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43,450</w:t>
            </w:r>
          </w:p>
        </w:tc>
      </w:tr>
      <w:tr>
        <w:trPr>
          <w:trHeight w:val="201"/>
        </w:trPr>
        <w:tc>
          <w:tcPr>
            <w:tcW w:w="6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67,256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68,550</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231F20"/>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125,239</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00" w:hanging="96"/>
        <w:spacing w:after="0"/>
        <w:tabs>
          <w:tab w:leader="none" w:pos="100" w:val="left"/>
        </w:tabs>
        <w:numPr>
          <w:ilvl w:val="0"/>
          <w:numId w:val="3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Significant costs and expenses include cost of goods sold, corporate and administrative expenses, selling expenses and marketing expenses.</w:t>
      </w:r>
    </w:p>
    <w:p>
      <w:pPr>
        <w:spacing w:after="0" w:line="12" w:lineRule="exact"/>
        <w:rPr>
          <w:rFonts w:ascii="Times New Roman" w:cs="Times New Roman" w:eastAsia="Times New Roman" w:hAnsi="Times New Roman"/>
          <w:sz w:val="11"/>
          <w:szCs w:val="11"/>
          <w:color w:val="auto"/>
          <w:vertAlign w:val="superscript"/>
        </w:rPr>
      </w:pPr>
    </w:p>
    <w:p>
      <w:pPr>
        <w:ind w:left="100" w:hanging="96"/>
        <w:spacing w:after="0"/>
        <w:tabs>
          <w:tab w:leader="none" w:pos="100" w:val="left"/>
        </w:tabs>
        <w:numPr>
          <w:ilvl w:val="0"/>
          <w:numId w:val="3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Corporate and administrative expenses primarily include warehouse expenses, equity based compensation costs, information technology, human resources and legal costs, insurance expenses, accounting fees and corporate sustainability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Net and comprehensive income per share</w:t>
      </w:r>
    </w:p>
    <w:p>
      <w:pPr>
        <w:spacing w:after="0" w:line="14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Basic and diluted net and comprehensive income per share were calculated by dividing net and comprehensive income by the number of basic and diluted weighted-average common shares outstanding.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and diluted net and comprehensive income per share are as follows (amounts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5"/>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0"/>
        </w:trPr>
        <w:tc>
          <w:tcPr>
            <w:tcW w:w="68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68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Numerator</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0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67,256</w:t>
            </w:r>
          </w:p>
        </w:tc>
        <w:tc>
          <w:tcPr>
            <w:tcW w:w="100" w:type="dxa"/>
            <w:vAlign w:val="bottom"/>
          </w:tcPr>
          <w:p>
            <w:pPr>
              <w:spacing w:after="0"/>
              <w:rPr>
                <w:sz w:val="17"/>
                <w:szCs w:val="17"/>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68,550</w:t>
            </w:r>
          </w:p>
        </w:tc>
        <w:tc>
          <w:tcPr>
            <w:tcW w:w="100" w:type="dxa"/>
            <w:vAlign w:val="bottom"/>
          </w:tcPr>
          <w:p>
            <w:pPr>
              <w:spacing w:after="0"/>
              <w:rPr>
                <w:sz w:val="17"/>
                <w:szCs w:val="17"/>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125,239</w:t>
            </w:r>
          </w:p>
        </w:tc>
      </w:tr>
      <w:tr>
        <w:trPr>
          <w:trHeight w:val="211"/>
        </w:trPr>
        <w:tc>
          <w:tcPr>
            <w:tcW w:w="6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7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Denominator—Weighted Average Shares Outstanding</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basic</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140,697,725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140,072,148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139,471,110</w:t>
            </w:r>
          </w:p>
        </w:tc>
      </w:tr>
      <w:tr>
        <w:trPr>
          <w:trHeight w:val="179"/>
        </w:trPr>
        <w:tc>
          <w:tcPr>
            <w:tcW w:w="6820" w:type="dxa"/>
            <w:vAlign w:val="bottom"/>
            <w:tcBorders>
              <w:bottom w:val="single" w:sz="8" w:color="CCEEFF"/>
            </w:tcBorders>
          </w:tcPr>
          <w:p>
            <w:pPr>
              <w:ind w:left="20"/>
              <w:spacing w:after="0" w:line="179" w:lineRule="exact"/>
              <w:rPr>
                <w:sz w:val="20"/>
                <w:szCs w:val="20"/>
                <w:color w:val="auto"/>
              </w:rPr>
            </w:pPr>
            <w:r>
              <w:rPr>
                <w:rFonts w:ascii="Times New Roman" w:cs="Times New Roman" w:eastAsia="Times New Roman" w:hAnsi="Times New Roman"/>
                <w:sz w:val="14"/>
                <w:szCs w:val="14"/>
                <w:color w:val="auto"/>
              </w:rPr>
              <w:t xml:space="preserve">Effect of dilutive restricted stock </w:t>
            </w:r>
            <w:r>
              <w:rPr>
                <w:rFonts w:ascii="Times New Roman" w:cs="Times New Roman" w:eastAsia="Times New Roman" w:hAnsi="Times New Roman"/>
                <w:sz w:val="18"/>
                <w:szCs w:val="18"/>
                <w:color w:val="auto"/>
                <w:vertAlign w:val="superscript"/>
              </w:rPr>
              <w:t>(1) (2)</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714,756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619,852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625,622</w:t>
            </w:r>
          </w:p>
        </w:tc>
      </w:tr>
      <w:tr>
        <w:trPr>
          <w:trHeight w:val="195"/>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 diluted</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141,412,481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140,692,000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140,096,732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6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and Comprehensive Income Per Share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basic</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0.90</w:t>
            </w:r>
          </w:p>
        </w:tc>
      </w:tr>
      <w:tr>
        <w:trPr>
          <w:trHeight w:val="17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and comprehensive income per share, diluted</w:t>
            </w: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r>
    </w:tbl>
    <w:p>
      <w:pPr>
        <w:spacing w:after="0" w:line="57" w:lineRule="exact"/>
        <w:rPr>
          <w:sz w:val="20"/>
          <w:szCs w:val="20"/>
          <w:color w:val="auto"/>
        </w:rPr>
      </w:pPr>
    </w:p>
    <w:p>
      <w:pPr>
        <w:ind w:right="200" w:firstLine="4"/>
        <w:spacing w:after="0" w:line="256" w:lineRule="auto"/>
        <w:tabs>
          <w:tab w:leader="none" w:pos="113" w:val="left"/>
        </w:tabs>
        <w:numPr>
          <w:ilvl w:val="0"/>
          <w:numId w:val="37"/>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During the years ended December 31, 2025, 2024 and 2023, 443,793, 418,953 and 539,283, respectively, shares of unvested restricted stock, RSUs and PSUs were excluded from the computation of diluted earnings per share because their effect would have been anti-dilutive.</w:t>
      </w:r>
    </w:p>
    <w:p>
      <w:pPr>
        <w:spacing w:after="0" w:line="1" w:lineRule="exact"/>
        <w:rPr>
          <w:rFonts w:ascii="Times New Roman" w:cs="Times New Roman" w:eastAsia="Times New Roman" w:hAnsi="Times New Roman"/>
          <w:sz w:val="13"/>
          <w:szCs w:val="13"/>
          <w:color w:val="auto"/>
          <w:vertAlign w:val="superscript"/>
        </w:rPr>
      </w:pPr>
    </w:p>
    <w:p>
      <w:pPr>
        <w:ind w:left="120" w:hanging="116"/>
        <w:spacing w:after="0" w:line="204" w:lineRule="auto"/>
        <w:tabs>
          <w:tab w:leader="none" w:pos="12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Excluded from the calculation of the effect of dilutive restricted stock as of December 31, 2025, 2024, and 2023 were 446,561, 426,756, and 571,058 PSUs, respectively, because they did not meet the required performance criteria.</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Commitments and Contingencies</w:t>
      </w:r>
    </w:p>
    <w:p>
      <w:pPr>
        <w:spacing w:after="0" w:line="14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December 31, 2025 and 2024, the Company has accrued legal costs of $6.5 million and $6.1 million, respectively, that are recorded in accrued other expenses in our consolidated balance sheet.</w:t>
      </w:r>
    </w:p>
    <w:p>
      <w:pPr>
        <w:spacing w:after="0" w:line="11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December 31, 2025 and 2024, we recorded liabilities of $0.3 million and $0.7 million, respectively, in accrued other expenses on the consolidated balance sheets for non-income tax matters that were probable and reasonably estimable.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August 2023, the Company committed to make a $10.0 million donation to The Nature Conservancy. As of December 31, 2024, we have paid the donation commitment in full.</w:t>
      </w:r>
    </w:p>
    <w:p>
      <w:pPr>
        <w:spacing w:after="0" w:line="14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On February 29, 2024, the Board of Directors of the Company declared a special cash dividend on the Company’s Class A and Class B common stock of $0.50 per share, payable April 4, 2024, to shareholders of record at the close of business on March 21, 2024 (the 2024 “Record Date”). During the year ended December 31, 2025 and 2024, the Company paid $0.4 million and $70.3 million, respectively, of the aforementioned special cash dividend on its Class A and Class B common stock. As of December 31, 2025 and 2024, dividends payable of $0.1 million and $0.5 million, respectively, are included within accrued other expenses. As of December 31, 2024, $0.2 million was included in other long-term liabilities on our consolidated balance sheets. The remaining dividends payable balance recorded on our consolidated balance sheets relates to dividend equivalents on outstanding equity awards under the Company’s equity incentive plans that were unvested as of the 2024 Record Date.</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has entered into an irrevocable standby letter of credit arrangement for purposes of protecting a lessor against default on lease payments. As of December 31, 2025, these lease payments are included in the Company’s consolidated balance sheets within operating lease liabilities. As of December 31, 2025,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consolidated financial statements. Accordingly, no liability has been recorded with respect to this credit arrangement as of December 31,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Subsequent Event</w:t>
      </w:r>
    </w:p>
    <w:p>
      <w:pPr>
        <w:spacing w:after="0" w:line="13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4"/>
          <w:szCs w:val="14"/>
          <w:color w:val="auto"/>
        </w:rPr>
        <w:t>On February 17, 2026, the Board of Directors of the Company declared a special cash dividend on the Company’s Class A and Class B common stock of $0.35 per share, payable March 31, 2026, to shareholders of record at the close of business on March 18, 2026 (the “Record Date”).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Related Party Transactions</w:t>
      </w:r>
    </w:p>
    <w:p>
      <w:pPr>
        <w:spacing w:after="0" w:line="15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The Company has beneficial owners and affiliated entities under the related party definition in ASC 850, “Related Party Disclosures.” Related parties include those defined in the Company’s proxy statement which has been incorporated by reference herein.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Leasing transactions</w:t>
      </w:r>
    </w:p>
    <w:p>
      <w:pPr>
        <w:spacing w:after="0" w:line="147"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4"/>
          <w:szCs w:val="14"/>
          <w:color w:val="auto"/>
        </w:rPr>
        <w:t>In November 2000, the Company entered into a lease agreement with Pagoda Partners, LLC, a company of which John Reed, our CEO, indirectly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5-year renewal option. The monthly rental payments range from $0.1 million to $0.2 million. Rent expense was $1.7 million, $1.7 million and $1.6 million for the years ended December 31, 2025, 2024 and 2023, respectively.</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4"/>
          <w:szCs w:val="14"/>
          <w:color w:val="auto"/>
        </w:rPr>
        <w:t>In July 2010, the Company entered into a lease agreement with Brooklyn Arhaus, a company of which our CEO and Bill Beargie, a Director of the Company, own 85% and 15%, respectively, for our Loft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$0.4 million, $0.3 million and $0.3 million for the years ended December 31, 2025, 2024 and 2023, respectively.</w:t>
      </w:r>
    </w:p>
    <w:p>
      <w:pPr>
        <w:spacing w:after="0" w:line="11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In March 2021, the Company entered into a lease agreement with Premier Conover, LLC, a company of which our CEO indirectly owns 40%, for a distribution center and manufacturing building.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$3.9 million, $4.0 million and $4.0 million for the years ended December 31, 2025, 2024 and 2023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transactions</w:t>
      </w:r>
    </w:p>
    <w:p>
      <w:pPr>
        <w:spacing w:after="0" w:line="14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4"/>
          <w:szCs w:val="14"/>
          <w:color w:val="auto"/>
        </w:rPr>
        <w:t>The remaining accounts payable due to related parties for state and federal income tax refunds were settled by the Company in June 2025. An accounts payable balance due to related parties of $0.2 million at December 31, 2024 was included within accounts payable on the consolidated balance sheets.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13. Income Taxes</w:t>
            </w: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income before provision for income taxes include (amounts in thousands):</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1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168,689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168,689</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components of the provision for income taxes include (amounts in thousands):</w:t>
            </w:r>
          </w:p>
        </w:tc>
        <w:tc>
          <w:tcPr>
            <w:tcW w:w="1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3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Current</w:t>
            </w:r>
          </w:p>
        </w:tc>
        <w:tc>
          <w:tcPr>
            <w:tcW w:w="1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Federal</w:t>
            </w:r>
          </w:p>
        </w:tc>
        <w:tc>
          <w:tcPr>
            <w:tcW w:w="204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16,983</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16,264</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35,015</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State</w:t>
            </w:r>
          </w:p>
        </w:tc>
        <w:tc>
          <w:tcPr>
            <w:tcW w:w="1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expense</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Federal</w:t>
            </w: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State</w:t>
            </w:r>
          </w:p>
        </w:tc>
        <w:tc>
          <w:tcPr>
            <w:tcW w:w="1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expense (benefit)</w:t>
            </w:r>
          </w:p>
        </w:tc>
        <w:tc>
          <w:tcPr>
            <w:tcW w:w="1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650"/>
              <w:spacing w:after="0"/>
              <w:rPr>
                <w:sz w:val="20"/>
                <w:szCs w:val="20"/>
                <w:color w:val="auto"/>
              </w:rPr>
            </w:pPr>
            <w:r>
              <w:rPr>
                <w:rFonts w:ascii="Times New Roman" w:cs="Times New Roman" w:eastAsia="Times New Roman" w:hAnsi="Times New Roman"/>
                <w:sz w:val="14"/>
                <w:szCs w:val="14"/>
                <w:color w:val="auto"/>
              </w:rPr>
              <w:t>80</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53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difference between income taxes expected at the United States federal statutory income tax rate of 21% and the provision for income taxes is summarized as follows (amounts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5"/>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70"/>
        </w:trPr>
        <w:tc>
          <w:tcPr>
            <w:tcW w:w="3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Borders>
              <w:bottom w:val="single" w:sz="8" w:color="auto"/>
            </w:tcBorders>
          </w:tcPr>
          <w:p>
            <w:pPr>
              <w:spacing w:after="0"/>
              <w:rPr>
                <w:sz w:val="14"/>
                <w:szCs w:val="14"/>
                <w:color w:val="auto"/>
              </w:rPr>
            </w:pPr>
          </w:p>
        </w:tc>
      </w:tr>
      <w:tr>
        <w:trPr>
          <w:trHeight w:val="170"/>
        </w:trPr>
        <w:tc>
          <w:tcPr>
            <w:tcW w:w="3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Percentage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Percentage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rPr>
              <w:t>Percentage</w:t>
            </w:r>
          </w:p>
        </w:tc>
      </w:tr>
      <w:tr>
        <w:trPr>
          <w:trHeight w:val="17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19,318</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19,094</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35,425</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41"/>
        </w:trPr>
        <w:tc>
          <w:tcPr>
            <w:tcW w:w="33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State and local income taxes, net of federal income tax</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86"/>
        </w:trPr>
        <w:tc>
          <w:tcPr>
            <w:tcW w:w="334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4"/>
                <w:szCs w:val="14"/>
                <w:color w:val="auto"/>
              </w:rPr>
              <w:t xml:space="preserve">effect </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7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9"/>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r>
      <w:tr>
        <w:trPr>
          <w:trHeight w:val="179"/>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220" w:type="dxa"/>
            <w:vAlign w:val="bottom"/>
          </w:tcPr>
          <w:p>
            <w:pPr>
              <w:spacing w:after="0"/>
              <w:rPr>
                <w:sz w:val="15"/>
                <w:szCs w:val="15"/>
                <w:color w:val="auto"/>
              </w:rPr>
            </w:pPr>
          </w:p>
        </w:tc>
        <w:tc>
          <w:tcPr>
            <w:tcW w:w="13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79"/>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0.5 %</w:t>
            </w:r>
          </w:p>
        </w:tc>
      </w:tr>
      <w:tr>
        <w:trPr>
          <w:trHeight w:val="195"/>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24.6 %</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right="100" w:firstLine="4"/>
        <w:spacing w:after="0" w:line="279" w:lineRule="auto"/>
        <w:tabs>
          <w:tab w:leader="none" w:pos="113" w:val="left"/>
        </w:tabs>
        <w:numPr>
          <w:ilvl w:val="0"/>
          <w:numId w:val="3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The states that contribute to the majority (greater than 50%) of the tax effect in this category include New Jersey, California, New York, Illinois, Florida, and Pennsylvania for 2025, California, New Jersey, Florida, New York, and Illinois for 2024, and California, New Jersey, Florida, New York, Illinois, and Ohio for 2023.</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Components of our deferred tax assets and liabilities include (amounts in thousands):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37"/>
        </w:trPr>
        <w:tc>
          <w:tcPr>
            <w:tcW w:w="80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170"/>
        </w:trPr>
        <w:tc>
          <w:tcPr>
            <w:tcW w:w="80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59"/>
        </w:trPr>
        <w:tc>
          <w:tcPr>
            <w:tcW w:w="80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Deferred tax assets</w:t>
            </w: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7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 Arhaus investment in LLC</w:t>
            </w:r>
          </w:p>
        </w:tc>
        <w:tc>
          <w:tcPr>
            <w:tcW w:w="920" w:type="dxa"/>
            <w:vAlign w:val="bottom"/>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w:t>
            </w:r>
          </w:p>
        </w:tc>
        <w:tc>
          <w:tcPr>
            <w:tcW w:w="8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10,419</w:t>
            </w:r>
          </w:p>
        </w:tc>
      </w:tr>
      <w:tr>
        <w:trPr>
          <w:trHeight w:val="17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Homeworks investment in LLC</w:t>
            </w:r>
          </w:p>
        </w:tc>
        <w:tc>
          <w:tcPr>
            <w:tcW w:w="9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10,235</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10,672</w:t>
            </w:r>
          </w:p>
        </w:tc>
      </w:tr>
      <w:tr>
        <w:trPr>
          <w:trHeight w:val="17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19,545</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21,091</w:t>
            </w:r>
          </w:p>
        </w:tc>
      </w:tr>
      <w:tr>
        <w:trPr>
          <w:trHeight w:val="20"/>
        </w:trPr>
        <w:tc>
          <w:tcPr>
            <w:tcW w:w="8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4"/>
          <w:szCs w:val="14"/>
          <w:color w:val="auto"/>
        </w:rPr>
        <w:t>Based on available evidence (namely, a three-year cumulative income position), management believes it is more-likely-than-not that the net United States federal and state deferred tax assets will be fully realizable. We have not recorded a valuation allowance against deferred tax assets.</w:t>
      </w:r>
    </w:p>
    <w:p>
      <w:pPr>
        <w:spacing w:after="0" w:line="10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4"/>
          <w:szCs w:val="14"/>
          <w:color w:val="auto"/>
        </w:rPr>
        <w:t>No unrecognized tax benefits have been recognized as of December 31, 2025 and 2024. We recognize accrued interest and penalties related to unrecognized tax benefits within the provision for income taxes in the consolidated statements of operations. There were no amounts of interest and penalties accrued as of December 31, 2025 and 2024.</w:t>
      </w:r>
    </w:p>
    <w:p>
      <w:pPr>
        <w:spacing w:after="0" w:line="9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4"/>
          <w:szCs w:val="14"/>
          <w:color w:val="auto"/>
        </w:rPr>
        <w:t>We file income tax returns in the United States federal and various state and local jurisdictions. The tax years after 2021 remain open to examination by the state taxing jurisdictions in which the Company is subject to tax. As of December 31, 2025, the Company was not under examination by the Internal Revenue Service.</w:t>
      </w:r>
    </w:p>
    <w:p>
      <w:pPr>
        <w:spacing w:after="0" w:line="9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4"/>
          <w:szCs w:val="14"/>
          <w:color w:val="auto"/>
        </w:rPr>
        <w:t>On July 4, 2025, the United States enacted H.R. 1, commonly referred to as the One Big Beautiful Bill Act (OBBBA). The OBBBA includes a broad range of changes, including 100% initial-year bonus depreciation on qualifying property, as well as the immediate deduction for domestic research and development expenses. The impacts of the OBBBA are reflected in our results for the year ended December 31, 2025. The OBBBA has minimal impact on the effective tax rate but results in favorable cash tax impacts in fiscal 2025 as a result of accelerated tax deductions.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Arhaus, Inc. and Subsidiaries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1621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 are as follows (amounts in thousands):</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90"/>
        </w:trPr>
        <w:tc>
          <w:tcPr>
            <w:tcW w:w="68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0"/>
        </w:trPr>
        <w:tc>
          <w:tcPr>
            <w:tcW w:w="68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9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34,820</w:t>
            </w:r>
          </w:p>
        </w:tc>
      </w:tr>
      <w:tr>
        <w:trPr>
          <w:trHeight w:val="17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9"/>
        </w:trPr>
        <w:tc>
          <w:tcPr>
            <w:tcW w:w="6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California</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9"/>
        </w:trPr>
        <w:tc>
          <w:tcPr>
            <w:tcW w:w="6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states</w:t>
            </w: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12,312</w:t>
            </w:r>
          </w:p>
        </w:tc>
      </w:tr>
      <w:tr>
        <w:trPr>
          <w:trHeight w:val="195"/>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94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*Jurisdiction below the threshold for the period presented.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9. Changes in and Disagreements With Accountants on Accounting and Financial Disclosure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4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Management, with the participation of our CEO and Chief Financial Officer (“CFO”), evaluated the effectiveness of the design and operation of our disclosure controls and procedures (as defined in Rules 13a-15(e) and 15d-15(e) of the Securities Exchange Act of 1934 (“Exchange Act”)) as of December 31, 2025. Based upon that evaluation as of December 31, 2025, our CEO and CFO have concluded that our disclosure controls and procedures were not effective at the reasonable assurance level because of the material weaknesses in our internal control over financial reporting described below.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Despite these material weaknesses, our CEO and CFO concluded the financial statements were prepared in accordance with U.S.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14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4"/>
          <w:szCs w:val="14"/>
          <w:color w:val="auto"/>
        </w:rPr>
        <w:t>Management, including our CEO and CFO, is responsible for establishing and maintaining adequate internal control over financial reporting (as defined in Rules 13a-15(f) and 15d-15(f) under the Exchange Act) (“ICFR”). ICFR is a process designed to provide reasonable assurance regarding the reliability of our financial reporting and the preparation of consolidated financial statements for external purposes in accordance with U.S. GAAP.</w:t>
      </w:r>
    </w:p>
    <w:p>
      <w:pPr>
        <w:spacing w:after="0" w:line="10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ICFR, such that there is a reasonable possibility that a material misstatement of a company’s annual or interim financial statements will not be prevented or detected on a timely basis.</w:t>
      </w:r>
    </w:p>
    <w:p>
      <w:pPr>
        <w:spacing w:after="0" w:line="10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4"/>
          <w:szCs w:val="14"/>
          <w:color w:val="auto"/>
        </w:rPr>
        <w:t xml:space="preserve">Management utilized the criteria established in the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 to assess the effectiveness of our ICFR as of December 31, 2025. Based on this assessment, management has concluded that the Company’s ICFR was not effective due to the material weaknesses described below.</w:t>
      </w:r>
    </w:p>
    <w:p>
      <w:pPr>
        <w:spacing w:after="0" w:line="104" w:lineRule="exact"/>
        <w:rPr>
          <w:sz w:val="20"/>
          <w:szCs w:val="20"/>
          <w:color w:val="auto"/>
        </w:rPr>
      </w:pPr>
    </w:p>
    <w:p>
      <w:pPr>
        <w:ind w:left="520" w:right="100" w:hanging="263"/>
        <w:spacing w:after="0" w:line="256"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an effective control environment due to a lack of an appropriate level of experience and training related to internal control over financial reporting. Additionally, the lack of experience and training resulted in an inability to consistently establish appropriate authorities and responsibilities in pursuit of our financial reporting objectives, as demonstrated by, amongst other things, insufficient segregation of duties across our significant business processes. This material weakness contributed to the following additional material weakness.</w:t>
      </w:r>
    </w:p>
    <w:p>
      <w:pPr>
        <w:spacing w:after="0" w:line="2" w:lineRule="exact"/>
        <w:rPr>
          <w:rFonts w:ascii="Times New Roman" w:cs="Times New Roman" w:eastAsia="Times New Roman" w:hAnsi="Times New Roman"/>
          <w:sz w:val="14"/>
          <w:szCs w:val="14"/>
          <w:color w:val="auto"/>
        </w:rPr>
      </w:pPr>
    </w:p>
    <w:p>
      <w:pPr>
        <w:ind w:left="520" w:right="20" w:hanging="263"/>
        <w:spacing w:after="0" w:line="257"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design and maintain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w:t>
      </w:r>
    </w:p>
    <w:p>
      <w:pPr>
        <w:spacing w:after="0" w:line="1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63"/>
        <w:spacing w:after="0" w:line="258"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spacing w:after="0" w:line="16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The effectiveness of the Company’s ICFR as of December 31, 2025 has been audited by PricewaterhouseCoopers LLP, an independent registered public accounting firm, as stated in their report which appears herein.</w:t>
      </w:r>
    </w:p>
    <w:p>
      <w:pPr>
        <w:spacing w:after="0"/>
        <w:rPr>
          <w:sz w:val="20"/>
          <w:szCs w:val="20"/>
          <w:color w:val="auto"/>
        </w:rPr>
      </w:pPr>
      <w:r>
        <w:rPr>
          <w:rFonts w:ascii="Times New Roman" w:cs="Times New Roman" w:eastAsia="Times New Roman" w:hAnsi="Times New Roman"/>
          <w:sz w:val="14"/>
          <w:szCs w:val="14"/>
          <w:b w:val="1"/>
          <w:bCs w:val="1"/>
          <w:color w:val="auto"/>
        </w:rPr>
        <w:t>Remediation Activities</w:t>
      </w:r>
    </w:p>
    <w:p>
      <w:pPr>
        <w:spacing w:after="0" w:line="18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4"/>
          <w:szCs w:val="14"/>
          <w:color w:val="auto"/>
        </w:rPr>
        <w:t>As of December 31, 2025, the previously disclosed material weakness related to not designing and maintaining effective controls to address the identification of and accounting for certain non-routine or complex transactions, including the proper application of U.S. GAAP of such transactions was remediated through the following:</w:t>
      </w:r>
    </w:p>
    <w:p>
      <w:pPr>
        <w:spacing w:after="0" w:line="178" w:lineRule="exact"/>
        <w:rPr>
          <w:sz w:val="20"/>
          <w:szCs w:val="20"/>
          <w:color w:val="auto"/>
        </w:rPr>
      </w:pPr>
    </w:p>
    <w:p>
      <w:pPr>
        <w:ind w:left="520" w:right="340" w:hanging="263"/>
        <w:spacing w:after="0" w:line="236" w:lineRule="auto"/>
        <w:tabs>
          <w:tab w:leader="none" w:pos="516"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4"/>
          <w:szCs w:val="14"/>
          <w:color w:val="auto"/>
        </w:rPr>
        <w:t>Hired and retained personnel with the knowledge and experience to identify and account for non-routine or complex transactions, including the proper application of U.S. GAAP to such transactions.</w:t>
      </w:r>
    </w:p>
    <w:p>
      <w:pPr>
        <w:spacing w:after="0" w:line="1" w:lineRule="exact"/>
        <w:rPr>
          <w:rFonts w:ascii="Arial" w:cs="Arial" w:eastAsia="Arial" w:hAnsi="Arial"/>
          <w:sz w:val="17"/>
          <w:szCs w:val="17"/>
          <w:color w:val="auto"/>
        </w:rPr>
      </w:pPr>
    </w:p>
    <w:p>
      <w:pPr>
        <w:ind w:left="500" w:hanging="243"/>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company policies related to review of significant contracts prior to execution for critical accounting terms.</w:t>
      </w:r>
    </w:p>
    <w:p>
      <w:pPr>
        <w:spacing w:after="0" w:line="12" w:lineRule="exact"/>
        <w:rPr>
          <w:rFonts w:ascii="Times New Roman" w:cs="Times New Roman" w:eastAsia="Times New Roman" w:hAnsi="Times New Roman"/>
          <w:sz w:val="14"/>
          <w:szCs w:val="14"/>
          <w:color w:val="auto"/>
        </w:rPr>
      </w:pPr>
    </w:p>
    <w:p>
      <w:pPr>
        <w:ind w:left="500" w:hanging="243"/>
        <w:spacing w:after="0"/>
        <w:tabs>
          <w:tab w:leader="none" w:pos="5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Enhanced controls over non-routine or complex transactions to ensure a complete and accurate population of transactions to validate proper application of U.S. GAAP for such transactions.</w:t>
      </w:r>
    </w:p>
    <w:p>
      <w:pPr>
        <w:spacing w:after="0" w:line="1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4"/>
          <w:szCs w:val="14"/>
          <w:color w:val="auto"/>
        </w:rPr>
        <w:t>With the oversight of senior management and our Audit Committee, we continue to assess, implement and redesign our ICFR. Although the material weaknesses existing as of December 31, 2025 cannot be considered remediated until the related controls have operated effectively for a sufficient period of time and have been tested, we have made meaningful progress and continue to execute our remediation plan, including:</w:t>
      </w:r>
    </w:p>
    <w:p>
      <w:pPr>
        <w:spacing w:after="0" w:line="114" w:lineRule="exact"/>
        <w:rPr>
          <w:sz w:val="20"/>
          <w:szCs w:val="20"/>
          <w:color w:val="auto"/>
        </w:rPr>
      </w:pPr>
    </w:p>
    <w:p>
      <w:pPr>
        <w:ind w:left="520" w:right="100" w:hanging="263"/>
        <w:spacing w:after="0" w:line="25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a cross functional taskforce of senior leaders with expertise in designing and implementing internal controls to oversee remediation activities. The taskforce is responsible for the oversight of our remediation plan including development of actions plans for individual control deficiencies.</w:t>
      </w:r>
    </w:p>
    <w:p>
      <w:pPr>
        <w:ind w:left="520" w:right="120" w:hanging="263"/>
        <w:spacing w:after="0" w:line="235"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Established regular meetings between senior management and members of the Audit Committee to discuss and report on remediation progress and objectives. Additionally, progress updates are regularly provided to the Board of Directors.</w:t>
      </w:r>
    </w:p>
    <w:p>
      <w:pPr>
        <w:ind w:left="520" w:right="140" w:hanging="263"/>
        <w:spacing w:after="0" w:line="227"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Outsourced our internal audit department to a third-party service firm and transitioned our former internal audit department to our business process improvement function, which is assisting with control design, implementation, and remediation execution.</w:t>
      </w:r>
    </w:p>
    <w:p>
      <w:pPr>
        <w:spacing w:after="0" w:line="1" w:lineRule="exact"/>
        <w:rPr>
          <w:rFonts w:ascii="Times New Roman" w:cs="Times New Roman" w:eastAsia="Times New Roman" w:hAnsi="Times New Roman"/>
          <w:sz w:val="14"/>
          <w:szCs w:val="14"/>
          <w:color w:val="auto"/>
        </w:rPr>
      </w:pPr>
    </w:p>
    <w:p>
      <w:pPr>
        <w:ind w:left="520" w:hanging="263"/>
        <w:spacing w:after="0"/>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and enhanced the accounting organization by assessing personnel competency and capacity, hired additional qualified technical accounting, financial reporting, and lease accounting experts (including senior level leaders), and strengthened training, oversight, and the internal review processes to ensure the team possesses the appropriate knowledge and experience to design, execute, and oversee ICFR related activities.</w:t>
      </w:r>
    </w:p>
    <w:p>
      <w:pPr>
        <w:ind w:left="520" w:right="440" w:hanging="263"/>
        <w:spacing w:after="0" w:line="251"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Assessed and continue to evaluate the IT function to ensure that it is adequately staffed with personnel possessing the necessary ICFR related knowledge and competencies. Significant personnel additions have been made within our IT department and across the organization, including executive and senior level hires.</w:t>
      </w:r>
    </w:p>
    <w:p>
      <w:pPr>
        <w:ind w:left="500" w:hanging="243"/>
        <w:spacing w:after="0" w:line="237" w:lineRule="auto"/>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Hired and continue to hire additional personnel to enhance the segregation of duties in the IT department, particularly between IT development and IT operations.</w:t>
      </w:r>
    </w:p>
    <w:p>
      <w:pPr>
        <w:ind w:left="520" w:right="60" w:hanging="263"/>
        <w:spacing w:after="0" w:line="244"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multi-year company-wide initiative has begun to modernize the Company’s IT infrastructure to be capable of streamlining many of our manual financial reporting processes, enhancing our information technology control environment and mitigating the underlying internal control gaps and limitations that cannot be remediated within current systems.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72" w:lineRule="exact"/>
        <w:rPr>
          <w:sz w:val="20"/>
          <w:szCs w:val="20"/>
          <w:color w:val="auto"/>
        </w:rPr>
      </w:pPr>
    </w:p>
    <w:p>
      <w:pPr>
        <w:ind w:left="500" w:hanging="243"/>
        <w:spacing w:after="0"/>
        <w:tabs>
          <w:tab w:leader="none" w:pos="500"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4"/>
          <w:szCs w:val="14"/>
          <w:color w:val="auto"/>
        </w:rPr>
        <w:t>Conducting and continuing to conduct trainings for control owners and performers on key ICFR topics including, but not limited to:</w:t>
      </w:r>
    </w:p>
    <w:p>
      <w:pPr>
        <w:spacing w:after="0" w:line="12" w:lineRule="exact"/>
        <w:rPr>
          <w:rFonts w:ascii="Arial" w:cs="Arial" w:eastAsia="Arial" w:hAnsi="Arial"/>
          <w:sz w:val="15"/>
          <w:szCs w:val="15"/>
          <w:color w:val="auto"/>
        </w:rPr>
      </w:pP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user access review completion;</w:t>
      </w:r>
    </w:p>
    <w:p>
      <w:pPr>
        <w:ind w:left="760"/>
        <w:spacing w:after="0" w:line="220"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review and conclusions around Systems and Organization Control I (“SOC1”) reports;</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software used in accounting;</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validation of the system generated data used in the execution of a control;</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account reconciliation formats and required support;</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journal entry review and support; and</w:t>
      </w:r>
    </w:p>
    <w:p>
      <w:pPr>
        <w:ind w:left="760"/>
        <w:spacing w:after="0" w:line="234"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maintaining evidence of control support.</w:t>
      </w:r>
    </w:p>
    <w:p>
      <w:pPr>
        <w:ind w:left="520" w:right="100" w:hanging="263"/>
        <w:spacing w:after="0" w:line="220" w:lineRule="auto"/>
        <w:tabs>
          <w:tab w:leader="none" w:pos="511"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4"/>
          <w:szCs w:val="14"/>
          <w:color w:val="auto"/>
        </w:rPr>
        <w:t>Enhanced communications to employees regarding our internal control environment and related expectations. We continue to take steps to ensure personnel both existing and newly hired are adequately trained with the appropriate level of knowledge and understanding of ICFR and its importance.</w:t>
      </w:r>
    </w:p>
    <w:p>
      <w:pPr>
        <w:ind w:left="520" w:right="140" w:hanging="263"/>
        <w:spacing w:after="0" w:line="235"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Updated our policies and procedures to establish and maintain effective segregation of duties for our accounting staff in relation to journal entries, reconciliations and other applicable processes. To supplement existing procedures, management implemented an account reconciliation software tool which increased the reliability around the monthly financial statement close procedures through utilization of period-end closing task checklists and standardized reconciliation processes.</w:t>
      </w:r>
    </w:p>
    <w:p>
      <w:pPr>
        <w:spacing w:after="0" w:line="1" w:lineRule="exact"/>
        <w:rPr>
          <w:rFonts w:ascii="Times New Roman" w:cs="Times New Roman" w:eastAsia="Times New Roman" w:hAnsi="Times New Roman"/>
          <w:sz w:val="14"/>
          <w:szCs w:val="14"/>
          <w:color w:val="auto"/>
        </w:rPr>
      </w:pPr>
    </w:p>
    <w:p>
      <w:pPr>
        <w:ind w:left="500" w:hanging="243"/>
        <w:spacing w:after="0" w:line="235" w:lineRule="auto"/>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formal processes, policies and procedures to support our financial close process, including but not limited to:</w:t>
      </w:r>
    </w:p>
    <w:p>
      <w:pPr>
        <w:ind w:left="760"/>
        <w:spacing w:after="0" w:line="22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formalized procedures over the review of our financial statements;</w:t>
      </w:r>
    </w:p>
    <w:p>
      <w:pPr>
        <w:ind w:left="76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implemented period-end closing task checklists; and</w:t>
      </w:r>
    </w:p>
    <w:p>
      <w:pPr>
        <w:ind w:left="760"/>
        <w:spacing w:after="0" w:line="23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standardized reconciliation process.</w:t>
      </w:r>
    </w:p>
    <w:p>
      <w:pPr>
        <w:ind w:left="520" w:right="340" w:hanging="263"/>
        <w:spacing w:after="0"/>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will continue to evaluate and refine its financial statement close process to enhance processes around the preparation and review of journal entries, including assessing the reliability of reports and spreadsheets used in controls. Enhanced the design of the control activities over the review of our consolidated balance sheet and statement of cash flows to help ensure that the classification of operating and investing activities is appropriately presented in the statement of cash flows.</w:t>
      </w:r>
    </w:p>
    <w:p>
      <w:pPr>
        <w:ind w:left="500" w:hanging="243"/>
        <w:spacing w:after="0" w:line="222" w:lineRule="auto"/>
        <w:tabs>
          <w:tab w:leader="none" w:pos="500"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4"/>
          <w:szCs w:val="14"/>
          <w:color w:val="auto"/>
        </w:rPr>
        <w:t>Designed and implemented policies and procedures, including but not limited to:</w:t>
      </w:r>
    </w:p>
    <w:p>
      <w:pPr>
        <w:ind w:left="760"/>
        <w:spacing w:after="0" w:line="220" w:lineRule="auto"/>
        <w:rPr>
          <w:rFonts w:ascii="Arial" w:cs="Arial" w:eastAsia="Arial" w:hAnsi="Arial"/>
          <w:sz w:val="15"/>
          <w:szCs w:val="15"/>
          <w:color w:val="auto"/>
        </w:rPr>
      </w:pPr>
      <w:r>
        <w:rPr>
          <w:rFonts w:ascii="Arial" w:cs="Arial" w:eastAsia="Arial" w:hAnsi="Arial"/>
          <w:sz w:val="15"/>
          <w:szCs w:val="15"/>
          <w:color w:val="auto"/>
        </w:rPr>
        <w:t xml:space="preserve">–  </w:t>
      </w:r>
      <w:r>
        <w:rPr>
          <w:rFonts w:ascii="Times New Roman" w:cs="Times New Roman" w:eastAsia="Times New Roman" w:hAnsi="Times New Roman"/>
          <w:sz w:val="14"/>
          <w:szCs w:val="14"/>
          <w:color w:val="auto"/>
        </w:rPr>
        <w:t>lease accounting;</w:t>
      </w:r>
    </w:p>
    <w:p>
      <w:pPr>
        <w:ind w:left="760"/>
        <w:spacing w:after="0" w:line="220" w:lineRule="auto"/>
        <w:rPr>
          <w:rFonts w:ascii="Arial" w:cs="Arial" w:eastAsia="Arial" w:hAnsi="Arial"/>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revenue recognition;</w:t>
      </w:r>
    </w:p>
    <w:p>
      <w:pPr>
        <w:ind w:left="760"/>
        <w:spacing w:after="0" w:line="190" w:lineRule="auto"/>
        <w:rPr>
          <w:rFonts w:ascii="Arial" w:cs="Arial" w:eastAsia="Arial" w:hAnsi="Arial"/>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inventory;</w:t>
      </w:r>
    </w:p>
    <w:p>
      <w:pPr>
        <w:ind w:left="760"/>
        <w:spacing w:after="0" w:line="235" w:lineRule="auto"/>
        <w:rPr>
          <w:rFonts w:ascii="Arial" w:cs="Arial" w:eastAsia="Arial" w:hAnsi="Arial"/>
          <w:sz w:val="15"/>
          <w:szCs w:val="15"/>
          <w:color w:val="auto"/>
        </w:rPr>
      </w:pPr>
      <w:r>
        <w:rPr>
          <w:rFonts w:ascii="Times New Roman" w:cs="Times New Roman" w:eastAsia="Times New Roman" w:hAnsi="Times New Roman"/>
          <w:sz w:val="14"/>
          <w:szCs w:val="14"/>
          <w:color w:val="auto"/>
        </w:rPr>
        <w:t>–   goodwill and other long-lived assets;</w:t>
      </w:r>
    </w:p>
    <w:p>
      <w:pPr>
        <w:ind w:left="760"/>
        <w:spacing w:after="0" w:line="220" w:lineRule="auto"/>
        <w:rPr>
          <w:rFonts w:ascii="Arial" w:cs="Arial" w:eastAsia="Arial" w:hAnsi="Arial"/>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fixed assets and software capitalization;</w:t>
      </w:r>
    </w:p>
    <w:p>
      <w:pPr>
        <w:ind w:left="760"/>
        <w:spacing w:after="0" w:line="220" w:lineRule="auto"/>
        <w:rPr>
          <w:rFonts w:ascii="Arial" w:cs="Arial" w:eastAsia="Arial" w:hAnsi="Arial"/>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merchandise warranties; and</w:t>
      </w:r>
    </w:p>
    <w:p>
      <w:pPr>
        <w:ind w:left="760"/>
        <w:spacing w:after="0" w:line="205" w:lineRule="auto"/>
        <w:rPr>
          <w:rFonts w:ascii="Arial" w:cs="Arial" w:eastAsia="Arial" w:hAnsi="Arial"/>
          <w:sz w:val="15"/>
          <w:szCs w:val="15"/>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4"/>
          <w:szCs w:val="14"/>
          <w:color w:val="auto"/>
        </w:rPr>
        <w:t>income taxes.</w:t>
      </w:r>
    </w:p>
    <w:p>
      <w:pPr>
        <w:ind w:left="520" w:right="560" w:hanging="263"/>
        <w:spacing w:after="0" w:line="250"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ind w:left="520" w:right="460" w:hanging="263"/>
        <w:spacing w:after="0" w:line="244"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ind w:left="520" w:right="100" w:hanging="263"/>
        <w:spacing w:after="0" w:line="242"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ind w:left="520" w:right="280" w:hanging="263"/>
        <w:spacing w:after="0" w:line="25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to enhance the design and operation of control activities and procedures within the computer operations domain to help ensure that key batch jobs and interfaces are monitored, processing failures are adequately resolved, and recovery capability is tested.</w:t>
      </w:r>
    </w:p>
    <w:p>
      <w:pPr>
        <w:ind w:left="500" w:hanging="243"/>
        <w:spacing w:after="0" w:line="234" w:lineRule="auto"/>
        <w:tabs>
          <w:tab w:leader="none" w:pos="500" w:val="left"/>
        </w:tabs>
        <w:numPr>
          <w:ilvl w:val="0"/>
          <w:numId w:val="43"/>
        </w:numPr>
        <w:rPr>
          <w:rFonts w:ascii="Arial" w:cs="Arial" w:eastAsia="Arial" w:hAnsi="Arial"/>
          <w:sz w:val="15"/>
          <w:szCs w:val="15"/>
          <w:color w:val="auto"/>
        </w:rPr>
      </w:pPr>
      <w:r>
        <w:rPr>
          <w:rFonts w:ascii="Times New Roman" w:cs="Times New Roman" w:eastAsia="Times New Roman" w:hAnsi="Times New Roman"/>
          <w:sz w:val="14"/>
          <w:szCs w:val="14"/>
          <w:color w:val="auto"/>
        </w:rPr>
        <w:t>Continued to enhance data backup procedures to help ensure that systems are adequately backed up and maintained and recovery of data from backups is tested.</w:t>
      </w:r>
    </w:p>
    <w:p>
      <w:pPr>
        <w:spacing w:after="0" w:line="1" w:lineRule="exact"/>
        <w:rPr>
          <w:rFonts w:ascii="Arial" w:cs="Arial" w:eastAsia="Arial" w:hAnsi="Arial"/>
          <w:sz w:val="15"/>
          <w:szCs w:val="15"/>
          <w:color w:val="auto"/>
        </w:rPr>
      </w:pPr>
    </w:p>
    <w:p>
      <w:pPr>
        <w:ind w:left="500" w:hanging="243"/>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identifying, evaluating and began testing key IT dependencies including key reports, automated application controls, interfaces and end user computer operations.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7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4"/>
          <w:szCs w:val="14"/>
          <w:color w:val="auto"/>
        </w:rPr>
        <w:t>future. Until we remediate the material weaknesses, our ability to record, process and report financial information accurately, and to prepare our consolidated financial statements within the time periods specified by the rules and forms of the SEC, could be adversely affected.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5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during the quarter ended December 31, 2025 that have materially affected, or are reasonably likely to materially affect, our internal control over financial reporting.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9B. Other Information</w:t>
      </w:r>
    </w:p>
    <w:p>
      <w:pPr>
        <w:spacing w:after="0" w:line="14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4"/>
          <w:szCs w:val="14"/>
          <w:color w:val="231F20"/>
        </w:rPr>
        <w:t>During the three months ended December 31,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 except as follows:</w:t>
      </w:r>
    </w:p>
    <w:p>
      <w:pPr>
        <w:spacing w:after="0" w:line="156"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231F20"/>
        </w:rPr>
        <w:t>On December 15, 2025, John Reed, director and Chief Executive Officer, adopted a Rule 10b5-1 trading arrangement that is intended to satisfy the affirmative defense of Rule 10b5-1(c) for the sale of up to 1,000,000 shares of the Company’s Class A common stock beginning March 16, 2026. The arrangement’s expiration date is November 30, 2026.</w:t>
      </w:r>
    </w:p>
    <w:p>
      <w:pPr>
        <w:spacing w:after="0" w:line="14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4"/>
          <w:szCs w:val="14"/>
          <w:color w:val="231F20"/>
        </w:rPr>
        <w:t>On December 15, 2025, certain Reed family trusts, of which directors Albert Adams and William Beargie are trustees, also adopted a 10b5-1 trading arrangement that is intended to satisfy the affirmative defense of Rule 10b5-1(c) for the sale of up to 1,000,000 additional shares of the Company’s Class A common stock beginning March 16, 2026. The arrangement’s expiration date is also November 30,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9C. Disclosure Regarding Foreign Jurisdictions that Prevent Inspections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Part III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10. Directors, Executive Officers and Corporate Governance</w:t>
      </w:r>
    </w:p>
    <w:p>
      <w:pPr>
        <w:spacing w:after="0" w:line="1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We have adopted a Code of Business Conduct and Ethics, which applies to all of our officers, directors, and employees. A current copy of the code is posted at our website www.ir.arhaus.com. We will disclose any amendments to, or waivers from, the code applicable to an executive officer or director at our website www.ir.arhaus.com.</w:t>
      </w:r>
    </w:p>
    <w:p>
      <w:pPr>
        <w:spacing w:after="0" w:line="104"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4"/>
          <w:szCs w:val="14"/>
          <w:color w:val="231F20"/>
        </w:rPr>
        <w:t xml:space="preserve">All information required to be reported under this item will be included in our proxy statement for our </w:t>
      </w:r>
      <w:r>
        <w:rPr>
          <w:rFonts w:ascii="Times New Roman" w:cs="Times New Roman" w:eastAsia="Times New Roman" w:hAnsi="Times New Roman"/>
          <w:sz w:val="14"/>
          <w:szCs w:val="14"/>
          <w:color w:val="000000"/>
        </w:rPr>
        <w:t>2026</w:t>
      </w:r>
      <w:r>
        <w:rPr>
          <w:rFonts w:ascii="Times New Roman" w:cs="Times New Roman" w:eastAsia="Times New Roman" w:hAnsi="Times New Roman"/>
          <w:sz w:val="14"/>
          <w:szCs w:val="14"/>
          <w:color w:val="231F20"/>
        </w:rPr>
        <w:t xml:space="preserve"> Annual Meeting of Stockholders. Except for the information included below, all information required under this item is incorporated in this item by reference.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Below is detailed biographical information and ages, as of February 26, 2026 for each of our executive officers and a summary of their qualifications and skills.</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ectPr>
          <w:pgSz w:w="11900" w:h="16838" w:orient="portrait"/>
          <w:cols w:equalWidth="0" w:num="1">
            <w:col w:w="11240"/>
          </w:cols>
          <w:pgMar w:left="300" w:top="125" w:right="359" w:bottom="1440" w:gutter="0" w:footer="0" w:header="0"/>
        </w:sectPr>
      </w:pP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John Reed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Age: 71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Chief Executive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11430</wp:posOffset>
            </wp:positionV>
            <wp:extent cx="71088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3">
            <w:col w:w="1660" w:space="720"/>
            <w:col w:w="460" w:space="700"/>
            <w:col w:w="7700"/>
          </w:cols>
          <w:pgMar w:left="300" w:top="125" w:right="359" w:bottom="1440" w:gutter="0" w:footer="0" w:header="0"/>
          <w:type w:val="continuous"/>
        </w:sectPr>
      </w:pPr>
    </w:p>
    <w:p>
      <w:pPr>
        <w:ind w:left="20" w:right="120"/>
        <w:spacing w:after="0" w:line="268" w:lineRule="auto"/>
        <w:rPr>
          <w:sz w:val="20"/>
          <w:szCs w:val="20"/>
          <w:color w:val="auto"/>
        </w:rPr>
      </w:pPr>
      <w:r>
        <w:rPr>
          <w:rFonts w:ascii="Times New Roman" w:cs="Times New Roman" w:eastAsia="Times New Roman" w:hAnsi="Times New Roman"/>
          <w:sz w:val="14"/>
          <w:szCs w:val="14"/>
          <w:color w:val="auto"/>
        </w:rPr>
        <w:t>John Reed co-founded Arhaus in 1986 and has served on the Board of Directors of Arhaus, LLC since its formation in December 2013, and served as our Chief Executive Officer from January 1997 through December 2015 and since February 2017 through present, through the transition into Arhaus, Inc.</w:t>
      </w:r>
    </w:p>
    <w:p>
      <w:pPr>
        <w:spacing w:after="0" w:line="197" w:lineRule="exact"/>
        <w:rPr>
          <w:sz w:val="20"/>
          <w:szCs w:val="20"/>
          <w:color w:val="auto"/>
        </w:rPr>
      </w:pPr>
    </w:p>
    <w:p>
      <w:pPr>
        <w:ind w:left="20"/>
        <w:spacing w:after="0"/>
        <w:tabs>
          <w:tab w:leader="none" w:pos="2360" w:val="left"/>
          <w:tab w:leader="none" w:pos="3520" w:val="left"/>
        </w:tabs>
        <w:rPr>
          <w:sz w:val="20"/>
          <w:szCs w:val="20"/>
          <w:color w:val="auto"/>
        </w:rPr>
      </w:pPr>
      <w:r>
        <w:rPr>
          <w:rFonts w:ascii="Times New Roman" w:cs="Times New Roman" w:eastAsia="Times New Roman" w:hAnsi="Times New Roman"/>
          <w:sz w:val="14"/>
          <w:szCs w:val="14"/>
          <w:b w:val="1"/>
          <w:bCs w:val="1"/>
          <w:color w:val="auto"/>
        </w:rPr>
        <w:t>Michael Lee</w:t>
      </w:r>
      <w:r>
        <w:rPr>
          <w:sz w:val="20"/>
          <w:szCs w:val="20"/>
          <w:color w:val="auto"/>
        </w:rPr>
        <w:tab/>
      </w:r>
      <w:r>
        <w:rPr>
          <w:rFonts w:ascii="Times New Roman" w:cs="Times New Roman" w:eastAsia="Times New Roman" w:hAnsi="Times New Roman"/>
          <w:sz w:val="14"/>
          <w:szCs w:val="14"/>
          <w:b w:val="1"/>
          <w:bCs w:val="1"/>
          <w:color w:val="auto"/>
        </w:rPr>
        <w:t>Age: 52</w:t>
      </w:r>
      <w:r>
        <w:rPr>
          <w:sz w:val="20"/>
          <w:szCs w:val="20"/>
          <w:color w:val="auto"/>
        </w:rPr>
        <w:tab/>
      </w:r>
      <w:r>
        <w:rPr>
          <w:rFonts w:ascii="Times New Roman" w:cs="Times New Roman" w:eastAsia="Times New Roman" w:hAnsi="Times New Roman"/>
          <w:sz w:val="14"/>
          <w:szCs w:val="14"/>
          <w:b w:val="1"/>
          <w:bCs w:val="1"/>
          <w:color w:val="auto"/>
        </w:rPr>
        <w:t>Chief Financial Officer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088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11" w:lineRule="exact"/>
        <w:rPr>
          <w:sz w:val="20"/>
          <w:szCs w:val="20"/>
          <w:color w:val="auto"/>
        </w:rPr>
      </w:pPr>
    </w:p>
    <w:p>
      <w:pPr>
        <w:ind w:left="20" w:right="80"/>
        <w:spacing w:after="0" w:line="246" w:lineRule="auto"/>
        <w:rPr>
          <w:sz w:val="20"/>
          <w:szCs w:val="20"/>
          <w:color w:val="auto"/>
        </w:rPr>
      </w:pPr>
      <w:r>
        <w:rPr>
          <w:rFonts w:ascii="Times New Roman" w:cs="Times New Roman" w:eastAsia="Times New Roman" w:hAnsi="Times New Roman"/>
          <w:sz w:val="14"/>
          <w:szCs w:val="14"/>
          <w:color w:val="auto"/>
        </w:rPr>
        <w:t>Michael Lee has served as our Chief Financial Officer since 2025. Prior to joining the Company, Mr. Lee was Chief Financial Officer and President of Operations and Supply Chain of Ste. Michelle Wine Estates from 2022 to 2025. Prior to Ste. Michelle Estates, Mr. Lee was Executive Vice President and Chief Financial Officer at Canopy Growth Corporation from 2019 to 2021 and served in various leadership roles at Constellation Brands, Inc. from 2013 to 2019, most recently as Senior Vice President, Business Transformation. Mr. Lee has an MBA from the University of Michigan and is a CPA and CFA® charterholder.</w:t>
      </w:r>
    </w:p>
    <w:p>
      <w:pPr>
        <w:spacing w:after="0" w:line="213" w:lineRule="exact"/>
        <w:rPr>
          <w:sz w:val="20"/>
          <w:szCs w:val="20"/>
          <w:color w:val="auto"/>
        </w:rPr>
      </w:pPr>
    </w:p>
    <w:p>
      <w:pPr>
        <w:ind w:left="20"/>
        <w:spacing w:after="0"/>
        <w:tabs>
          <w:tab w:leader="none" w:pos="2360" w:val="left"/>
          <w:tab w:leader="none" w:pos="3520" w:val="left"/>
        </w:tabs>
        <w:rPr>
          <w:sz w:val="20"/>
          <w:szCs w:val="20"/>
          <w:color w:val="auto"/>
        </w:rPr>
      </w:pPr>
      <w:r>
        <w:rPr>
          <w:rFonts w:ascii="Times New Roman" w:cs="Times New Roman" w:eastAsia="Times New Roman" w:hAnsi="Times New Roman"/>
          <w:sz w:val="14"/>
          <w:szCs w:val="14"/>
          <w:b w:val="1"/>
          <w:bCs w:val="1"/>
          <w:color w:val="auto"/>
        </w:rPr>
        <w:t>Jennifer Porter</w:t>
      </w:r>
      <w:r>
        <w:rPr>
          <w:sz w:val="20"/>
          <w:szCs w:val="20"/>
          <w:color w:val="auto"/>
        </w:rPr>
        <w:tab/>
      </w:r>
      <w:r>
        <w:rPr>
          <w:rFonts w:ascii="Times New Roman" w:cs="Times New Roman" w:eastAsia="Times New Roman" w:hAnsi="Times New Roman"/>
          <w:sz w:val="14"/>
          <w:szCs w:val="14"/>
          <w:b w:val="1"/>
          <w:bCs w:val="1"/>
          <w:color w:val="auto"/>
        </w:rPr>
        <w:t>Age: 44</w:t>
      </w:r>
      <w:r>
        <w:rPr>
          <w:sz w:val="20"/>
          <w:szCs w:val="20"/>
          <w:color w:val="auto"/>
        </w:rPr>
        <w:tab/>
      </w:r>
      <w:r>
        <w:rPr>
          <w:rFonts w:ascii="Times New Roman" w:cs="Times New Roman" w:eastAsia="Times New Roman" w:hAnsi="Times New Roman"/>
          <w:sz w:val="14"/>
          <w:szCs w:val="14"/>
          <w:b w:val="1"/>
          <w:bCs w:val="1"/>
          <w:color w:val="auto"/>
        </w:rPr>
        <w:t>Chief Marketing and eCommerce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088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11" w:lineRule="exact"/>
        <w:rPr>
          <w:sz w:val="20"/>
          <w:szCs w:val="20"/>
          <w:color w:val="auto"/>
        </w:rPr>
      </w:pPr>
    </w:p>
    <w:p>
      <w:pPr>
        <w:ind w:left="20" w:right="160"/>
        <w:spacing w:after="0" w:line="252" w:lineRule="auto"/>
        <w:rPr>
          <w:sz w:val="20"/>
          <w:szCs w:val="20"/>
          <w:color w:val="auto"/>
        </w:rPr>
      </w:pPr>
      <w:r>
        <w:rPr>
          <w:rFonts w:ascii="Times New Roman" w:cs="Times New Roman" w:eastAsia="Times New Roman" w:hAnsi="Times New Roman"/>
          <w:sz w:val="14"/>
          <w:szCs w:val="14"/>
          <w:color w:val="auto"/>
        </w:rPr>
        <w:t>Jennifer Porter has served as our Chief Marketing and eCommerce Officer since 2021 and served in the same role with Arhaus, LLC since September 2019. Ms. Porter previously served as Head of Marketing at Anthropologie from 2018 to 2019. Prior to that, Ms. Porter served in various marketing roles such as Head of Marketing, Director of Global Marketing, and Director of International Marketing at Forever 21 from 2014 to 2018.</w:t>
      </w:r>
    </w:p>
    <w:p>
      <w:pPr>
        <w:spacing w:after="0" w:line="208" w:lineRule="exact"/>
        <w:rPr>
          <w:sz w:val="20"/>
          <w:szCs w:val="20"/>
          <w:color w:val="auto"/>
        </w:rPr>
      </w:pPr>
    </w:p>
    <w:p>
      <w:pPr>
        <w:ind w:left="20"/>
        <w:spacing w:after="0"/>
        <w:tabs>
          <w:tab w:leader="none" w:pos="2360" w:val="left"/>
          <w:tab w:leader="none" w:pos="3520" w:val="left"/>
        </w:tabs>
        <w:rPr>
          <w:sz w:val="20"/>
          <w:szCs w:val="20"/>
          <w:color w:val="auto"/>
        </w:rPr>
      </w:pPr>
      <w:r>
        <w:rPr>
          <w:rFonts w:ascii="Times New Roman" w:cs="Times New Roman" w:eastAsia="Times New Roman" w:hAnsi="Times New Roman"/>
          <w:sz w:val="14"/>
          <w:szCs w:val="14"/>
          <w:b w:val="1"/>
          <w:bCs w:val="1"/>
          <w:color w:val="auto"/>
        </w:rPr>
        <w:t>Kathy Veltri</w:t>
      </w:r>
      <w:r>
        <w:rPr>
          <w:sz w:val="20"/>
          <w:szCs w:val="20"/>
          <w:color w:val="auto"/>
        </w:rPr>
        <w:tab/>
      </w:r>
      <w:r>
        <w:rPr>
          <w:rFonts w:ascii="Times New Roman" w:cs="Times New Roman" w:eastAsia="Times New Roman" w:hAnsi="Times New Roman"/>
          <w:sz w:val="14"/>
          <w:szCs w:val="14"/>
          <w:b w:val="1"/>
          <w:bCs w:val="1"/>
          <w:color w:val="auto"/>
        </w:rPr>
        <w:t>Age: 64</w:t>
      </w:r>
      <w:r>
        <w:rPr>
          <w:sz w:val="20"/>
          <w:szCs w:val="20"/>
          <w:color w:val="auto"/>
        </w:rPr>
        <w:tab/>
      </w:r>
      <w:r>
        <w:rPr>
          <w:rFonts w:ascii="Times New Roman" w:cs="Times New Roman" w:eastAsia="Times New Roman" w:hAnsi="Times New Roman"/>
          <w:sz w:val="14"/>
          <w:szCs w:val="14"/>
          <w:b w:val="1"/>
          <w:bCs w:val="1"/>
          <w:color w:val="auto"/>
        </w:rPr>
        <w:t>Chief Retail Officer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088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11" w:lineRule="exact"/>
        <w:rPr>
          <w:sz w:val="20"/>
          <w:szCs w:val="20"/>
          <w:color w:val="auto"/>
        </w:rPr>
      </w:pPr>
    </w:p>
    <w:p>
      <w:pPr>
        <w:ind w:left="20" w:right="280"/>
        <w:spacing w:after="0" w:line="252" w:lineRule="auto"/>
        <w:rPr>
          <w:sz w:val="20"/>
          <w:szCs w:val="20"/>
          <w:color w:val="auto"/>
        </w:rPr>
      </w:pPr>
      <w:r>
        <w:rPr>
          <w:rFonts w:ascii="Times New Roman" w:cs="Times New Roman" w:eastAsia="Times New Roman" w:hAnsi="Times New Roman"/>
          <w:sz w:val="14"/>
          <w:szCs w:val="14"/>
          <w:color w:val="auto"/>
        </w:rPr>
        <w:t>Kathy Veltri has served as our Chief Retail Officer since 2021 and served in the same role with Arhaus, LLC since March 2019. Ms. Veltri previously served as Senior Vice President of Retail Operations since 2017. Prior to that, Ms. Veltri served as Executive Vice President of Sales at Gardner White from 2015 to 2016 and was President of Thomasville, a division of Furniture Brands, from 2013 to 2014. Previously, Ms. Veltri worked at Arhaus as SVP of Retail Operations and Marketing from 2006 to 2013.</w:t>
      </w:r>
    </w:p>
    <w:p>
      <w:pPr>
        <w:spacing w:after="0" w:line="208" w:lineRule="exact"/>
        <w:rPr>
          <w:sz w:val="20"/>
          <w:szCs w:val="20"/>
          <w:color w:val="auto"/>
        </w:rPr>
      </w:pPr>
    </w:p>
    <w:p>
      <w:pPr>
        <w:ind w:left="20"/>
        <w:spacing w:after="0"/>
        <w:tabs>
          <w:tab w:leader="none" w:pos="2360" w:val="left"/>
          <w:tab w:leader="none" w:pos="3520" w:val="left"/>
        </w:tabs>
        <w:rPr>
          <w:sz w:val="20"/>
          <w:szCs w:val="20"/>
          <w:color w:val="auto"/>
        </w:rPr>
      </w:pPr>
      <w:r>
        <w:rPr>
          <w:rFonts w:ascii="Times New Roman" w:cs="Times New Roman" w:eastAsia="Times New Roman" w:hAnsi="Times New Roman"/>
          <w:sz w:val="14"/>
          <w:szCs w:val="14"/>
          <w:b w:val="1"/>
          <w:bCs w:val="1"/>
          <w:color w:val="auto"/>
        </w:rPr>
        <w:t>Michael Rengel</w:t>
      </w:r>
      <w:r>
        <w:rPr>
          <w:sz w:val="20"/>
          <w:szCs w:val="20"/>
          <w:color w:val="auto"/>
        </w:rPr>
        <w:tab/>
      </w:r>
      <w:r>
        <w:rPr>
          <w:rFonts w:ascii="Times New Roman" w:cs="Times New Roman" w:eastAsia="Times New Roman" w:hAnsi="Times New Roman"/>
          <w:sz w:val="14"/>
          <w:szCs w:val="14"/>
          <w:b w:val="1"/>
          <w:bCs w:val="1"/>
          <w:color w:val="auto"/>
        </w:rPr>
        <w:t>Age: 43</w:t>
      </w:r>
      <w:r>
        <w:rPr>
          <w:sz w:val="20"/>
          <w:szCs w:val="20"/>
          <w:color w:val="auto"/>
        </w:rPr>
        <w:tab/>
      </w:r>
      <w:r>
        <w:rPr>
          <w:rFonts w:ascii="Times New Roman" w:cs="Times New Roman" w:eastAsia="Times New Roman" w:hAnsi="Times New Roman"/>
          <w:sz w:val="14"/>
          <w:szCs w:val="14"/>
          <w:b w:val="1"/>
          <w:bCs w:val="1"/>
          <w:color w:val="auto"/>
        </w:rPr>
        <w:t>Chief Merchandising Officer Since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088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11" w:lineRule="exact"/>
        <w:rPr>
          <w:sz w:val="20"/>
          <w:szCs w:val="20"/>
          <w:color w:val="auto"/>
        </w:rPr>
      </w:pPr>
    </w:p>
    <w:p>
      <w:pPr>
        <w:ind w:left="20" w:right="180"/>
        <w:spacing w:after="0" w:line="224" w:lineRule="auto"/>
        <w:rPr>
          <w:sz w:val="20"/>
          <w:szCs w:val="20"/>
          <w:color w:val="auto"/>
        </w:rPr>
      </w:pPr>
      <w:r>
        <w:rPr>
          <w:rFonts w:ascii="Times New Roman" w:cs="Times New Roman" w:eastAsia="Times New Roman" w:hAnsi="Times New Roman"/>
          <w:sz w:val="14"/>
          <w:szCs w:val="14"/>
          <w:color w:val="auto"/>
        </w:rPr>
        <w:t>Michael Rengel has served as our Chief Merchandising Officer since February 2026. Mr. Rengel previously served as a Chief Merchandising Officer at Phoenix Retail LLC from January 2025 to February 2026. From 2020 to 2024, he held various leadership positions at Express, Inc., including Senior Vice President and General Merchandise Manager (Mens and Outlet Division) from 2020</w:t>
      </w:r>
    </w:p>
    <w:p>
      <w:pPr>
        <w:ind w:left="20"/>
        <w:spacing w:after="0"/>
        <w:rPr>
          <w:sz w:val="20"/>
          <w:szCs w:val="20"/>
          <w:color w:val="auto"/>
        </w:rPr>
      </w:pPr>
      <w:r>
        <w:rPr>
          <w:rFonts w:ascii="Times New Roman" w:cs="Times New Roman" w:eastAsia="Times New Roman" w:hAnsi="Times New Roman"/>
          <w:sz w:val="14"/>
          <w:szCs w:val="14"/>
          <w:color w:val="auto"/>
        </w:rPr>
        <w:t>to 2022 and Chief Merchandising Officer from 2022 to 2024.</w:t>
      </w:r>
    </w:p>
    <w:p>
      <w:pPr>
        <w:spacing w:after="0" w:line="201" w:lineRule="exact"/>
        <w:rPr>
          <w:sz w:val="20"/>
          <w:szCs w:val="20"/>
          <w:color w:val="auto"/>
        </w:rPr>
      </w:pPr>
    </w:p>
    <w:p>
      <w:pPr>
        <w:ind w:left="20"/>
        <w:spacing w:after="0"/>
        <w:tabs>
          <w:tab w:leader="none" w:pos="2360" w:val="left"/>
          <w:tab w:leader="none" w:pos="3520" w:val="left"/>
        </w:tabs>
        <w:rPr>
          <w:sz w:val="20"/>
          <w:szCs w:val="20"/>
          <w:color w:val="auto"/>
        </w:rPr>
      </w:pPr>
      <w:r>
        <w:rPr>
          <w:rFonts w:ascii="Times New Roman" w:cs="Times New Roman" w:eastAsia="Times New Roman" w:hAnsi="Times New Roman"/>
          <w:sz w:val="14"/>
          <w:szCs w:val="14"/>
          <w:b w:val="1"/>
          <w:bCs w:val="1"/>
          <w:color w:val="auto"/>
        </w:rPr>
        <w:t>Allison Sutley</w:t>
      </w:r>
      <w:r>
        <w:rPr>
          <w:sz w:val="20"/>
          <w:szCs w:val="20"/>
          <w:color w:val="auto"/>
        </w:rPr>
        <w:tab/>
      </w:r>
      <w:r>
        <w:rPr>
          <w:rFonts w:ascii="Times New Roman" w:cs="Times New Roman" w:eastAsia="Times New Roman" w:hAnsi="Times New Roman"/>
          <w:sz w:val="14"/>
          <w:szCs w:val="14"/>
          <w:b w:val="1"/>
          <w:bCs w:val="1"/>
          <w:color w:val="auto"/>
        </w:rPr>
        <w:t>Age: 50</w:t>
      </w:r>
      <w:r>
        <w:rPr>
          <w:sz w:val="20"/>
          <w:szCs w:val="20"/>
          <w:color w:val="auto"/>
        </w:rPr>
        <w:tab/>
      </w:r>
      <w:r>
        <w:rPr>
          <w:rFonts w:ascii="Times New Roman" w:cs="Times New Roman" w:eastAsia="Times New Roman" w:hAnsi="Times New Roman"/>
          <w:sz w:val="14"/>
          <w:szCs w:val="14"/>
          <w:b w:val="1"/>
          <w:bCs w:val="1"/>
          <w:color w:val="auto"/>
        </w:rPr>
        <w:t>Chief Information Officer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088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8825" cy="6985"/>
                    </a:xfrm>
                    <a:prstGeom prst="rect">
                      <a:avLst/>
                    </a:prstGeom>
                    <a:noFill/>
                  </pic:spPr>
                </pic:pic>
              </a:graphicData>
            </a:graphic>
          </wp:anchor>
        </w:drawing>
      </w:r>
    </w:p>
    <w:p>
      <w:pPr>
        <w:spacing w:after="0" w:line="11" w:lineRule="exact"/>
        <w:rPr>
          <w:sz w:val="20"/>
          <w:szCs w:val="20"/>
          <w:color w:val="auto"/>
        </w:rPr>
      </w:pPr>
    </w:p>
    <w:p>
      <w:pPr>
        <w:ind w:left="20" w:right="260"/>
        <w:spacing w:after="0" w:line="246" w:lineRule="auto"/>
        <w:rPr>
          <w:sz w:val="20"/>
          <w:szCs w:val="20"/>
          <w:color w:val="auto"/>
        </w:rPr>
      </w:pPr>
      <w:r>
        <w:rPr>
          <w:rFonts w:ascii="Times New Roman" w:cs="Times New Roman" w:eastAsia="Times New Roman" w:hAnsi="Times New Roman"/>
          <w:sz w:val="14"/>
          <w:szCs w:val="14"/>
          <w:color w:val="auto"/>
        </w:rPr>
        <w:t>Allison Sutley has served as our Chief Information Officer since 2025. Prior to joining the Company, she was Chief Technology Officer of Express, Inc. from 2022 to 2025 and Vice President eCommerce Technology from 2021 to 2022. Prior to her employment with Express, Inc., Ms. Sutley was Enterprise Logistics and Transportation Engineering Leader at Cardinal Health, Inc. from 2020 to 2021 and served in various leadership roles at Designer Brands Inc. from 2007 to 2020, most recently as Vice President Application Development. Ms. Sutley has an MBA from Franklin University.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11. Executive Compensation</w:t>
      </w:r>
    </w:p>
    <w:p>
      <w:pPr>
        <w:spacing w:after="0" w:line="15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 xml:space="preserve">All information required to be reported under this item will be included in our proxy statement for our </w:t>
      </w:r>
      <w:r>
        <w:rPr>
          <w:rFonts w:ascii="Times New Roman" w:cs="Times New Roman" w:eastAsia="Times New Roman" w:hAnsi="Times New Roman"/>
          <w:sz w:val="14"/>
          <w:szCs w:val="14"/>
          <w:color w:val="000000"/>
        </w:rPr>
        <w:t>2026</w:t>
      </w:r>
      <w:r>
        <w:rPr>
          <w:rFonts w:ascii="Times New Roman" w:cs="Times New Roman" w:eastAsia="Times New Roman" w:hAnsi="Times New Roman"/>
          <w:sz w:val="14"/>
          <w:szCs w:val="14"/>
          <w:color w:val="231F20"/>
        </w:rPr>
        <w:t xml:space="preserve"> Annual Meeting of Stockholders, and all of that information is incorporated in this item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12. Security Ownership of Certain Beneficial Owners and Management and Related Stockholder Matters</w:t>
      </w:r>
    </w:p>
    <w:p>
      <w:pPr>
        <w:spacing w:after="0" w:line="1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 xml:space="preserve">All information required to be reported under this item will be included in our proxy statement for our </w:t>
      </w:r>
      <w:r>
        <w:rPr>
          <w:rFonts w:ascii="Times New Roman" w:cs="Times New Roman" w:eastAsia="Times New Roman" w:hAnsi="Times New Roman"/>
          <w:sz w:val="14"/>
          <w:szCs w:val="14"/>
          <w:color w:val="000000"/>
        </w:rPr>
        <w:t>2026</w:t>
      </w:r>
      <w:r>
        <w:rPr>
          <w:rFonts w:ascii="Times New Roman" w:cs="Times New Roman" w:eastAsia="Times New Roman" w:hAnsi="Times New Roman"/>
          <w:sz w:val="14"/>
          <w:szCs w:val="14"/>
          <w:color w:val="231F20"/>
        </w:rPr>
        <w:t xml:space="preserve"> Annual Meeting of Stockholders, and all of that information is incorporated in this item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13. Certain Relationships and Related Transactions, and Director Independence</w:t>
      </w:r>
    </w:p>
    <w:p>
      <w:pPr>
        <w:spacing w:after="0" w:line="14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 xml:space="preserve">All information required to be reported under this item will be included in our proxy statement for our </w:t>
      </w:r>
      <w:r>
        <w:rPr>
          <w:rFonts w:ascii="Times New Roman" w:cs="Times New Roman" w:eastAsia="Times New Roman" w:hAnsi="Times New Roman"/>
          <w:sz w:val="14"/>
          <w:szCs w:val="14"/>
          <w:color w:val="000000"/>
        </w:rPr>
        <w:t>2026</w:t>
      </w:r>
      <w:r>
        <w:rPr>
          <w:rFonts w:ascii="Times New Roman" w:cs="Times New Roman" w:eastAsia="Times New Roman" w:hAnsi="Times New Roman"/>
          <w:sz w:val="14"/>
          <w:szCs w:val="14"/>
          <w:color w:val="231F20"/>
        </w:rPr>
        <w:t xml:space="preserve"> Annual Meeting of Stockholders, and all of that information is incorporated in this item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14. Principal Accountant Fees and Services</w:t>
      </w:r>
    </w:p>
    <w:p>
      <w:pPr>
        <w:spacing w:after="0" w:line="15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 xml:space="preserve">All information required to be reported under this item will be included in our proxy statement for our </w:t>
      </w:r>
      <w:r>
        <w:rPr>
          <w:rFonts w:ascii="Times New Roman" w:cs="Times New Roman" w:eastAsia="Times New Roman" w:hAnsi="Times New Roman"/>
          <w:sz w:val="14"/>
          <w:szCs w:val="14"/>
          <w:color w:val="000000"/>
        </w:rPr>
        <w:t>2026</w:t>
      </w:r>
      <w:r>
        <w:rPr>
          <w:rFonts w:ascii="Times New Roman" w:cs="Times New Roman" w:eastAsia="Times New Roman" w:hAnsi="Times New Roman"/>
          <w:sz w:val="14"/>
          <w:szCs w:val="14"/>
          <w:color w:val="231F20"/>
        </w:rPr>
        <w:t xml:space="preserve"> Annual Meeting of Stockholders, and all of that information is incorporated in this item by reference.</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  The following documents are filed as part of this Annual Report on Form 10-K: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Consolidated Financial Statements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financial statements are included in Part II, Item 8 of this Annual Report on Form 10-K:</w:t>
      </w:r>
    </w:p>
    <w:p>
      <w:pPr>
        <w:spacing w:after="0" w:line="162" w:lineRule="exact"/>
        <w:rPr>
          <w:sz w:val="20"/>
          <w:szCs w:val="20"/>
          <w:color w:val="auto"/>
        </w:rPr>
      </w:pPr>
    </w:p>
    <w:p>
      <w:pPr>
        <w:ind w:right="2980"/>
        <w:spacing w:after="0" w:line="502" w:lineRule="auto"/>
        <w:rPr>
          <w:sz w:val="20"/>
          <w:szCs w:val="20"/>
          <w:color w:val="auto"/>
        </w:rPr>
      </w:pPr>
      <w:r>
        <w:rPr>
          <w:rFonts w:ascii="Times New Roman" w:cs="Times New Roman" w:eastAsia="Times New Roman" w:hAnsi="Times New Roman"/>
          <w:sz w:val="14"/>
          <w:szCs w:val="14"/>
          <w:color w:val="auto"/>
        </w:rPr>
        <w:t>Report of PricewaterhouseCoopers LLP Independent Registered Public Accounting Firm (PCAOB ID: 238) on Consolidated Financial Statements Consolidated Balance Sheets as of December 31, 2025 and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Comprehensive Income for the years ended December 31, 2025, December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Consolidated Statements of Changes in Stockholders’ Equity </w:t>
      </w:r>
      <w:r>
        <w:rPr>
          <w:rFonts w:ascii="Times New Roman" w:cs="Times New Roman" w:eastAsia="Times New Roman" w:hAnsi="Times New Roman"/>
          <w:sz w:val="14"/>
          <w:szCs w:val="14"/>
          <w:color w:val="000000"/>
        </w:rPr>
        <w:t>for the years ended December 31, 2025, December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for the years December 31, 2025, December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Financial Statement Schedules</w:t>
      </w:r>
    </w:p>
    <w:p>
      <w:pPr>
        <w:spacing w:after="0" w:line="24"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4"/>
          <w:szCs w:val="14"/>
          <w:color w:val="auto"/>
        </w:rPr>
        <w:t>Separate financial statement schedules have been omitted either because they are not applicable or because the required information is included in the consolidated financial statements or notes described in Item 15(a) (1)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Exhibits listed in the accompanying index to exhibits, are filed or incorporated by reference as part of this Annual Report on Form 10-K.</w:t>
      </w:r>
    </w:p>
    <w:p>
      <w:pPr>
        <w:sectPr>
          <w:pgSz w:w="11900" w:h="16838" w:orient="portrait"/>
          <w:cols w:equalWidth="0" w:num="1">
            <w:col w:w="11220"/>
          </w:cols>
          <w:pgMar w:left="300" w:top="125" w:right="379" w:bottom="1440" w:gutter="0" w:footer="0" w:header="0"/>
        </w:sectPr>
      </w:pP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6560" w:type="dxa"/>
            <w:vAlign w:val="bottom"/>
            <w:vMerge w:val="restart"/>
          </w:tcPr>
          <w:p>
            <w:pPr>
              <w:ind w:left="2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6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0" w:type="dxa"/>
            <w:vAlign w:val="bottom"/>
            <w:tcBorders>
              <w:top w:val="single" w:sz="8" w:color="auto"/>
            </w:tcBorders>
            <w:gridSpan w:val="2"/>
          </w:tcPr>
          <w:p>
            <w:pPr>
              <w:jc w:val="right"/>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Amended and Restated Certificate of Incorporation of Arhaus, Inc.</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40" w:type="dxa"/>
            <w:vAlign w:val="bottom"/>
            <w:gridSpan w:val="2"/>
          </w:tcPr>
          <w:p>
            <w:pPr>
              <w:jc w:val="right"/>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Amended and Restated Bylaws of Arhaus, Inc.</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40" w:type="dxa"/>
            <w:vAlign w:val="bottom"/>
            <w:gridSpan w:val="2"/>
          </w:tcPr>
          <w:p>
            <w:pPr>
              <w:jc w:val="right"/>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Specimen Stock Certificate evidencing the shares of Class A common stock.</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40" w:type="dxa"/>
            <w:vAlign w:val="bottom"/>
            <w:gridSpan w:val="2"/>
          </w:tcPr>
          <w:p>
            <w:pPr>
              <w:jc w:val="right"/>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Description of Capital Stock.</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208153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11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Exhibit 3.1 to the Company’s Current Report on Form 8-K filed on November 10, 2021.</w:t>
      </w:r>
    </w:p>
    <w:p>
      <w:pPr>
        <w:spacing w:after="0" w:line="11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4"/>
          <w:szCs w:val="14"/>
          <w:color w:val="auto"/>
        </w:rPr>
        <w:t>Exhibit 3.2 to the Company’s Current Report on Form 8-K filed on November 10, 2021.</w:t>
      </w:r>
    </w:p>
    <w:p>
      <w:pPr>
        <w:spacing w:after="0" w:line="11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4"/>
          <w:szCs w:val="14"/>
          <w:color w:val="auto"/>
        </w:rPr>
        <w:t>Exhibit 4.1 to the Company’s Registration Statement on Form S-1/A (File No. 333-260015), filed on November 3,</w:t>
      </w:r>
    </w:p>
    <w:p>
      <w:pPr>
        <w:spacing w:after="0"/>
        <w:rPr>
          <w:sz w:val="20"/>
          <w:szCs w:val="20"/>
          <w:color w:val="auto"/>
        </w:rPr>
      </w:pPr>
      <w:r>
        <w:rPr>
          <w:rFonts w:ascii="Times New Roman" w:cs="Times New Roman" w:eastAsia="Times New Roman" w:hAnsi="Times New Roman"/>
          <w:sz w:val="14"/>
          <w:szCs w:val="14"/>
          <w:color w:val="auto"/>
        </w:rPr>
        <w:t>2021.</w:t>
      </w:r>
    </w:p>
    <w:p>
      <w:pPr>
        <w:spacing w:after="0" w:line="11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3"/>
          <w:szCs w:val="13"/>
          <w:color w:val="auto"/>
        </w:rPr>
        <w:t>Exhibit 4.2 to the Company’s Annual Report on Form 10-K for the fiscal year ended December 31, 2021.</w:t>
      </w:r>
    </w:p>
    <w:p>
      <w:pPr>
        <w:spacing w:after="0" w:line="200" w:lineRule="exact"/>
        <w:rPr>
          <w:sz w:val="20"/>
          <w:szCs w:val="20"/>
          <w:color w:val="auto"/>
        </w:rPr>
      </w:pPr>
    </w:p>
    <w:p>
      <w:pPr>
        <w:sectPr>
          <w:pgSz w:w="11900" w:h="16838" w:orient="portrait"/>
          <w:cols w:equalWidth="0" w:num="2">
            <w:col w:w="7880" w:space="100"/>
            <w:col w:w="3240"/>
          </w:cols>
          <w:pgMar w:left="300" w:top="125" w:right="37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4"/>
                <w:szCs w:val="14"/>
                <w:color w:val="0000FF"/>
                <w:w w:val="98"/>
              </w:rPr>
              <w:t>Tables of Contents</w:t>
            </w:r>
          </w:p>
        </w:tc>
        <w:tc>
          <w:tcPr>
            <w:tcW w:w="6780" w:type="dxa"/>
            <w:vAlign w:val="bottom"/>
          </w:tcPr>
          <w:p>
            <w:pPr>
              <w:spacing w:after="0"/>
              <w:rPr>
                <w:sz w:val="13"/>
                <w:szCs w:val="13"/>
                <w:color w:val="auto"/>
              </w:rPr>
            </w:pPr>
          </w:p>
        </w:tc>
      </w:tr>
      <w:tr>
        <w:trPr>
          <w:trHeight w:val="813"/>
        </w:trPr>
        <w:tc>
          <w:tcPr>
            <w:tcW w:w="1060" w:type="dxa"/>
            <w:vAlign w:val="bottom"/>
            <w:gridSpan w:val="4"/>
          </w:tcPr>
          <w:p>
            <w:pPr>
              <w:jc w:val="right"/>
              <w:ind w:right="620"/>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w:t>
              </w:r>
            </w:hyperlink>
          </w:p>
        </w:tc>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w w:val="99"/>
              </w:rPr>
              <w:t>Registration Rights Agreement, dated as of November 8, 2021, among Arhaus, Inc., FS Equity Partners VI, L.P., FS</w:t>
            </w:r>
          </w:p>
        </w:tc>
      </w:tr>
      <w:tr>
        <w:trPr>
          <w:trHeight w:val="113"/>
        </w:trPr>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20" w:type="dxa"/>
            <w:vAlign w:val="bottom"/>
          </w:tcPr>
          <w:p>
            <w:pPr>
              <w:spacing w:after="0"/>
              <w:rPr>
                <w:sz w:val="9"/>
                <w:szCs w:val="9"/>
                <w:color w:val="auto"/>
              </w:rPr>
            </w:pPr>
          </w:p>
        </w:tc>
        <w:tc>
          <w:tcPr>
            <w:tcW w:w="6780" w:type="dxa"/>
            <w:vAlign w:val="bottom"/>
          </w:tcPr>
          <w:p>
            <w:pPr>
              <w:ind w:left="260"/>
              <w:spacing w:after="0" w:line="113" w:lineRule="exact"/>
              <w:rPr>
                <w:sz w:val="20"/>
                <w:szCs w:val="20"/>
                <w:color w:val="auto"/>
              </w:rPr>
            </w:pPr>
            <w:r>
              <w:rPr>
                <w:rFonts w:ascii="Times New Roman" w:cs="Times New Roman" w:eastAsia="Times New Roman" w:hAnsi="Times New Roman"/>
                <w:sz w:val="13"/>
                <w:szCs w:val="13"/>
                <w:color w:val="auto"/>
              </w:rPr>
              <w:t>Affiliates VI, L.P., Starrett Family Trust, Dated 4-11-99, Norman S. Matthews, Gregory M. Bettinelli, John P. Reed,</w:t>
            </w:r>
          </w:p>
        </w:tc>
      </w:tr>
      <w:tr>
        <w:trPr>
          <w:trHeight w:val="141"/>
        </w:trPr>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780" w:type="dxa"/>
            <w:vAlign w:val="bottom"/>
          </w:tcPr>
          <w:p>
            <w:pPr>
              <w:ind w:left="260"/>
              <w:spacing w:after="0" w:line="141" w:lineRule="exact"/>
              <w:rPr>
                <w:sz w:val="20"/>
                <w:szCs w:val="20"/>
                <w:color w:val="auto"/>
              </w:rPr>
            </w:pPr>
            <w:r>
              <w:rPr>
                <w:rFonts w:ascii="Times New Roman" w:cs="Times New Roman" w:eastAsia="Times New Roman" w:hAnsi="Times New Roman"/>
                <w:sz w:val="14"/>
                <w:szCs w:val="14"/>
                <w:color w:val="auto"/>
              </w:rPr>
              <w:t>2018 Reed Dynasty Trust u/a/d December 24, 2018, John P. Reed Trust u/a/d April 29, 1985, Reed 2013</w:t>
            </w:r>
          </w:p>
        </w:tc>
      </w:tr>
      <w:tr>
        <w:trPr>
          <w:trHeight w:val="183"/>
        </w:trPr>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Generation-Skipping Trust u/a/d October 22, 2013, and The John P. Reed 2019 GRAT u/a/d December 31, 2019.</w:t>
            </w:r>
          </w:p>
        </w:tc>
      </w:tr>
      <w:tr>
        <w:trPr>
          <w:trHeight w:val="260"/>
        </w:trPr>
        <w:tc>
          <w:tcPr>
            <w:tcW w:w="180" w:type="dxa"/>
            <w:vAlign w:val="bottom"/>
          </w:tcPr>
          <w:p>
            <w:pPr>
              <w:spacing w:after="0"/>
              <w:rPr>
                <w:sz w:val="22"/>
                <w:szCs w:val="22"/>
                <w:color w:val="auto"/>
              </w:rPr>
            </w:pPr>
          </w:p>
        </w:tc>
        <w:tc>
          <w:tcPr>
            <w:tcW w:w="260" w:type="dxa"/>
            <w:vAlign w:val="bottom"/>
            <w:tcBorders>
              <w:bottom w:val="single" w:sz="8" w:color="0000FF"/>
            </w:tcBorders>
            <w:gridSpan w:val="2"/>
          </w:tcPr>
          <w:p>
            <w:pPr>
              <w:jc w:val="right"/>
              <w:spacing w:after="0"/>
              <w:rPr>
                <w:rFonts w:ascii="Times New Roman" w:cs="Times New Roman" w:eastAsia="Times New Roman" w:hAnsi="Times New Roman"/>
                <w:sz w:val="14"/>
                <w:szCs w:val="14"/>
                <w:color w:val="0000FF"/>
                <w:w w:val="97"/>
              </w:rPr>
            </w:pPr>
            <w:hyperlink r:id="rId191">
              <w:r>
                <w:rPr>
                  <w:rFonts w:ascii="Times New Roman" w:cs="Times New Roman" w:eastAsia="Times New Roman" w:hAnsi="Times New Roman"/>
                  <w:sz w:val="14"/>
                  <w:szCs w:val="14"/>
                  <w:color w:val="0000FF"/>
                  <w:w w:val="97"/>
                </w:rPr>
                <w:t>10.</w:t>
              </w:r>
              <w:r>
                <w:rPr>
                  <w:rFonts w:ascii="Times New Roman" w:cs="Times New Roman" w:eastAsia="Times New Roman" w:hAnsi="Times New Roman"/>
                  <w:sz w:val="14"/>
                  <w:szCs w:val="14"/>
                  <w:u w:val="single" w:color="auto"/>
                  <w:color w:val="0000FF"/>
                  <w:w w:val="97"/>
                </w:rPr>
                <w:t>1</w:t>
              </w:r>
            </w:hyperlink>
          </w:p>
        </w:tc>
        <w:tc>
          <w:tcPr>
            <w:tcW w:w="620" w:type="dxa"/>
            <w:vAlign w:val="bottom"/>
          </w:tcPr>
          <w:p>
            <w:pPr>
              <w:spacing w:after="0"/>
              <w:rPr>
                <w:sz w:val="22"/>
                <w:szCs w:val="22"/>
                <w:color w:val="auto"/>
              </w:rPr>
            </w:pPr>
          </w:p>
        </w:tc>
        <w:tc>
          <w:tcPr>
            <w:tcW w:w="6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Form of Indemnification Agreement.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40"/>
        <w:spacing w:after="0" w:line="224" w:lineRule="auto"/>
        <w:rPr>
          <w:sz w:val="20"/>
          <w:szCs w:val="20"/>
          <w:color w:val="auto"/>
        </w:rPr>
      </w:pPr>
      <w:r>
        <w:rPr>
          <w:rFonts w:ascii="Times New Roman" w:cs="Times New Roman" w:eastAsia="Times New Roman" w:hAnsi="Times New Roman"/>
          <w:sz w:val="14"/>
          <w:szCs w:val="14"/>
          <w:color w:val="auto"/>
        </w:rPr>
        <w:t>Exhibit 4.1 to the Company’s Registration Statement on Form S-3 (File No. 333-268959), filed on December 22,</w:t>
      </w:r>
    </w:p>
    <w:p>
      <w:pPr>
        <w:spacing w:after="0"/>
        <w:rPr>
          <w:sz w:val="20"/>
          <w:szCs w:val="20"/>
          <w:color w:val="auto"/>
        </w:rPr>
      </w:pPr>
      <w:r>
        <w:rPr>
          <w:rFonts w:ascii="Times New Roman" w:cs="Times New Roman" w:eastAsia="Times New Roman" w:hAnsi="Times New Roman"/>
          <w:sz w:val="14"/>
          <w:szCs w:val="14"/>
          <w:color w:val="auto"/>
        </w:rPr>
        <w:t>2022.</w:t>
      </w:r>
    </w:p>
    <w:p>
      <w:pPr>
        <w:spacing w:after="0" w:line="255" w:lineRule="exact"/>
        <w:rPr>
          <w:sz w:val="20"/>
          <w:szCs w:val="20"/>
          <w:color w:val="auto"/>
        </w:rPr>
      </w:pPr>
    </w:p>
    <w:p>
      <w:pPr>
        <w:jc w:val="both"/>
        <w:ind w:right="80"/>
        <w:spacing w:after="0" w:line="224" w:lineRule="auto"/>
        <w:rPr>
          <w:sz w:val="20"/>
          <w:szCs w:val="20"/>
          <w:color w:val="auto"/>
        </w:rPr>
      </w:pPr>
      <w:r>
        <w:rPr>
          <w:rFonts w:ascii="Times New Roman" w:cs="Times New Roman" w:eastAsia="Times New Roman" w:hAnsi="Times New Roman"/>
          <w:sz w:val="14"/>
          <w:szCs w:val="14"/>
          <w:color w:val="auto"/>
        </w:rPr>
        <w:t>Exhibit 10.1 to the Company’s Registration Statement on Form S-1/A (File No. 333-260015), filed on October 27,</w:t>
      </w:r>
    </w:p>
    <w:p>
      <w:pPr>
        <w:spacing w:after="0"/>
        <w:rPr>
          <w:sz w:val="20"/>
          <w:szCs w:val="20"/>
          <w:color w:val="auto"/>
        </w:rPr>
      </w:pPr>
      <w:r>
        <w:rPr>
          <w:rFonts w:ascii="Times New Roman" w:cs="Times New Roman" w:eastAsia="Times New Roman" w:hAnsi="Times New Roman"/>
          <w:sz w:val="14"/>
          <w:szCs w:val="14"/>
          <w:color w:val="auto"/>
        </w:rPr>
        <w:t>2021.</w:t>
      </w:r>
    </w:p>
    <w:p>
      <w:pPr>
        <w:spacing w:after="0" w:line="110" w:lineRule="exact"/>
        <w:rPr>
          <w:sz w:val="20"/>
          <w:szCs w:val="20"/>
          <w:color w:val="auto"/>
        </w:rPr>
      </w:pPr>
    </w:p>
    <w:p>
      <w:pPr>
        <w:sectPr>
          <w:pgSz w:w="11900" w:h="16838" w:orient="portrait"/>
          <w:cols w:equalWidth="0" w:num="2">
            <w:col w:w="7840" w:space="140"/>
            <w:col w:w="3300"/>
          </w:cols>
          <w:pgMar w:left="300" w:top="115" w:right="319" w:bottom="1440" w:gutter="0" w:footer="0" w:header="0"/>
        </w:sectPr>
      </w:pPr>
    </w:p>
    <w:p>
      <w:pPr>
        <w:spacing w:after="0" w:line="8" w:lineRule="exact"/>
        <w:rPr>
          <w:sz w:val="20"/>
          <w:szCs w:val="20"/>
          <w:color w:val="auto"/>
        </w:rPr>
      </w:pPr>
    </w:p>
    <w:p>
      <w:pPr>
        <w:ind w:left="180"/>
        <w:spacing w:after="0"/>
        <w:tabs>
          <w:tab w:leader="none" w:pos="1300" w:val="left"/>
        </w:tabs>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u w:val="single" w:color="auto"/>
            <w:color w:val="0000FF"/>
          </w:rPr>
          <w:t>10.2#</w:t>
        </w:r>
      </w:hyperlink>
      <w:r>
        <w:rPr>
          <w:rFonts w:ascii="Times New Roman" w:cs="Times New Roman" w:eastAsia="Times New Roman" w:hAnsi="Times New Roman"/>
          <w:sz w:val="14"/>
          <w:szCs w:val="14"/>
          <w:color w:val="0000FF"/>
        </w:rPr>
        <w:tab/>
        <w:t>2021 Equity Incentive Plan, effective November 8,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Exhibit 10.2 to the Company’s Registration Statement on</w:t>
      </w:r>
    </w:p>
    <w:p>
      <w:pPr>
        <w:spacing w:after="0" w:line="220" w:lineRule="auto"/>
        <w:rPr>
          <w:sz w:val="20"/>
          <w:szCs w:val="20"/>
          <w:color w:val="auto"/>
        </w:rPr>
      </w:pPr>
      <w:r>
        <w:rPr>
          <w:rFonts w:ascii="Times New Roman" w:cs="Times New Roman" w:eastAsia="Times New Roman" w:hAnsi="Times New Roman"/>
          <w:sz w:val="14"/>
          <w:szCs w:val="14"/>
          <w:color w:val="auto"/>
        </w:rPr>
        <w:t>Form S-1/A (File No. 333-260015), filed on November 3,</w:t>
      </w:r>
    </w:p>
    <w:p>
      <w:pPr>
        <w:spacing w:after="0"/>
        <w:rPr>
          <w:sz w:val="20"/>
          <w:szCs w:val="20"/>
          <w:color w:val="auto"/>
        </w:rPr>
      </w:pPr>
      <w:r>
        <w:rPr>
          <w:rFonts w:ascii="Times New Roman" w:cs="Times New Roman" w:eastAsia="Times New Roman" w:hAnsi="Times New Roman"/>
          <w:sz w:val="14"/>
          <w:szCs w:val="14"/>
          <w:color w:val="auto"/>
        </w:rPr>
        <w:t>2021.</w:t>
      </w:r>
    </w:p>
    <w:p>
      <w:pPr>
        <w:spacing w:after="0" w:line="109" w:lineRule="exact"/>
        <w:rPr>
          <w:sz w:val="20"/>
          <w:szCs w:val="20"/>
          <w:color w:val="auto"/>
        </w:rPr>
      </w:pPr>
    </w:p>
    <w:p>
      <w:pPr>
        <w:sectPr>
          <w:pgSz w:w="11900" w:h="16838" w:orient="portrait"/>
          <w:cols w:equalWidth="0" w:num="2">
            <w:col w:w="7260" w:space="720"/>
            <w:col w:w="3300"/>
          </w:cols>
          <w:pgMar w:left="300" w:top="11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3#</w:t>
              </w:r>
            </w:hyperlink>
          </w:p>
        </w:tc>
        <w:tc>
          <w:tcPr>
            <w:tcW w:w="360" w:type="dxa"/>
            <w:vAlign w:val="bottom"/>
          </w:tcPr>
          <w:p>
            <w:pPr>
              <w:spacing w:after="0"/>
              <w:rPr>
                <w:sz w:val="13"/>
                <w:szCs w:val="13"/>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Form of Notice of Award (Restricted Stock Unit and Performance Share Unit).</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10.1 to the Company’s Quarterly Report on Form</w:t>
            </w:r>
          </w:p>
        </w:tc>
      </w:tr>
      <w:tr>
        <w:trPr>
          <w:trHeight w:val="163"/>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10-Q for the period ended June 30, 2022.</w:t>
            </w:r>
          </w:p>
        </w:tc>
      </w:tr>
      <w:tr>
        <w:trPr>
          <w:trHeight w:val="260"/>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Form of Performance Share Unit Award Agreement.</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10.2 to the Company’s Quarterly Report on Form</w:t>
            </w:r>
          </w:p>
        </w:tc>
      </w:tr>
      <w:tr>
        <w:trPr>
          <w:trHeight w:val="163"/>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10-Q for the period ended September 30, 2022.</w:t>
            </w:r>
          </w:p>
        </w:tc>
      </w:tr>
      <w:tr>
        <w:trPr>
          <w:trHeight w:val="260"/>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Form of Restricted Stock Unit Award Agreement.</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10.3 to the Company’s Quarterly Report on Form</w:t>
            </w:r>
          </w:p>
        </w:tc>
      </w:tr>
      <w:tr>
        <w:trPr>
          <w:trHeight w:val="163"/>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10-Q for the period ended September 30, 2022.</w:t>
            </w:r>
          </w:p>
        </w:tc>
      </w:tr>
      <w:tr>
        <w:trPr>
          <w:trHeight w:val="260"/>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6#</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Form of Director Restricted Stock Unit Award Agreement.</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10.4 to the Company’s Quarterly Report on Form</w:t>
            </w:r>
          </w:p>
        </w:tc>
      </w:tr>
      <w:tr>
        <w:trPr>
          <w:trHeight w:val="163"/>
        </w:trPr>
        <w:tc>
          <w:tcPr>
            <w:tcW w:w="18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10-Q for the period ended September 30, 2022.</w:t>
            </w:r>
          </w:p>
        </w:tc>
      </w:tr>
      <w:tr>
        <w:trPr>
          <w:trHeight w:val="260"/>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Employment Letter (Dawn Phillipson).</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10.3 to the Company’s Registration Statement on</w:t>
            </w:r>
          </w:p>
        </w:tc>
      </w:tr>
      <w:tr>
        <w:trPr>
          <w:trHeight w:val="113"/>
        </w:trPr>
        <w:tc>
          <w:tcPr>
            <w:tcW w:w="18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420" w:type="dxa"/>
            <w:vAlign w:val="bottom"/>
          </w:tcPr>
          <w:p>
            <w:pPr>
              <w:ind w:left="1120"/>
              <w:spacing w:after="0" w:line="113" w:lineRule="exact"/>
              <w:rPr>
                <w:sz w:val="20"/>
                <w:szCs w:val="20"/>
                <w:color w:val="auto"/>
              </w:rPr>
            </w:pPr>
            <w:r>
              <w:rPr>
                <w:rFonts w:ascii="Times New Roman" w:cs="Times New Roman" w:eastAsia="Times New Roman" w:hAnsi="Times New Roman"/>
                <w:sz w:val="13"/>
                <w:szCs w:val="13"/>
                <w:color w:val="auto"/>
              </w:rPr>
              <w:t>Form S-1 (File No. 333-260015), filed on October 4,</w:t>
            </w:r>
          </w:p>
        </w:tc>
      </w:tr>
      <w:tr>
        <w:trPr>
          <w:trHeight w:val="183"/>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2021.</w:t>
            </w:r>
          </w:p>
        </w:tc>
      </w:tr>
      <w:tr>
        <w:trPr>
          <w:trHeight w:val="264"/>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8#</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Employment Letter (Kathy Veltri).</w:t>
            </w:r>
          </w:p>
        </w:tc>
        <w:tc>
          <w:tcPr>
            <w:tcW w:w="442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Exhibit 10.4 to the Company’s Registration Statement on</w:t>
            </w:r>
          </w:p>
        </w:tc>
      </w:tr>
      <w:tr>
        <w:trPr>
          <w:trHeight w:val="113"/>
        </w:trPr>
        <w:tc>
          <w:tcPr>
            <w:tcW w:w="18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420" w:type="dxa"/>
            <w:vAlign w:val="bottom"/>
          </w:tcPr>
          <w:p>
            <w:pPr>
              <w:ind w:left="1120"/>
              <w:spacing w:after="0" w:line="113" w:lineRule="exact"/>
              <w:rPr>
                <w:sz w:val="20"/>
                <w:szCs w:val="20"/>
                <w:color w:val="auto"/>
              </w:rPr>
            </w:pPr>
            <w:r>
              <w:rPr>
                <w:rFonts w:ascii="Times New Roman" w:cs="Times New Roman" w:eastAsia="Times New Roman" w:hAnsi="Times New Roman"/>
                <w:sz w:val="13"/>
                <w:szCs w:val="13"/>
                <w:color w:val="auto"/>
              </w:rPr>
              <w:t>Form S-1 (File No. 333-260015), filed on October 4,</w:t>
            </w:r>
          </w:p>
        </w:tc>
      </w:tr>
      <w:tr>
        <w:trPr>
          <w:trHeight w:val="183"/>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2021.</w:t>
            </w:r>
          </w:p>
        </w:tc>
      </w:tr>
      <w:tr>
        <w:trPr>
          <w:trHeight w:val="264"/>
        </w:trPr>
        <w:tc>
          <w:tcPr>
            <w:tcW w:w="580" w:type="dxa"/>
            <w:vAlign w:val="bottom"/>
            <w:gridSpan w:val="3"/>
          </w:tcPr>
          <w:p>
            <w:pPr>
              <w:ind w:left="180"/>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9#</w:t>
              </w:r>
            </w:hyperlink>
          </w:p>
        </w:tc>
        <w:tc>
          <w:tcPr>
            <w:tcW w:w="360" w:type="dxa"/>
            <w:vAlign w:val="bottom"/>
          </w:tcPr>
          <w:p>
            <w:pPr>
              <w:spacing w:after="0"/>
              <w:rPr>
                <w:sz w:val="22"/>
                <w:szCs w:val="22"/>
                <w:color w:val="auto"/>
              </w:rPr>
            </w:pPr>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Employment Letter (Jennifer Porter).</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10.6 to the Company’s Registration Statement on</w:t>
            </w:r>
          </w:p>
        </w:tc>
      </w:tr>
      <w:tr>
        <w:trPr>
          <w:trHeight w:val="113"/>
        </w:trPr>
        <w:tc>
          <w:tcPr>
            <w:tcW w:w="18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420" w:type="dxa"/>
            <w:vAlign w:val="bottom"/>
          </w:tcPr>
          <w:p>
            <w:pPr>
              <w:ind w:left="1120"/>
              <w:spacing w:after="0" w:line="113" w:lineRule="exact"/>
              <w:rPr>
                <w:sz w:val="20"/>
                <w:szCs w:val="20"/>
                <w:color w:val="auto"/>
              </w:rPr>
            </w:pPr>
            <w:r>
              <w:rPr>
                <w:rFonts w:ascii="Times New Roman" w:cs="Times New Roman" w:eastAsia="Times New Roman" w:hAnsi="Times New Roman"/>
                <w:sz w:val="13"/>
                <w:szCs w:val="13"/>
                <w:color w:val="auto"/>
              </w:rPr>
              <w:t>Form S-1 (File No. 333-260015), filed on October 4,</w:t>
            </w:r>
          </w:p>
        </w:tc>
      </w:tr>
      <w:tr>
        <w:trPr>
          <w:trHeight w:val="183"/>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2021.</w:t>
            </w:r>
          </w:p>
        </w:tc>
      </w:tr>
      <w:tr>
        <w:trPr>
          <w:trHeight w:val="264"/>
        </w:trPr>
        <w:tc>
          <w:tcPr>
            <w:tcW w:w="940" w:type="dxa"/>
            <w:vAlign w:val="bottom"/>
            <w:gridSpan w:val="4"/>
          </w:tcPr>
          <w:p>
            <w:pPr>
              <w:ind w:left="180"/>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10#</w:t>
              </w:r>
            </w:hyperlink>
          </w:p>
        </w:tc>
        <w:tc>
          <w:tcPr>
            <w:tcW w:w="59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Employment Letter (Lisa Chi).</w:t>
            </w: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Exhibit 10.7 to the Company’s Registration Statement on</w:t>
            </w:r>
          </w:p>
        </w:tc>
      </w:tr>
      <w:tr>
        <w:trPr>
          <w:trHeight w:val="113"/>
        </w:trPr>
        <w:tc>
          <w:tcPr>
            <w:tcW w:w="18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5920" w:type="dxa"/>
            <w:vAlign w:val="bottom"/>
          </w:tcPr>
          <w:p>
            <w:pPr>
              <w:spacing w:after="0"/>
              <w:rPr>
                <w:sz w:val="9"/>
                <w:szCs w:val="9"/>
                <w:color w:val="auto"/>
              </w:rPr>
            </w:pPr>
          </w:p>
        </w:tc>
        <w:tc>
          <w:tcPr>
            <w:tcW w:w="4420" w:type="dxa"/>
            <w:vAlign w:val="bottom"/>
          </w:tcPr>
          <w:p>
            <w:pPr>
              <w:ind w:left="1120"/>
              <w:spacing w:after="0" w:line="113" w:lineRule="exact"/>
              <w:rPr>
                <w:sz w:val="20"/>
                <w:szCs w:val="20"/>
                <w:color w:val="auto"/>
              </w:rPr>
            </w:pPr>
            <w:r>
              <w:rPr>
                <w:rFonts w:ascii="Times New Roman" w:cs="Times New Roman" w:eastAsia="Times New Roman" w:hAnsi="Times New Roman"/>
                <w:sz w:val="13"/>
                <w:szCs w:val="13"/>
                <w:color w:val="auto"/>
              </w:rPr>
              <w:t>Form S-1 (File No. 333-260015), filed on October 4,</w:t>
            </w:r>
          </w:p>
        </w:tc>
      </w:tr>
      <w:tr>
        <w:trPr>
          <w:trHeight w:val="183"/>
        </w:trPr>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44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2021.</w:t>
            </w:r>
          </w:p>
        </w:tc>
      </w:tr>
      <w:tr>
        <w:trPr>
          <w:trHeight w:val="717"/>
        </w:trPr>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20" w:type="dxa"/>
            <w:vAlign w:val="bottom"/>
          </w:tcPr>
          <w:p>
            <w:pPr>
              <w:ind w:left="4640"/>
              <w:spacing w:after="0"/>
              <w:rPr>
                <w:sz w:val="20"/>
                <w:szCs w:val="20"/>
                <w:color w:val="auto"/>
              </w:rPr>
            </w:pPr>
            <w:r>
              <w:rPr>
                <w:rFonts w:ascii="Times New Roman" w:cs="Times New Roman" w:eastAsia="Times New Roman" w:hAnsi="Times New Roman"/>
                <w:sz w:val="14"/>
                <w:szCs w:val="14"/>
                <w:color w:val="auto"/>
              </w:rPr>
              <w:t>90</w:t>
            </w:r>
          </w:p>
        </w:tc>
        <w:tc>
          <w:tcPr>
            <w:tcW w:w="4420" w:type="dxa"/>
            <w:vAlign w:val="bottom"/>
          </w:tcPr>
          <w:p>
            <w:pPr>
              <w:spacing w:after="0"/>
              <w:rPr>
                <w:sz w:val="24"/>
                <w:szCs w:val="24"/>
                <w:color w:val="auto"/>
              </w:rPr>
            </w:pPr>
          </w:p>
        </w:tc>
      </w:tr>
      <w:tr>
        <w:trPr>
          <w:trHeight w:val="75"/>
        </w:trPr>
        <w:tc>
          <w:tcPr>
            <w:tcW w:w="1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920" w:type="dxa"/>
            <w:vAlign w:val="bottom"/>
            <w:tcBorders>
              <w:bottom w:val="single" w:sz="8" w:color="9A9A9A"/>
            </w:tcBorders>
          </w:tcPr>
          <w:p>
            <w:pPr>
              <w:spacing w:after="0"/>
              <w:rPr>
                <w:sz w:val="6"/>
                <w:szCs w:val="6"/>
                <w:color w:val="auto"/>
              </w:rPr>
            </w:pPr>
          </w:p>
        </w:tc>
        <w:tc>
          <w:tcPr>
            <w:tcW w:w="44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-25400</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Tables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60" w:type="dxa"/>
            <w:vAlign w:val="bottom"/>
            <w:gridSpan w:val="2"/>
          </w:tcPr>
          <w:p>
            <w:pPr>
              <w:jc w:val="right"/>
              <w:ind w:right="380"/>
              <w:spacing w:after="0"/>
              <w:rPr>
                <w:rFonts w:ascii="Times New Roman" w:cs="Times New Roman" w:eastAsia="Times New Roman" w:hAnsi="Times New Roman"/>
                <w:sz w:val="14"/>
                <w:szCs w:val="14"/>
                <w:color w:val="0000FF"/>
                <w:w w:val="93"/>
              </w:rPr>
            </w:pPr>
            <w:hyperlink r:id="rId203">
              <w:r>
                <w:rPr>
                  <w:rFonts w:ascii="Times New Roman" w:cs="Times New Roman" w:eastAsia="Times New Roman" w:hAnsi="Times New Roman"/>
                  <w:sz w:val="14"/>
                  <w:szCs w:val="14"/>
                  <w:color w:val="0000FF"/>
                  <w:w w:val="93"/>
                </w:rPr>
                <w:t>10.</w:t>
              </w:r>
              <w:r>
                <w:rPr>
                  <w:rFonts w:ascii="Times New Roman" w:cs="Times New Roman" w:eastAsia="Times New Roman" w:hAnsi="Times New Roman"/>
                  <w:sz w:val="14"/>
                  <w:szCs w:val="14"/>
                  <w:u w:val="single" w:color="auto"/>
                  <w:color w:val="0000FF"/>
                  <w:w w:val="93"/>
                </w:rPr>
                <w:t>11#</w:t>
              </w:r>
            </w:hyperlink>
          </w:p>
        </w:tc>
        <w:tc>
          <w:tcPr>
            <w:tcW w:w="4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Employment Letter (Venkat Nachiappan).</w:t>
            </w:r>
          </w:p>
        </w:tc>
        <w:tc>
          <w:tcPr>
            <w:tcW w:w="5380" w:type="dxa"/>
            <w:vAlign w:val="bottom"/>
          </w:tcPr>
          <w:p>
            <w:pPr>
              <w:ind w:left="2160"/>
              <w:spacing w:after="0"/>
              <w:rPr>
                <w:sz w:val="20"/>
                <w:szCs w:val="20"/>
                <w:color w:val="auto"/>
              </w:rPr>
            </w:pPr>
            <w:r>
              <w:rPr>
                <w:rFonts w:ascii="Times New Roman" w:cs="Times New Roman" w:eastAsia="Times New Roman" w:hAnsi="Times New Roman"/>
                <w:sz w:val="14"/>
                <w:szCs w:val="14"/>
                <w:color w:val="auto"/>
                <w:w w:val="99"/>
              </w:rPr>
              <w:t>Exhibit 10.8 to the Company’s Registration Statement on</w:t>
            </w:r>
          </w:p>
        </w:tc>
      </w:tr>
      <w:tr>
        <w:trPr>
          <w:trHeight w:val="113"/>
        </w:trPr>
        <w:tc>
          <w:tcPr>
            <w:tcW w:w="380" w:type="dxa"/>
            <w:vAlign w:val="bottom"/>
            <w:tcBorders>
              <w:top w:val="single" w:sz="8" w:color="0000FF"/>
            </w:tcBorders>
          </w:tcPr>
          <w:p>
            <w:pPr>
              <w:spacing w:after="0"/>
              <w:rPr>
                <w:sz w:val="9"/>
                <w:szCs w:val="9"/>
                <w:color w:val="auto"/>
              </w:rPr>
            </w:pPr>
          </w:p>
        </w:tc>
        <w:tc>
          <w:tcPr>
            <w:tcW w:w="380" w:type="dxa"/>
            <w:vAlign w:val="bottom"/>
          </w:tcPr>
          <w:p>
            <w:pPr>
              <w:spacing w:after="0"/>
              <w:rPr>
                <w:sz w:val="9"/>
                <w:szCs w:val="9"/>
                <w:color w:val="auto"/>
              </w:rPr>
            </w:pPr>
          </w:p>
        </w:tc>
        <w:tc>
          <w:tcPr>
            <w:tcW w:w="4880" w:type="dxa"/>
            <w:vAlign w:val="bottom"/>
          </w:tcPr>
          <w:p>
            <w:pPr>
              <w:spacing w:after="0"/>
              <w:rPr>
                <w:sz w:val="9"/>
                <w:szCs w:val="9"/>
                <w:color w:val="auto"/>
              </w:rPr>
            </w:pPr>
          </w:p>
        </w:tc>
        <w:tc>
          <w:tcPr>
            <w:tcW w:w="5380" w:type="dxa"/>
            <w:vAlign w:val="bottom"/>
          </w:tcPr>
          <w:p>
            <w:pPr>
              <w:ind w:left="2160"/>
              <w:spacing w:after="0" w:line="113" w:lineRule="exact"/>
              <w:rPr>
                <w:sz w:val="20"/>
                <w:szCs w:val="20"/>
                <w:color w:val="auto"/>
              </w:rPr>
            </w:pPr>
            <w:r>
              <w:rPr>
                <w:rFonts w:ascii="Times New Roman" w:cs="Times New Roman" w:eastAsia="Times New Roman" w:hAnsi="Times New Roman"/>
                <w:sz w:val="13"/>
                <w:szCs w:val="13"/>
                <w:color w:val="auto"/>
              </w:rPr>
              <w:t>Form S-1 (File No. 333-260015), filed on October 4,</w:t>
            </w:r>
          </w:p>
        </w:tc>
      </w:tr>
      <w:tr>
        <w:trPr>
          <w:trHeight w:val="183"/>
        </w:trPr>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538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103" w:lineRule="exact"/>
        <w:rPr>
          <w:sz w:val="20"/>
          <w:szCs w:val="20"/>
          <w:color w:val="auto"/>
        </w:rPr>
      </w:pPr>
    </w:p>
    <w:p>
      <w:pPr>
        <w:sectPr>
          <w:pgSz w:w="11900" w:h="16838" w:orient="portrait"/>
          <w:cols w:equalWidth="0" w:num="1">
            <w:col w:w="11200"/>
          </w:cols>
          <w:pgMar w:left="300" w:top="125" w:right="399" w:bottom="1440" w:gutter="0" w:footer="0" w:header="0"/>
        </w:sectPr>
      </w:pPr>
    </w:p>
    <w:tbl>
      <w:tblPr>
        <w:tblLayout w:type="fixed"/>
        <w:tblInd w:w="180" w:type="dxa"/>
        <w:tblCellMar>
          <w:top w:w="0" w:type="dxa"/>
          <w:left w:w="0" w:type="dxa"/>
          <w:bottom w:w="0" w:type="dxa"/>
          <w:right w:w="0" w:type="dxa"/>
        </w:tblCellMar>
      </w:tblPr>
      <w:tr>
        <w:trPr>
          <w:trHeight w:val="161"/>
        </w:trPr>
        <w:tc>
          <w:tcPr>
            <w:tcW w:w="40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8"/>
              </w:rPr>
            </w:pPr>
            <w:hyperlink r:id="rId204">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12#</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Employment Letter (Michael Lee).</w:t>
            </w:r>
          </w:p>
        </w:tc>
      </w:tr>
      <w:tr>
        <w:trPr>
          <w:trHeight w:val="423"/>
        </w:trPr>
        <w:tc>
          <w:tcPr>
            <w:tcW w:w="40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8"/>
              </w:rPr>
            </w:pPr>
            <w:hyperlink r:id="rId205">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13#</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Employment Letter (Allison Sutley).</w:t>
            </w:r>
          </w:p>
        </w:tc>
      </w:tr>
      <w:tr>
        <w:trPr>
          <w:trHeight w:val="423"/>
        </w:trPr>
        <w:tc>
          <w:tcPr>
            <w:tcW w:w="4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10.</w:t>
            </w:r>
            <w:r>
              <w:rPr>
                <w:rFonts w:ascii="Times New Roman" w:cs="Times New Roman" w:eastAsia="Times New Roman" w:hAnsi="Times New Roman"/>
                <w:sz w:val="14"/>
                <w:szCs w:val="14"/>
                <w:u w:val="single" w:color="auto"/>
                <w:color w:val="0000FF"/>
                <w:w w:val="98"/>
              </w:rPr>
              <w:t>14#</w:t>
            </w: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Employment Letter (Michael Rengel).</w:t>
            </w:r>
          </w:p>
        </w:tc>
      </w:tr>
      <w:tr>
        <w:trPr>
          <w:trHeight w:val="275"/>
        </w:trPr>
        <w:tc>
          <w:tcPr>
            <w:tcW w:w="400" w:type="dxa"/>
            <w:vAlign w:val="bottom"/>
            <w:gridSpan w:val="3"/>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15</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Credit Agreement, dated November 8, 2021, among Arhaus, Inc., certain subsidiaries of Arhaus, Inc., as the</w:t>
            </w:r>
          </w:p>
        </w:tc>
      </w:tr>
      <w:tr>
        <w:trPr>
          <w:trHeight w:val="113"/>
        </w:trPr>
        <w:tc>
          <w:tcPr>
            <w:tcW w:w="2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7260" w:type="dxa"/>
            <w:vAlign w:val="bottom"/>
          </w:tcPr>
          <w:p>
            <w:pPr>
              <w:ind w:left="740"/>
              <w:spacing w:after="0" w:line="113" w:lineRule="exact"/>
              <w:rPr>
                <w:sz w:val="20"/>
                <w:szCs w:val="20"/>
                <w:color w:val="auto"/>
              </w:rPr>
            </w:pPr>
            <w:r>
              <w:rPr>
                <w:rFonts w:ascii="Times New Roman" w:cs="Times New Roman" w:eastAsia="Times New Roman" w:hAnsi="Times New Roman"/>
                <w:sz w:val="13"/>
                <w:szCs w:val="13"/>
                <w:color w:val="auto"/>
              </w:rPr>
              <w:t>Guarantors, Bank of America, N.A., as the Administrative Agent, the L/C Issuer, and the Swingline Lender, and the</w:t>
            </w:r>
          </w:p>
        </w:tc>
      </w:tr>
      <w:tr>
        <w:trPr>
          <w:trHeight w:val="183"/>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lenders party thereto.</w:t>
            </w:r>
          </w:p>
        </w:tc>
      </w:tr>
      <w:tr>
        <w:trPr>
          <w:trHeight w:val="264"/>
        </w:trPr>
        <w:tc>
          <w:tcPr>
            <w:tcW w:w="400" w:type="dxa"/>
            <w:vAlign w:val="bottom"/>
            <w:gridSpan w:val="3"/>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16</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First Amendment to Credit Agreement and Increase Agreement, dated December 9, 2022, among Arhaus, Inc., the</w:t>
            </w:r>
          </w:p>
        </w:tc>
      </w:tr>
      <w:tr>
        <w:trPr>
          <w:trHeight w:val="113"/>
        </w:trPr>
        <w:tc>
          <w:tcPr>
            <w:tcW w:w="2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7260" w:type="dxa"/>
            <w:vAlign w:val="bottom"/>
          </w:tcPr>
          <w:p>
            <w:pPr>
              <w:ind w:left="740"/>
              <w:spacing w:after="0" w:line="113" w:lineRule="exact"/>
              <w:rPr>
                <w:sz w:val="20"/>
                <w:szCs w:val="20"/>
                <w:color w:val="auto"/>
              </w:rPr>
            </w:pPr>
            <w:r>
              <w:rPr>
                <w:rFonts w:ascii="Times New Roman" w:cs="Times New Roman" w:eastAsia="Times New Roman" w:hAnsi="Times New Roman"/>
                <w:sz w:val="13"/>
                <w:szCs w:val="13"/>
                <w:color w:val="auto"/>
              </w:rPr>
              <w:t>Guarantors party thereto, Bank of America, N.A., as the Administrative Agent, the L/C Issuer, and the Swingline</w:t>
            </w:r>
          </w:p>
        </w:tc>
      </w:tr>
      <w:tr>
        <w:trPr>
          <w:trHeight w:val="183"/>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Lender, and the Lenders (including the Increasing Lender) party thereto.</w:t>
            </w:r>
          </w:p>
        </w:tc>
      </w:tr>
      <w:tr>
        <w:trPr>
          <w:trHeight w:val="264"/>
        </w:trPr>
        <w:tc>
          <w:tcPr>
            <w:tcW w:w="400" w:type="dxa"/>
            <w:vAlign w:val="bottom"/>
            <w:gridSpan w:val="3"/>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17</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Second Amendment to Credit Agreement, dated as of August 30, 2024, among Arhaus, Inc., the Guarantors party</w:t>
            </w:r>
          </w:p>
        </w:tc>
      </w:tr>
      <w:tr>
        <w:trPr>
          <w:trHeight w:val="113"/>
        </w:trPr>
        <w:tc>
          <w:tcPr>
            <w:tcW w:w="2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7260" w:type="dxa"/>
            <w:vAlign w:val="bottom"/>
          </w:tcPr>
          <w:p>
            <w:pPr>
              <w:ind w:left="740"/>
              <w:spacing w:after="0" w:line="113" w:lineRule="exact"/>
              <w:rPr>
                <w:sz w:val="20"/>
                <w:szCs w:val="20"/>
                <w:color w:val="auto"/>
              </w:rPr>
            </w:pPr>
            <w:r>
              <w:rPr>
                <w:rFonts w:ascii="Times New Roman" w:cs="Times New Roman" w:eastAsia="Times New Roman" w:hAnsi="Times New Roman"/>
                <w:sz w:val="13"/>
                <w:szCs w:val="13"/>
                <w:color w:val="auto"/>
              </w:rPr>
              <w:t>thereto, the Lenders party thereto, and Bank of America, N.A., as the Administrative Agent, the L/C Issuer, and the</w:t>
            </w:r>
          </w:p>
        </w:tc>
      </w:tr>
      <w:tr>
        <w:trPr>
          <w:trHeight w:val="183"/>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Swingline Lender.</w:t>
            </w:r>
          </w:p>
        </w:tc>
      </w:tr>
      <w:tr>
        <w:trPr>
          <w:trHeight w:val="264"/>
        </w:trPr>
        <w:tc>
          <w:tcPr>
            <w:tcW w:w="400" w:type="dxa"/>
            <w:vAlign w:val="bottom"/>
            <w:gridSpan w:val="3"/>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18</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Third Amendment to Credit Agreement and Amendment to Security and Pledge Agreement, dated October 17,</w:t>
            </w:r>
          </w:p>
        </w:tc>
      </w:tr>
      <w:tr>
        <w:trPr>
          <w:trHeight w:val="113"/>
        </w:trPr>
        <w:tc>
          <w:tcPr>
            <w:tcW w:w="2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7260" w:type="dxa"/>
            <w:vAlign w:val="bottom"/>
          </w:tcPr>
          <w:p>
            <w:pPr>
              <w:ind w:left="740"/>
              <w:spacing w:after="0" w:line="113" w:lineRule="exact"/>
              <w:rPr>
                <w:sz w:val="20"/>
                <w:szCs w:val="20"/>
                <w:color w:val="auto"/>
              </w:rPr>
            </w:pPr>
            <w:r>
              <w:rPr>
                <w:rFonts w:ascii="Times New Roman" w:cs="Times New Roman" w:eastAsia="Times New Roman" w:hAnsi="Times New Roman"/>
                <w:sz w:val="13"/>
                <w:szCs w:val="13"/>
                <w:color w:val="auto"/>
              </w:rPr>
              <w:t>2025, among Arhaus, Inc., the Guarantors party thereto, Bank of America, N.A., as the Administrative Agent, the</w:t>
            </w:r>
          </w:p>
        </w:tc>
      </w:tr>
      <w:tr>
        <w:trPr>
          <w:trHeight w:val="183"/>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L/C Issuer and the Swingline Lender, and the lenders party thereto.</w:t>
            </w:r>
          </w:p>
        </w:tc>
      </w:tr>
      <w:tr>
        <w:trPr>
          <w:trHeight w:val="264"/>
        </w:trPr>
        <w:tc>
          <w:tcPr>
            <w:tcW w:w="400" w:type="dxa"/>
            <w:vAlign w:val="bottom"/>
            <w:gridSpan w:val="3"/>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19</w:t>
              </w:r>
            </w:hyperlink>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Consulting Agreement, dated November 29, 2023, among Arhaus, LLC and Gary Lewis dba Gary Lewis &amp;</w:t>
            </w:r>
          </w:p>
        </w:tc>
      </w:tr>
      <w:tr>
        <w:trPr>
          <w:trHeight w:val="163"/>
        </w:trPr>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Associates.</w:t>
            </w:r>
          </w:p>
        </w:tc>
      </w:tr>
      <w:tr>
        <w:trPr>
          <w:trHeight w:val="260"/>
        </w:trPr>
        <w:tc>
          <w:tcPr>
            <w:tcW w:w="260" w:type="dxa"/>
            <w:vAlign w:val="bottom"/>
            <w:tcBorders>
              <w:bottom w:val="single" w:sz="8" w:color="0000FF"/>
            </w:tcBorders>
          </w:tcPr>
          <w:p>
            <w:pPr>
              <w:spacing w:after="0"/>
              <w:rPr>
                <w:rFonts w:ascii="Times New Roman" w:cs="Times New Roman" w:eastAsia="Times New Roman" w:hAnsi="Times New Roman"/>
                <w:sz w:val="14"/>
                <w:szCs w:val="14"/>
                <w:color w:val="0000FF"/>
                <w:w w:val="97"/>
              </w:rPr>
            </w:pPr>
            <w:hyperlink r:id="rId211">
              <w:r>
                <w:rPr>
                  <w:rFonts w:ascii="Times New Roman" w:cs="Times New Roman" w:eastAsia="Times New Roman" w:hAnsi="Times New Roman"/>
                  <w:sz w:val="14"/>
                  <w:szCs w:val="14"/>
                  <w:color w:val="0000FF"/>
                  <w:w w:val="97"/>
                </w:rPr>
                <w:t>19.</w:t>
              </w:r>
              <w:r>
                <w:rPr>
                  <w:rFonts w:ascii="Times New Roman" w:cs="Times New Roman" w:eastAsia="Times New Roman" w:hAnsi="Times New Roman"/>
                  <w:sz w:val="14"/>
                  <w:szCs w:val="14"/>
                  <w:u w:val="single" w:color="auto"/>
                  <w:color w:val="0000FF"/>
                  <w:w w:val="97"/>
                </w:rPr>
                <w:t>1</w:t>
              </w:r>
            </w:hyperlink>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Insider Trading Policy.</w:t>
            </w:r>
          </w:p>
        </w:tc>
      </w:tr>
      <w:tr>
        <w:trPr>
          <w:trHeight w:val="423"/>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21.</w:t>
            </w:r>
            <w:r>
              <w:rPr>
                <w:rFonts w:ascii="Times New Roman" w:cs="Times New Roman" w:eastAsia="Times New Roman" w:hAnsi="Times New Roman"/>
                <w:sz w:val="14"/>
                <w:szCs w:val="14"/>
                <w:u w:val="single" w:color="auto"/>
                <w:color w:val="0000FF"/>
                <w:w w:val="97"/>
              </w:rPr>
              <w:t>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List of subsidiaries.</w:t>
            </w:r>
          </w:p>
        </w:tc>
      </w:tr>
      <w:tr>
        <w:trPr>
          <w:trHeight w:val="275"/>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23.</w:t>
            </w:r>
            <w:r>
              <w:rPr>
                <w:rFonts w:ascii="Times New Roman" w:cs="Times New Roman" w:eastAsia="Times New Roman" w:hAnsi="Times New Roman"/>
                <w:sz w:val="14"/>
                <w:szCs w:val="14"/>
                <w:u w:val="single" w:color="auto"/>
                <w:color w:val="0000FF"/>
                <w:w w:val="97"/>
              </w:rPr>
              <w:t>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Consent of PricewaterhouseCoopers LLP.</w:t>
            </w:r>
          </w:p>
        </w:tc>
      </w:tr>
      <w:tr>
        <w:trPr>
          <w:trHeight w:val="275"/>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24.</w:t>
            </w:r>
            <w:r>
              <w:rPr>
                <w:rFonts w:ascii="Times New Roman" w:cs="Times New Roman" w:eastAsia="Times New Roman" w:hAnsi="Times New Roman"/>
                <w:sz w:val="14"/>
                <w:szCs w:val="14"/>
                <w:u w:val="single" w:color="auto"/>
                <w:color w:val="0000FF"/>
                <w:w w:val="97"/>
              </w:rPr>
              <w:t>1</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Power of 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4"/>
          <w:szCs w:val="14"/>
          <w:color w:val="auto"/>
        </w:rPr>
        <w:t>Exhibit 10.1 to the Company’s Quarterly Report on Form 10-Q for the period ended June 30, 2025.</w:t>
      </w:r>
    </w:p>
    <w:p>
      <w:pPr>
        <w:spacing w:after="0" w:line="12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Exhibit 10.1 to the Company’s Quarterly Report on Form 10-Q for the period ended March 31,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34"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4"/>
          <w:szCs w:val="14"/>
          <w:color w:val="auto"/>
        </w:rPr>
        <w:t>Exhibit 10.1 to the Company’s Current Report on Form 8-K filed on November 10, 2021.</w:t>
      </w:r>
    </w:p>
    <w:p>
      <w:pPr>
        <w:spacing w:after="0" w:line="260" w:lineRule="exact"/>
        <w:rPr>
          <w:sz w:val="20"/>
          <w:szCs w:val="20"/>
          <w:color w:val="auto"/>
        </w:rPr>
      </w:pPr>
    </w:p>
    <w:p>
      <w:pPr>
        <w:ind w:right="60" w:firstLine="35"/>
        <w:spacing w:after="0" w:line="238" w:lineRule="auto"/>
        <w:rPr>
          <w:sz w:val="20"/>
          <w:szCs w:val="20"/>
          <w:color w:val="auto"/>
        </w:rPr>
      </w:pPr>
      <w:r>
        <w:rPr>
          <w:rFonts w:ascii="Times New Roman" w:cs="Times New Roman" w:eastAsia="Times New Roman" w:hAnsi="Times New Roman"/>
          <w:sz w:val="14"/>
          <w:szCs w:val="14"/>
          <w:color w:val="auto"/>
        </w:rPr>
        <w:t>Exhibit 10.1 to the Company’s Current Report on Form 8-K filed on December 12, 2022.</w:t>
      </w:r>
    </w:p>
    <w:p>
      <w:pPr>
        <w:spacing w:after="0" w:line="26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Exhibit 10.1 to the Company’s Quarterly Report on Form 10-Q for the period ended September 30, 2023.</w:t>
      </w:r>
    </w:p>
    <w:p>
      <w:pPr>
        <w:spacing w:after="0" w:line="26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4"/>
          <w:szCs w:val="14"/>
          <w:color w:val="auto"/>
        </w:rPr>
        <w:t>Exhibit 10.1 to the Company’s Current Report on Form 8-K filed October 22, 2025.</w:t>
      </w:r>
    </w:p>
    <w:p>
      <w:pPr>
        <w:spacing w:after="0" w:line="26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3"/>
          <w:szCs w:val="13"/>
          <w:color w:val="auto"/>
        </w:rPr>
        <w:t>Exhibit 10.16 to the Company’s Annual Report on Form 10-K for the fiscal year ended December 31, 2023.</w:t>
      </w:r>
    </w:p>
    <w:p>
      <w:pPr>
        <w:spacing w:after="0" w:line="101"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4"/>
          <w:szCs w:val="14"/>
          <w:color w:val="auto"/>
        </w:rPr>
        <w:t>Exhibit 19.1 to the Company’s Annual Report on Form 10-K for the fiscal year ended December 31,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Filed herewith.</w:t>
      </w:r>
    </w:p>
    <w:p>
      <w:pPr>
        <w:spacing w:after="0" w:line="134"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4"/>
          <w:szCs w:val="14"/>
          <w:color w:val="auto"/>
        </w:rPr>
        <w:t>Included on signature page of this Annual Report on Form 10-K.</w:t>
      </w:r>
    </w:p>
    <w:p>
      <w:pPr>
        <w:sectPr>
          <w:pgSz w:w="11900" w:h="16838" w:orient="portrait"/>
          <w:cols w:equalWidth="0" w:num="2">
            <w:col w:w="7840" w:space="140"/>
            <w:col w:w="3220"/>
          </w:cols>
          <w:pgMar w:left="300" w:top="125" w:right="39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Tables of Contents</w:t>
            </w:r>
          </w:p>
        </w:tc>
        <w:tc>
          <w:tcPr>
            <w:tcW w:w="684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813"/>
        </w:trPr>
        <w:tc>
          <w:tcPr>
            <w:tcW w:w="5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560" w:type="dxa"/>
            <w:vAlign w:val="bottom"/>
          </w:tcPr>
          <w:p>
            <w:pPr>
              <w:spacing w:after="0"/>
              <w:rPr>
                <w:sz w:val="24"/>
                <w:szCs w:val="24"/>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Certificate of Chief Executive Officer Pursuant to Rules 13a-14(a) and 15d-14(a) of the Securities Exchange Act of</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63"/>
        </w:trPr>
        <w:tc>
          <w:tcPr>
            <w:tcW w:w="18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180" w:type="dxa"/>
            <w:vAlign w:val="bottom"/>
          </w:tcPr>
          <w:p>
            <w:pPr>
              <w:spacing w:after="0"/>
              <w:rPr>
                <w:sz w:val="14"/>
                <w:szCs w:val="14"/>
                <w:color w:val="auto"/>
              </w:rPr>
            </w:pPr>
          </w:p>
        </w:tc>
      </w:tr>
      <w:tr>
        <w:trPr>
          <w:trHeight w:val="260"/>
        </w:trPr>
        <w:tc>
          <w:tcPr>
            <w:tcW w:w="50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560" w:type="dxa"/>
            <w:vAlign w:val="bottom"/>
          </w:tcPr>
          <w:p>
            <w:pPr>
              <w:spacing w:after="0"/>
              <w:rPr>
                <w:sz w:val="22"/>
                <w:szCs w:val="22"/>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Certificate of Chief Financial Officer Pursuant to Rules 13a-14(a) and 15d-14(a) of the Securities Exchange Act of</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63"/>
        </w:trPr>
        <w:tc>
          <w:tcPr>
            <w:tcW w:w="18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1934, as Adopted Pursuant to Section 302 of the Sarbanes-Oxley Act of 2002.</w:t>
            </w:r>
          </w:p>
        </w:tc>
        <w:tc>
          <w:tcPr>
            <w:tcW w:w="3180" w:type="dxa"/>
            <w:vAlign w:val="bottom"/>
          </w:tcPr>
          <w:p>
            <w:pPr>
              <w:spacing w:after="0"/>
              <w:rPr>
                <w:sz w:val="14"/>
                <w:szCs w:val="14"/>
                <w:color w:val="auto"/>
              </w:rPr>
            </w:pPr>
          </w:p>
        </w:tc>
      </w:tr>
      <w:tr>
        <w:trPr>
          <w:trHeight w:val="260"/>
        </w:trPr>
        <w:tc>
          <w:tcPr>
            <w:tcW w:w="10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 Section 906 of</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63"/>
        </w:trPr>
        <w:tc>
          <w:tcPr>
            <w:tcW w:w="18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Sarbanes-Oxley Act of 2002.</w:t>
            </w:r>
          </w:p>
        </w:tc>
        <w:tc>
          <w:tcPr>
            <w:tcW w:w="3180" w:type="dxa"/>
            <w:vAlign w:val="bottom"/>
          </w:tcPr>
          <w:p>
            <w:pPr>
              <w:spacing w:after="0"/>
              <w:rPr>
                <w:sz w:val="14"/>
                <w:szCs w:val="14"/>
                <w:color w:val="auto"/>
              </w:rPr>
            </w:pPr>
          </w:p>
        </w:tc>
      </w:tr>
      <w:tr>
        <w:trPr>
          <w:trHeight w:val="260"/>
        </w:trPr>
        <w:tc>
          <w:tcPr>
            <w:tcW w:w="10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2*</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 Section 906 of</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Furnished herewith.</w:t>
            </w:r>
          </w:p>
        </w:tc>
      </w:tr>
      <w:tr>
        <w:trPr>
          <w:trHeight w:val="163"/>
        </w:trPr>
        <w:tc>
          <w:tcPr>
            <w:tcW w:w="18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560" w:type="dxa"/>
            <w:vAlign w:val="bottom"/>
          </w:tcPr>
          <w:p>
            <w:pPr>
              <w:spacing w:after="0"/>
              <w:rPr>
                <w:sz w:val="14"/>
                <w:szCs w:val="14"/>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Sarbanes-Oxley Act of 2002.</w:t>
            </w:r>
          </w:p>
        </w:tc>
        <w:tc>
          <w:tcPr>
            <w:tcW w:w="3180" w:type="dxa"/>
            <w:vAlign w:val="bottom"/>
          </w:tcPr>
          <w:p>
            <w:pPr>
              <w:spacing w:after="0"/>
              <w:rPr>
                <w:sz w:val="14"/>
                <w:szCs w:val="14"/>
                <w:color w:val="auto"/>
              </w:rPr>
            </w:pPr>
          </w:p>
        </w:tc>
      </w:tr>
      <w:tr>
        <w:trPr>
          <w:trHeight w:val="260"/>
        </w:trPr>
        <w:tc>
          <w:tcPr>
            <w:tcW w:w="500" w:type="dxa"/>
            <w:vAlign w:val="bottom"/>
            <w:gridSpan w:val="3"/>
          </w:tcPr>
          <w:p>
            <w:pPr>
              <w:ind w:left="180"/>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97.</w:t>
              </w:r>
              <w:r>
                <w:rPr>
                  <w:rFonts w:ascii="Times New Roman" w:cs="Times New Roman" w:eastAsia="Times New Roman" w:hAnsi="Times New Roman"/>
                  <w:sz w:val="14"/>
                  <w:szCs w:val="14"/>
                  <w:u w:val="single" w:color="auto"/>
                  <w:color w:val="0000FF"/>
                </w:rPr>
                <w:t>1</w:t>
              </w:r>
            </w:hyperlink>
          </w:p>
        </w:tc>
        <w:tc>
          <w:tcPr>
            <w:tcW w:w="560" w:type="dxa"/>
            <w:vAlign w:val="bottom"/>
          </w:tcPr>
          <w:p>
            <w:pPr>
              <w:spacing w:after="0"/>
              <w:rPr>
                <w:sz w:val="22"/>
                <w:szCs w:val="22"/>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Compensation Recovery Policy.</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9"/>
              </w:rPr>
              <w:t>Exhibit 97.1 to the Company’s Annual Report on Form</w:t>
            </w:r>
          </w:p>
        </w:tc>
      </w:tr>
      <w:tr>
        <w:trPr>
          <w:trHeight w:val="163"/>
        </w:trPr>
        <w:tc>
          <w:tcPr>
            <w:tcW w:w="18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10-K for the fiscal year ended December 31, 2023.</w:t>
            </w:r>
          </w:p>
        </w:tc>
      </w:tr>
      <w:tr>
        <w:trPr>
          <w:trHeight w:val="249"/>
        </w:trPr>
        <w:tc>
          <w:tcPr>
            <w:tcW w:w="180" w:type="dxa"/>
            <w:vAlign w:val="bottom"/>
          </w:tcPr>
          <w:p>
            <w:pPr>
              <w:spacing w:after="0"/>
              <w:rPr>
                <w:sz w:val="21"/>
                <w:szCs w:val="2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101.INS</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 Interactive Data File because its XBRL</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3180" w:type="dxa"/>
            <w:vAlign w:val="bottom"/>
          </w:tcPr>
          <w:p>
            <w:pPr>
              <w:spacing w:after="0"/>
              <w:rPr>
                <w:sz w:val="15"/>
                <w:szCs w:val="15"/>
                <w:color w:val="auto"/>
              </w:rPr>
            </w:pPr>
          </w:p>
        </w:tc>
      </w:tr>
      <w:tr>
        <w:trPr>
          <w:trHeight w:val="302"/>
        </w:trPr>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101.SCH</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306"/>
        </w:trPr>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101.CAL</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95"/>
        </w:trPr>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101.DEF</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95"/>
        </w:trPr>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101.LAB</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95"/>
        </w:trPr>
        <w:tc>
          <w:tcPr>
            <w:tcW w:w="1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101.PRE</w:t>
            </w: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253"/>
        </w:trPr>
        <w:tc>
          <w:tcPr>
            <w:tcW w:w="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104</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Cover Page with Interactive Data File (formatted as Inline XBRL with applicable taxonomy extension information</w:t>
            </w:r>
          </w:p>
        </w:tc>
        <w:tc>
          <w:tcPr>
            <w:tcW w:w="3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3"/>
        </w:trPr>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contained in Exhibits 101).</w:t>
            </w:r>
          </w:p>
        </w:tc>
        <w:tc>
          <w:tcPr>
            <w:tcW w:w="3180" w:type="dxa"/>
            <w:vAlign w:val="bottom"/>
          </w:tcPr>
          <w:p>
            <w:pPr>
              <w:spacing w:after="0"/>
              <w:rPr>
                <w:sz w:val="15"/>
                <w:szCs w:val="15"/>
                <w:color w:val="auto"/>
              </w:rPr>
            </w:pPr>
          </w:p>
        </w:tc>
      </w:tr>
    </w:tbl>
    <w:p>
      <w:pPr>
        <w:spacing w:after="0" w:line="6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231F20"/>
        </w:rPr>
        <w:t>#</w:t>
        <w:tab/>
        <w:t>Indicates management contract or compensatory plan.</w:t>
      </w:r>
    </w:p>
    <w:p>
      <w:pPr>
        <w:spacing w:after="0" w:line="22" w:lineRule="exact"/>
        <w:rPr>
          <w:sz w:val="20"/>
          <w:szCs w:val="20"/>
          <w:color w:val="auto"/>
        </w:rPr>
      </w:pPr>
    </w:p>
    <w:p>
      <w:pPr>
        <w:ind w:left="260" w:hanging="256"/>
        <w:spacing w:after="0" w:line="262" w:lineRule="auto"/>
        <w:tabs>
          <w:tab w:leader="none" w:pos="215" w:val="left"/>
        </w:tabs>
        <w:numPr>
          <w:ilvl w:val="0"/>
          <w:numId w:val="4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certifications furnished in Exhibits 32.1 and 32.2 hereto are deemed to accompany this Annual Report on Form 10-K and will not be deemed “filed” for purposes of Section 18 of the Securities Exchange Act of 1934, as amended, except to the extent that the registrant specifically incorporates them by reference.</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60"/>
          </w:cols>
          <w:pgMar w:left="30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9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41910</wp:posOffset>
            </wp:positionV>
            <wp:extent cx="71875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231F20"/>
        </w:rPr>
        <w:t>SIGNATURES</w:t>
      </w:r>
    </w:p>
    <w:p>
      <w:pPr>
        <w:spacing w:after="0" w:line="178"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231F20"/>
        </w:rPr>
        <w:t>Pursuant to the requirements of Section 13 or 15(d)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81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ARHAUS, INC.</w:t>
            </w:r>
          </w:p>
        </w:tc>
      </w:t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26, 2026</w:t>
            </w:r>
          </w:p>
        </w:tc>
        <w:tc>
          <w:tcPr>
            <w:tcW w:w="22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By:</w:t>
            </w:r>
          </w:p>
        </w:tc>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John Reed</w:t>
            </w:r>
          </w:p>
        </w:tc>
      </w:tr>
      <w:tr>
        <w:trPr>
          <w:trHeight w:val="166"/>
        </w:trPr>
        <w:tc>
          <w:tcPr>
            <w:tcW w:w="2880" w:type="dxa"/>
            <w:vAlign w:val="bottom"/>
          </w:tcPr>
          <w:p>
            <w:pPr>
              <w:spacing w:after="0"/>
              <w:rPr>
                <w:sz w:val="14"/>
                <w:szCs w:val="14"/>
                <w:color w:val="auto"/>
              </w:rPr>
            </w:pPr>
          </w:p>
        </w:tc>
        <w:tc>
          <w:tcPr>
            <w:tcW w:w="22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Name:</w:t>
            </w:r>
          </w:p>
        </w:tc>
        <w:tc>
          <w:tcPr>
            <w:tcW w:w="5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John Reed</w:t>
            </w:r>
          </w:p>
        </w:tc>
      </w:tr>
      <w:tr>
        <w:trPr>
          <w:trHeight w:val="183"/>
        </w:trPr>
        <w:tc>
          <w:tcPr>
            <w:tcW w:w="2880" w:type="dxa"/>
            <w:vAlign w:val="bottom"/>
          </w:tcPr>
          <w:p>
            <w:pPr>
              <w:spacing w:after="0"/>
              <w:rPr>
                <w:sz w:val="15"/>
                <w:szCs w:val="15"/>
                <w:color w:val="auto"/>
              </w:rPr>
            </w:pPr>
          </w:p>
        </w:tc>
        <w:tc>
          <w:tcPr>
            <w:tcW w:w="222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Title:</w:t>
            </w:r>
          </w:p>
        </w:tc>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231F20"/>
        </w:rPr>
        <w:t>POWER OF ATTORNEY</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231F20"/>
        </w:rPr>
        <w:t>Each of the undersigned officers and directors of Arhaus, Inc. hereby constitutes and appoints John Reed, Michael Lee, and Christian Sedor, and each of them any of whom may act without joinder of the other, the individual’s true and lawful attorneys-in-fact and agents, each with full power of substitution and resubstitution, for the person and in his or her name, place and stead, in any and all capacities, to sign this Annual Report on Form 10-K, and any and all amendments thereto,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71875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231F20"/>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840"/>
          </w:cols>
          <w:pgMar w:left="300" w:top="125" w:right="759" w:bottom="1440" w:gutter="0" w:footer="0" w:header="0"/>
        </w:sectPr>
      </w:pP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23431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7">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Reed</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234315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Lee</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Christian Sedor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34315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0">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Christian Sedor</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Albert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34315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1">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Albert Adams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Bill Beargie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234315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2">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Bill Beargie</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Rick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3">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Rick Doody</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Andrea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Andrea Hyde</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Kyees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Gary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Gary Lewis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Alexis DePree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Alexis DePree</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 Stuart Burgdoerfer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34315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Stuart Burgdoerfer</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Samir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234315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2343150" cy="698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Samir Desai</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25400</wp:posOffset>
            </wp:positionV>
            <wp:extent cx="234950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234950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Executive Officer and Director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rPr>
          <w:sz w:val="20"/>
          <w:szCs w:val="20"/>
          <w:color w:val="auto"/>
        </w:rPr>
      </w:pPr>
      <w:r>
        <w:rPr>
          <w:rFonts w:ascii="Times New Roman" w:cs="Times New Roman" w:eastAsia="Times New Roman" w:hAnsi="Times New Roman"/>
          <w:sz w:val="14"/>
          <w:szCs w:val="14"/>
          <w:color w:val="auto"/>
        </w:rPr>
        <w:t>(Principal Accounting Officer)</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25400</wp:posOffset>
            </wp:positionV>
            <wp:extent cx="234950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2349500" cy="698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400" w:lineRule="exact"/>
        <w:rPr>
          <w:sz w:val="20"/>
          <w:szCs w:val="20"/>
          <w:color w:val="auto"/>
        </w:rPr>
      </w:pPr>
    </w:p>
    <w:p>
      <w:pPr>
        <w:sectPr>
          <w:pgSz w:w="11900" w:h="16838" w:orient="portrait"/>
          <w:cols w:equalWidth="0" w:num="3">
            <w:col w:w="3080" w:space="720"/>
            <w:col w:w="3060" w:space="720"/>
            <w:col w:w="3260"/>
          </w:cols>
          <w:pgMar w:left="300" w:top="125" w:right="759" w:bottom="1440" w:gutter="0" w:footer="0" w:header="0"/>
          <w:type w:val="continuous"/>
        </w:sectPr>
      </w:pPr>
    </w:p>
    <w:p>
      <w:pPr>
        <w:spacing w:after="0" w:line="36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0840"/>
          </w:cols>
          <w:pgMar w:left="300" w:top="125" w:right="759" w:bottom="1440" w:gutter="0" w:footer="0" w:header="0"/>
          <w:type w:val="continuous"/>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302895</wp:posOffset>
            </wp:positionV>
            <wp:extent cx="7106920" cy="926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7106920" cy="9267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106920" cy="9267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106920" cy="9267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106920" cy="9274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106920" cy="9274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106920" cy="92741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106920" cy="92741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297180</wp:posOffset>
            </wp:positionH>
            <wp:positionV relativeFrom="page">
              <wp:posOffset>423545</wp:posOffset>
            </wp:positionV>
            <wp:extent cx="7106920" cy="92602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106920" cy="926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55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SUBSIDIARIES OF REGISTRANT</w:t>
            </w:r>
          </w:p>
        </w:tc>
      </w:tr>
      <w:tr>
        <w:trPr>
          <w:trHeight w:val="390"/>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220" w:type="dxa"/>
            <w:vAlign w:val="bottom"/>
          </w:tcPr>
          <w:p>
            <w:pPr>
              <w:spacing w:after="0"/>
              <w:rPr>
                <w:sz w:val="24"/>
                <w:szCs w:val="24"/>
                <w:color w:val="auto"/>
              </w:rPr>
            </w:pPr>
          </w:p>
        </w:tc>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6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FS Arhaus Holding Inc.</w:t>
            </w:r>
          </w:p>
        </w:tc>
        <w:tc>
          <w:tcPr>
            <w:tcW w:w="2220" w:type="dxa"/>
            <w:vAlign w:val="bottom"/>
          </w:tcPr>
          <w:p>
            <w:pPr>
              <w:spacing w:after="0"/>
              <w:rPr>
                <w:sz w:val="14"/>
                <w:szCs w:val="1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Homeworks Holdings, Inc.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Arhaus,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Hines Hill Aviation,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Homeworks Logistics,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Arhaus Gift Cards,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TB Arhaus,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7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Woods, LLC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r>
        <w:trPr>
          <w:trHeight w:val="18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Arhaus Management, Inc.</w:t>
            </w:r>
          </w:p>
        </w:tc>
        <w:tc>
          <w:tcPr>
            <w:tcW w:w="2220" w:type="dxa"/>
            <w:vAlign w:val="bottom"/>
          </w:tcPr>
          <w:p>
            <w:pPr>
              <w:spacing w:after="0"/>
              <w:rPr>
                <w:sz w:val="15"/>
                <w:szCs w:val="15"/>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Ohio</w:t>
            </w:r>
          </w:p>
        </w:tc>
      </w:tr>
    </w:tbl>
    <w:p>
      <w:pPr>
        <w:sectPr>
          <w:pgSz w:w="11900" w:h="16838" w:orient="portrait"/>
          <w:cols w:equalWidth="0" w:num="1">
            <w:col w:w="11280"/>
          </w:cols>
          <w:pgMar w:left="300" w:top="502"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Georgia" w:cs="Georgia" w:eastAsia="Georgia" w:hAnsi="Georgia"/>
          <w:sz w:val="14"/>
          <w:szCs w:val="14"/>
          <w:color w:val="auto"/>
        </w:rPr>
        <w:t>CONSENT OF INDEPENDENT REGISTERED PUBLIC ACCOUNTING FIRM</w:t>
      </w:r>
    </w:p>
    <w:p>
      <w:pPr>
        <w:spacing w:after="0" w:line="189" w:lineRule="exact"/>
        <w:rPr>
          <w:sz w:val="20"/>
          <w:szCs w:val="20"/>
          <w:color w:val="auto"/>
        </w:rPr>
      </w:pPr>
    </w:p>
    <w:p>
      <w:pPr>
        <w:ind w:right="320"/>
        <w:spacing w:after="0" w:line="239" w:lineRule="auto"/>
        <w:rPr>
          <w:sz w:val="20"/>
          <w:szCs w:val="20"/>
          <w:color w:val="auto"/>
        </w:rPr>
      </w:pPr>
      <w:r>
        <w:rPr>
          <w:rFonts w:ascii="Georgia" w:cs="Georgia" w:eastAsia="Georgia" w:hAnsi="Georgia"/>
          <w:sz w:val="14"/>
          <w:szCs w:val="14"/>
          <w:color w:val="auto"/>
        </w:rPr>
        <w:t>We hereby consent to the incorporation by reference in the Registration Statements on Form S-3 (No. 333-268959) and Form S-8 (No. 333-261690) of Arhaus, Inc. of our report dated February 26, 2026 relating to the financial statements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Georgia" w:cs="Georgia" w:eastAsia="Georgia" w:hAnsi="Georgia"/>
          <w:sz w:val="14"/>
          <w:szCs w:val="14"/>
          <w:color w:val="auto"/>
        </w:rPr>
        <w:t>/s/ PricewaterhouseCoopers LLP</w:t>
      </w:r>
    </w:p>
    <w:p>
      <w:pPr>
        <w:spacing w:after="0"/>
        <w:rPr>
          <w:sz w:val="20"/>
          <w:szCs w:val="20"/>
          <w:color w:val="auto"/>
        </w:rPr>
      </w:pPr>
      <w:r>
        <w:rPr>
          <w:rFonts w:ascii="Georgia" w:cs="Georgia" w:eastAsia="Georgia" w:hAnsi="Georgia"/>
          <w:sz w:val="14"/>
          <w:szCs w:val="14"/>
          <w:color w:val="auto"/>
        </w:rPr>
        <w:t>Cleveland, Ohio</w:t>
      </w:r>
    </w:p>
    <w:p>
      <w:pPr>
        <w:spacing w:after="0"/>
        <w:rPr>
          <w:sz w:val="20"/>
          <w:szCs w:val="20"/>
          <w:color w:val="auto"/>
        </w:rPr>
      </w:pPr>
      <w:r>
        <w:rPr>
          <w:rFonts w:ascii="Georgia" w:cs="Georgia" w:eastAsia="Georgia" w:hAnsi="Georgia"/>
          <w:sz w:val="14"/>
          <w:szCs w:val="14"/>
          <w:color w:val="auto"/>
        </w:rPr>
        <w:t>February 26, 2026</w:t>
      </w:r>
    </w:p>
    <w:p>
      <w:pPr>
        <w:sectPr>
          <w:pgSz w:w="11900" w:h="16838" w:orient="portrait"/>
          <w:cols w:equalWidth="0" w:num="1">
            <w:col w:w="11280"/>
          </w:cols>
          <w:pgMar w:left="300" w:top="502" w:right="31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1F4742"/>
        </w:rPr>
        <w:t>Exhibit 31.1</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Reed, certify that:</w:t>
      </w:r>
    </w:p>
    <w:p>
      <w:pPr>
        <w:spacing w:after="0" w:line="103" w:lineRule="exact"/>
        <w:rPr>
          <w:sz w:val="20"/>
          <w:szCs w:val="20"/>
          <w:color w:val="auto"/>
        </w:rPr>
      </w:pPr>
    </w:p>
    <w:p>
      <w:pPr>
        <w:ind w:left="520" w:hanging="263"/>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Arhaus, Inc.;</w:t>
      </w:r>
    </w:p>
    <w:p>
      <w:pPr>
        <w:spacing w:after="0" w:line="102" w:lineRule="exact"/>
        <w:rPr>
          <w:rFonts w:ascii="Times New Roman" w:cs="Times New Roman" w:eastAsia="Times New Roman" w:hAnsi="Times New Roman"/>
          <w:sz w:val="14"/>
          <w:szCs w:val="14"/>
          <w:color w:val="auto"/>
        </w:rPr>
      </w:pPr>
    </w:p>
    <w:p>
      <w:pPr>
        <w:ind w:left="520" w:right="800" w:hanging="263"/>
        <w:spacing w:after="0" w:line="331"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4"/>
          <w:szCs w:val="14"/>
          <w:color w:val="auto"/>
        </w:rPr>
      </w:pPr>
    </w:p>
    <w:p>
      <w:pPr>
        <w:ind w:left="520" w:right="20" w:hanging="263"/>
        <w:spacing w:after="0" w:line="331"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Times New Roman" w:cs="Times New Roman" w:eastAsia="Times New Roman" w:hAnsi="Times New Roman"/>
          <w:sz w:val="14"/>
          <w:szCs w:val="14"/>
          <w:color w:val="auto"/>
        </w:rPr>
      </w:pPr>
    </w:p>
    <w:p>
      <w:pPr>
        <w:ind w:left="520" w:right="320" w:hanging="263"/>
        <w:spacing w:after="0" w:line="298"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440" w:hanging="257"/>
        <w:spacing w:after="0" w:line="293"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right="60" w:hanging="257"/>
        <w:spacing w:after="0" w:line="290"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260" w:hanging="257"/>
        <w:spacing w:after="0" w:line="290"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60" w:hanging="257"/>
        <w:spacing w:after="0" w:line="331"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Times New Roman" w:cs="Times New Roman" w:eastAsia="Times New Roman" w:hAnsi="Times New Roman"/>
          <w:sz w:val="14"/>
          <w:szCs w:val="14"/>
          <w:color w:val="auto"/>
        </w:rPr>
      </w:pPr>
    </w:p>
    <w:p>
      <w:pPr>
        <w:ind w:left="520" w:right="480" w:hanging="263"/>
        <w:spacing w:after="0" w:line="290"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600" w:hanging="257"/>
        <w:spacing w:after="0" w:line="298"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7"/>
        <w:spacing w:after="0"/>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37484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3748405"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Reed</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312" w:right="3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REPORT UNDER SECTION 302 OF</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Lee, certify that:</w:t>
      </w:r>
    </w:p>
    <w:p>
      <w:pPr>
        <w:spacing w:after="0" w:line="103" w:lineRule="exact"/>
        <w:rPr>
          <w:sz w:val="20"/>
          <w:szCs w:val="20"/>
          <w:color w:val="auto"/>
        </w:rPr>
      </w:pPr>
    </w:p>
    <w:p>
      <w:pPr>
        <w:ind w:left="520" w:hanging="263"/>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Arhaus, Inc.;</w:t>
      </w:r>
    </w:p>
    <w:p>
      <w:pPr>
        <w:spacing w:after="0" w:line="102" w:lineRule="exact"/>
        <w:rPr>
          <w:rFonts w:ascii="Times New Roman" w:cs="Times New Roman" w:eastAsia="Times New Roman" w:hAnsi="Times New Roman"/>
          <w:sz w:val="14"/>
          <w:szCs w:val="14"/>
          <w:color w:val="auto"/>
        </w:rPr>
      </w:pPr>
    </w:p>
    <w:p>
      <w:pPr>
        <w:ind w:left="520" w:right="800" w:hanging="263"/>
        <w:spacing w:after="0" w:line="331"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Times New Roman" w:cs="Times New Roman" w:eastAsia="Times New Roman" w:hAnsi="Times New Roman"/>
          <w:sz w:val="14"/>
          <w:szCs w:val="14"/>
          <w:color w:val="auto"/>
        </w:rPr>
      </w:pPr>
    </w:p>
    <w:p>
      <w:pPr>
        <w:ind w:left="520" w:right="20" w:hanging="263"/>
        <w:spacing w:after="0" w:line="331"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 w:lineRule="exact"/>
        <w:rPr>
          <w:rFonts w:ascii="Times New Roman" w:cs="Times New Roman" w:eastAsia="Times New Roman" w:hAnsi="Times New Roman"/>
          <w:sz w:val="14"/>
          <w:szCs w:val="14"/>
          <w:color w:val="auto"/>
        </w:rPr>
      </w:pPr>
    </w:p>
    <w:p>
      <w:pPr>
        <w:ind w:left="520" w:right="320" w:hanging="263"/>
        <w:spacing w:after="0" w:line="298"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jc w:val="both"/>
        <w:ind w:left="1020" w:right="440" w:hanging="257"/>
        <w:spacing w:after="0" w:line="293"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20" w:right="60" w:hanging="257"/>
        <w:spacing w:after="0" w:line="290"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020" w:right="260" w:hanging="257"/>
        <w:spacing w:after="0" w:line="290"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60" w:hanging="257"/>
        <w:spacing w:after="0" w:line="331"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Times New Roman" w:cs="Times New Roman" w:eastAsia="Times New Roman" w:hAnsi="Times New Roman"/>
          <w:sz w:val="14"/>
          <w:szCs w:val="14"/>
          <w:color w:val="auto"/>
        </w:rPr>
      </w:pPr>
    </w:p>
    <w:p>
      <w:pPr>
        <w:ind w:left="520" w:right="480" w:hanging="263"/>
        <w:spacing w:after="0" w:line="290"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020" w:right="600" w:hanging="257"/>
        <w:spacing w:after="0" w:line="298"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20" w:hanging="257"/>
        <w:spacing w:after="0"/>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43713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4371340" cy="69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Michael Lee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133"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connection with the Annual Report of Arhaus, Inc. (the “Company”) on Form 10-K for the year ended December 31, 2025 as filed with the Securities and Exchange Commission on the date hereof</w:t>
      </w:r>
    </w:p>
    <w:p>
      <w:pPr>
        <w:spacing w:after="0" w:line="3" w:lineRule="exact"/>
        <w:rPr>
          <w:sz w:val="20"/>
          <w:szCs w:val="20"/>
          <w:color w:val="auto"/>
        </w:rPr>
      </w:pPr>
    </w:p>
    <w:p>
      <w:pPr>
        <w:ind w:left="60"/>
        <w:spacing w:after="0" w:line="226" w:lineRule="auto"/>
        <w:rPr>
          <w:sz w:val="20"/>
          <w:szCs w:val="20"/>
          <w:color w:val="auto"/>
        </w:rPr>
      </w:pPr>
      <w:r>
        <w:rPr>
          <w:rFonts w:ascii="Times New Roman" w:cs="Times New Roman" w:eastAsia="Times New Roman" w:hAnsi="Times New Roman"/>
          <w:sz w:val="14"/>
          <w:szCs w:val="14"/>
          <w:color w:val="auto"/>
        </w:rPr>
        <w:t>(the “Report”), I, John Reed, Chief Executive Officer of the Company, hereby certify, pursuant to 18 U.S.C. Section 1350, as adopted pursuant to Section 906 of the Sarbanes-Oxley Act of 2002, to the best of my knowledge, that:</w:t>
      </w:r>
    </w:p>
    <w:p>
      <w:pPr>
        <w:spacing w:after="0" w:line="145" w:lineRule="exact"/>
        <w:rPr>
          <w:sz w:val="20"/>
          <w:szCs w:val="20"/>
          <w:color w:val="auto"/>
        </w:rPr>
      </w:pPr>
    </w:p>
    <w:p>
      <w:pPr>
        <w:ind w:left="560" w:hanging="243"/>
        <w:spacing w:after="0"/>
        <w:tabs>
          <w:tab w:leader="none" w:pos="5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6" w:lineRule="exact"/>
        <w:rPr>
          <w:rFonts w:ascii="Times New Roman" w:cs="Times New Roman" w:eastAsia="Times New Roman" w:hAnsi="Times New Roman"/>
          <w:sz w:val="14"/>
          <w:szCs w:val="14"/>
          <w:color w:val="auto"/>
        </w:rPr>
      </w:pPr>
    </w:p>
    <w:p>
      <w:pPr>
        <w:ind w:left="580" w:hanging="263"/>
        <w:spacing w:after="0" w:line="238" w:lineRule="auto"/>
        <w:tabs>
          <w:tab w:leader="none" w:pos="57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376"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/s/ John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13970</wp:posOffset>
            </wp:positionV>
            <wp:extent cx="32931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3293110" cy="6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-5080</wp:posOffset>
            </wp:positionV>
            <wp:extent cx="3937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39370" cy="6985"/>
                    </a:xfrm>
                    <a:prstGeom prst="rect">
                      <a:avLst/>
                    </a:prstGeom>
                    <a:noFill/>
                  </pic:spPr>
                </pic:pic>
              </a:graphicData>
            </a:graphic>
          </wp:anchor>
        </w:drawing>
      </w:r>
    </w:p>
    <w:p>
      <w:pPr>
        <w:spacing w:after="0" w:line="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John Reed</w:t>
      </w:r>
    </w:p>
    <w:p>
      <w:pPr>
        <w:ind w:left="6000"/>
        <w:spacing w:after="0" w:line="208" w:lineRule="auto"/>
        <w:rPr>
          <w:sz w:val="20"/>
          <w:szCs w:val="20"/>
          <w:color w:val="auto"/>
        </w:rPr>
      </w:pPr>
      <w:r>
        <w:rPr>
          <w:rFonts w:ascii="Times New Roman" w:cs="Times New Roman" w:eastAsia="Times New Roman" w:hAnsi="Times New Roman"/>
          <w:sz w:val="14"/>
          <w:szCs w:val="14"/>
          <w:color w:val="auto"/>
        </w:rPr>
        <w:t>Chief Executive Officer</w:t>
      </w:r>
    </w:p>
    <w:p>
      <w:pPr>
        <w:ind w:left="60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166" w:lineRule="exact"/>
        <w:rPr>
          <w:sz w:val="20"/>
          <w:szCs w:val="20"/>
          <w:color w:val="auto"/>
        </w:rPr>
      </w:pPr>
    </w:p>
    <w:p>
      <w:pPr>
        <w:ind w:left="60"/>
        <w:spacing w:after="0" w:line="253"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p>
      <w:pPr>
        <w:sectPr>
          <w:pgSz w:w="11900" w:h="16838" w:orient="portrait"/>
          <w:cols w:equalWidth="0" w:num="1">
            <w:col w:w="11340"/>
          </w:cols>
          <w:pgMar w:left="240" w:top="123"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connection with the Annual Report of Arhaus, Inc. (the “Company”) on Form 10-K for the year ended December 31, 2025 as filed with the Securities and Exchange Commission on the date hereof</w:t>
      </w:r>
    </w:p>
    <w:p>
      <w:pPr>
        <w:spacing w:after="0" w:line="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4"/>
          <w:szCs w:val="14"/>
          <w:color w:val="auto"/>
        </w:rPr>
        <w:t>(the “Report”), I, Michael Lee, Chief Financial Officer of the Company, hereby certify, pursuant to 18 U.S.C. Section 1350, as adopted pursuant to Section 906 of the Sarbanes-Oxley Act of 2002, to the best of my knowledge, that:</w:t>
      </w:r>
    </w:p>
    <w:p>
      <w:pPr>
        <w:spacing w:after="0" w:line="145" w:lineRule="exact"/>
        <w:rPr>
          <w:sz w:val="20"/>
          <w:szCs w:val="20"/>
          <w:color w:val="auto"/>
        </w:rPr>
      </w:pPr>
    </w:p>
    <w:p>
      <w:pPr>
        <w:ind w:left="520" w:hanging="263"/>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6" w:lineRule="exact"/>
        <w:rPr>
          <w:rFonts w:ascii="Times New Roman" w:cs="Times New Roman" w:eastAsia="Times New Roman" w:hAnsi="Times New Roman"/>
          <w:sz w:val="14"/>
          <w:szCs w:val="14"/>
          <w:color w:val="auto"/>
        </w:rPr>
      </w:pPr>
    </w:p>
    <w:p>
      <w:pPr>
        <w:ind w:left="520" w:hanging="263"/>
        <w:spacing w:after="0" w:line="238" w:lineRule="auto"/>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for the dates and periods covered by the Report.</w:t>
      </w:r>
    </w:p>
    <w:p>
      <w:pPr>
        <w:spacing w:after="0" w:line="37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color w:val="auto"/>
        </w:rPr>
        <w:t>/s/ Michael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13970</wp:posOffset>
            </wp:positionV>
            <wp:extent cx="322643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3226435" cy="6985"/>
                    </a:xfrm>
                    <a:prstGeom prst="rect">
                      <a:avLst/>
                    </a:prstGeom>
                    <a:noFill/>
                  </pic:spPr>
                </pic:pic>
              </a:graphicData>
            </a:graphic>
          </wp:anchor>
        </w:drawing>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color w:val="auto"/>
        </w:rPr>
        <w:t>Michael Lee</w:t>
      </w:r>
    </w:p>
    <w:p>
      <w:pPr>
        <w:ind w:left="6040"/>
        <w:spacing w:after="0" w:line="208" w:lineRule="auto"/>
        <w:rPr>
          <w:sz w:val="20"/>
          <w:szCs w:val="20"/>
          <w:color w:val="auto"/>
        </w:rPr>
      </w:pPr>
      <w:r>
        <w:rPr>
          <w:rFonts w:ascii="Times New Roman" w:cs="Times New Roman" w:eastAsia="Times New Roman" w:hAnsi="Times New Roman"/>
          <w:sz w:val="14"/>
          <w:szCs w:val="14"/>
          <w:color w:val="auto"/>
        </w:rPr>
        <w:t>Chief Financial Officer</w:t>
      </w:r>
    </w:p>
    <w:p>
      <w:pPr>
        <w:ind w:left="604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16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and will be retained by, Arhaus, Inc. and furnished to the Securities and Exchange Commission or its staff upon request.</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lvl w:ilvl="1">
      <w:lvlJc w:val="left"/>
      <w:lvlText w:val="\endash "/>
      <w:numFmt w:val="bullet"/>
      <w:start w:val="1"/>
    </w:lvl>
  </w:abstractNum>
  <w:abstractNum w:abstractNumId="10">
    <w:nsid w:val="3A95F874"/>
    <w:multiLevelType w:val="hybridMultilevel"/>
    <w:lvl w:ilvl="0">
      <w:lvlJc w:val="left"/>
      <w:lvlText w:val="•"/>
      <w:numFmt w:val="bullet"/>
      <w:start w:val="1"/>
    </w:lvl>
    <w:lvl w:ilvl="1">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endash "/>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lowerRoman"/>
      <w:start w:val="3"/>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lvl w:ilvl="1">
      <w:lvlJc w:val="left"/>
      <w:lvlText w:val="\endash "/>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12" Type="http://schemas.openxmlformats.org/officeDocument/2006/relationships/image" Target="media/image181.png"/><Relationship Id="rId214" Type="http://schemas.openxmlformats.org/officeDocument/2006/relationships/image" Target="media/image182.png"/><Relationship Id="rId215" Type="http://schemas.openxmlformats.org/officeDocument/2006/relationships/image" Target="media/image183.png"/><Relationship Id="rId216" Type="http://schemas.openxmlformats.org/officeDocument/2006/relationships/image" Target="media/image184.png"/><Relationship Id="rId217" Type="http://schemas.openxmlformats.org/officeDocument/2006/relationships/image" Target="media/image185.png"/><Relationship Id="rId218" Type="http://schemas.openxmlformats.org/officeDocument/2006/relationships/image" Target="media/image186.png"/><Relationship Id="rId219" Type="http://schemas.openxmlformats.org/officeDocument/2006/relationships/image" Target="media/image187.png"/><Relationship Id="rId220" Type="http://schemas.openxmlformats.org/officeDocument/2006/relationships/image" Target="media/image188.png"/><Relationship Id="rId221" Type="http://schemas.openxmlformats.org/officeDocument/2006/relationships/image" Target="media/image189.png"/><Relationship Id="rId222" Type="http://schemas.openxmlformats.org/officeDocument/2006/relationships/image" Target="media/image190.png"/><Relationship Id="rId223"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pn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184" Type="http://schemas.openxmlformats.org/officeDocument/2006/relationships/hyperlink" Target="https://www.sec.gov/Archives/edgar/data/1875444/000187544421000004/exhibit31-arcertificateo.htm" TargetMode="External"/><Relationship Id="rId185" Type="http://schemas.openxmlformats.org/officeDocument/2006/relationships/hyperlink" Target="https://www.sec.gov/Archives/edgar/data/1875444/000187544421000004/exhibit32-arbylawsofarha.htm" TargetMode="External"/><Relationship Id="rId186" Type="http://schemas.openxmlformats.org/officeDocument/2006/relationships/hyperlink" Target="https://www.sec.gov/Archives/edgar/data/1875444/000119312521317589/d183044dex41.htm" TargetMode="External"/><Relationship Id="rId187" Type="http://schemas.openxmlformats.org/officeDocument/2006/relationships/hyperlink" Target="https://www.sec.gov/Archives/edgar/data/1875444/000187544422000017/descriptionofcapitalstock.htm" TargetMode="External"/><Relationship Id="rId190" Type="http://schemas.openxmlformats.org/officeDocument/2006/relationships/hyperlink" Target="https://www.sec.gov/Archives/edgar/data/1875444/000119312522311115/d423598dex41.htm" TargetMode="External"/><Relationship Id="rId191" Type="http://schemas.openxmlformats.org/officeDocument/2006/relationships/hyperlink" Target="https://www.sec.gov/Archives/edgar/data/1875444/000119312521309174/d183044dex101.htm" TargetMode="External"/><Relationship Id="rId192" Type="http://schemas.openxmlformats.org/officeDocument/2006/relationships/hyperlink" Target="https://www.sec.gov/Archives/edgar/data/1875444/000119312521317589/d183044dex102.htm" TargetMode="External"/><Relationship Id="rId193" Type="http://schemas.openxmlformats.org/officeDocument/2006/relationships/hyperlink" Target="https://www.sec.gov/Archives/edgar/data/1875444/000187544422000090/arhausincequityawardnotice.htm" TargetMode="External"/><Relationship Id="rId194" Type="http://schemas.openxmlformats.org/officeDocument/2006/relationships/hyperlink" Target="https://www.sec.gov/Archives/edgar/data/1875444/000187544422000121/ex102arhaus-psuawardagre.htm" TargetMode="External"/><Relationship Id="rId195" Type="http://schemas.openxmlformats.org/officeDocument/2006/relationships/hyperlink" Target="https://www.sec.gov/Archives/edgar/data/1875444/000187544422000121/ex103arhaus-rsuawardagre.htm" TargetMode="External"/><Relationship Id="rId196" Type="http://schemas.openxmlformats.org/officeDocument/2006/relationships/hyperlink" Target="https://www.sec.gov/Archives/edgar/data/1875444/000187544422000121/ex104arhaus-directorrsua.htm" TargetMode="External"/><Relationship Id="rId197" Type="http://schemas.openxmlformats.org/officeDocument/2006/relationships/hyperlink" Target="https://www.sec.gov/Archives/edgar/data/1875444/000119312521291002/d183044dex103.htm" TargetMode="External"/><Relationship Id="rId198" Type="http://schemas.openxmlformats.org/officeDocument/2006/relationships/hyperlink" Target="https://www.sec.gov/Archives/edgar/data/1875444/000119312521291002/d183044dex104.htm" TargetMode="External"/><Relationship Id="rId199" Type="http://schemas.openxmlformats.org/officeDocument/2006/relationships/hyperlink" Target="https://www.sec.gov/Archives/edgar/data/1875444/000119312521291002/d183044dex106.htm" TargetMode="External"/><Relationship Id="rId200" Type="http://schemas.openxmlformats.org/officeDocument/2006/relationships/hyperlink" Target="https://www.sec.gov/Archives/edgar/data/1875444/000119312521291002/d183044dex107.htm" TargetMode="External"/><Relationship Id="rId203" Type="http://schemas.openxmlformats.org/officeDocument/2006/relationships/hyperlink" Target="https://www.sec.gov/Archives/edgar/data/1875444/000119312521291002/d183044dex108.htm" TargetMode="External"/><Relationship Id="rId204" Type="http://schemas.openxmlformats.org/officeDocument/2006/relationships/hyperlink" Target="https://www.sec.gov/Archives/edgar/data/1875444/000187544425000135/a101employmentlettermich.htm" TargetMode="External"/><Relationship Id="rId205" Type="http://schemas.openxmlformats.org/officeDocument/2006/relationships/hyperlink" Target="https://www.sec.gov/Archives/edgar/data/1875444/000187544425000087/a101employmentletterasut.htm" TargetMode="External"/><Relationship Id="rId206" Type="http://schemas.openxmlformats.org/officeDocument/2006/relationships/hyperlink" Target="https://www.sec.gov/Archives/edgar/data/1875444/000187544421000004/exhibit101-creditagreeme.htm" TargetMode="External"/><Relationship Id="rId207" Type="http://schemas.openxmlformats.org/officeDocument/2006/relationships/hyperlink" Target="https://www.sec.gov/Archives/edgar/data/1875444/000187544422000126/firstamendmentandincreasea.htm" TargetMode="External"/><Relationship Id="rId208" Type="http://schemas.openxmlformats.org/officeDocument/2006/relationships/hyperlink" Target="https://www.sec.gov/Archives/edgar/data/1875444/000187544424000136/a101executedsecondamendm.htm" TargetMode="External"/><Relationship Id="rId209" Type="http://schemas.openxmlformats.org/officeDocument/2006/relationships/hyperlink" Target="https://www.sec.gov/Archives/edgar/data/1875444/000187544425000139/a101executedthirdamendme.htm" TargetMode="External"/><Relationship Id="rId210" Type="http://schemas.openxmlformats.org/officeDocument/2006/relationships/hyperlink" Target="https://www.sec.gov/Archives/edgar/data/1875444/000187544424000024/a1016-consultingagreementw.htm" TargetMode="External"/><Relationship Id="rId211" Type="http://schemas.openxmlformats.org/officeDocument/2006/relationships/hyperlink" Target="https://www.sec.gov/Archives/edgar/data/1875444/000187544425000021/exhibit191-arhausincxinsid.htm" TargetMode="External"/><Relationship Id="rId213" Type="http://schemas.openxmlformats.org/officeDocument/2006/relationships/hyperlink" Target="https://www.sec.gov/Archives/edgar/data/1875444/000187544424000024/a971-compensationrecovery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2026-02-26T05:42:44Z</dcterms:created>
  <dcterms:modified xsi:type="dcterms:W3CDTF">2026-02-26T05:42:44Z</dcterms:modified>
</cp:coreProperties>
</file>