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30,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Arhaus,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001-41009</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87-1729256</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bl>
    <w:p>
      <w:pPr>
        <w:pStyle w:val="TextBody"/>
        <w:bidi w:val="0"/>
        <w:spacing w:lineRule="auto" w:line="288" w:before="40" w:after="120"/>
        <w:jc w:val="center"/>
        <w:rPr>
          <w:rFonts w:ascii="Times New Roman;serif" w:hAnsi="Times New Roman;serif"/>
          <w:b/>
          <w:color w:val="000000"/>
          <w:sz w:val="20"/>
        </w:rPr>
      </w:pPr>
      <w:r>
        <w:rPr>
          <w:rFonts w:ascii="Times New Roman;serif" w:hAnsi="Times New Roman;serif"/>
          <w:b/>
          <w:color w:val="000000"/>
          <w:sz w:val="20"/>
        </w:rPr>
        <w:t>51 E. Hines Hill Road, Boston Heights, Ohio</w:t>
      </w:r>
    </w:p>
    <w:p>
      <w:pPr>
        <w:pStyle w:val="TextBody"/>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40" w:after="2"/>
        <w:jc w:val="center"/>
        <w:rPr>
          <w:rFonts w:ascii="Times New Roman;serif" w:hAnsi="Times New Roman;serif"/>
          <w:b/>
          <w:color w:val="000000"/>
          <w:sz w:val="20"/>
        </w:rPr>
      </w:pPr>
      <w:r>
        <w:rPr>
          <w:rFonts w:ascii="Times New Roman;serif" w:hAnsi="Times New Roman;serif"/>
          <w:b/>
          <w:color w:val="000000"/>
          <w:sz w:val="20"/>
        </w:rPr>
        <w:t>44236</w:t>
      </w:r>
    </w:p>
    <w:p>
      <w:pPr>
        <w:pStyle w:val="TextBody"/>
        <w:bidi w:val="0"/>
        <w:spacing w:lineRule="auto" w:line="288" w:before="4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300" w:before="200" w:after="2"/>
        <w:jc w:val="center"/>
        <w:rPr>
          <w:rFonts w:ascii="Times New Roman;serif" w:hAnsi="Times New Roman;serif"/>
          <w:b/>
          <w:color w:val="000000"/>
          <w:sz w:val="20"/>
        </w:rPr>
      </w:pPr>
      <w:r>
        <w:rPr>
          <w:rFonts w:ascii="Times New Roman;serif" w:hAnsi="Times New Roman;serif"/>
          <w:b/>
          <w:color w:val="000000"/>
          <w:sz w:val="20"/>
        </w:rPr>
        <w:t>(440) 439-7700</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737" w:type="dxa"/>
        <w:jc w:val="left"/>
        <w:tblInd w:w="0" w:type="dxa"/>
        <w:tblLayout w:type="fixed"/>
        <w:tblCellMar>
          <w:top w:w="28" w:type="dxa"/>
          <w:left w:w="28" w:type="dxa"/>
          <w:bottom w:w="28" w:type="dxa"/>
          <w:right w:w="28" w:type="dxa"/>
        </w:tblCellMar>
      </w:tblPr>
      <w:tblGrid>
        <w:gridCol w:w="1582"/>
        <w:gridCol w:w="1391"/>
        <w:gridCol w:w="1391"/>
        <w:gridCol w:w="516"/>
        <w:gridCol w:w="516"/>
        <w:gridCol w:w="516"/>
        <w:gridCol w:w="1120"/>
        <w:gridCol w:w="1120"/>
        <w:gridCol w:w="1585"/>
      </w:tblGrid>
      <w:tr>
        <w:trPr/>
        <w:tc>
          <w:tcPr>
            <w:tcW w:w="158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73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3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Class A common stock, $0.001 par value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ARHS</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or Rule 12b-2 of the Securities Exchange Act of 1934.</w:t>
      </w:r>
    </w:p>
    <w:p>
      <w:pPr>
        <w:pStyle w:val="TextBody"/>
        <w:bidi w:val="0"/>
        <w:spacing w:lineRule="auto" w:line="268" w:before="12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283"/>
        <w:jc w:val="both"/>
        <w:rPr/>
      </w:pPr>
      <w:r>
        <w:rPr>
          <w:rFonts w:ascii="Times New Roman;serif" w:hAnsi="Times New Roman;serif"/>
          <w:b/>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00" w:after="200"/>
        <w:jc w:val="left"/>
        <w:rPr/>
      </w:pPr>
      <w:r>
        <w:rPr>
          <w:rFonts w:ascii="Times New Roman;serif" w:hAnsi="Times New Roman;serif"/>
          <w:b/>
          <w:color w:val="000000"/>
          <w:sz w:val="22"/>
        </w:rPr>
        <w:t>Item 7.01     Regulation FD Disclosure</w:t>
      </w:r>
      <w:r>
        <w:rPr>
          <w:rFonts w:ascii="Times New Roman;serif" w:hAnsi="Times New Roman;serif"/>
          <w:b/>
          <w:color w:val="000000"/>
          <w:sz w:val="22"/>
          <w:shd w:fill="FFFFFF" w:val="clear"/>
        </w:rPr>
        <w:t>.</w:t>
      </w:r>
    </w:p>
    <w:p>
      <w:pPr>
        <w:pStyle w:val="TextBody"/>
        <w:bidi w:val="0"/>
        <w:spacing w:lineRule="auto" w:line="268" w:before="0" w:after="0"/>
        <w:jc w:val="left"/>
        <w:rPr/>
      </w:pPr>
      <w:r>
        <w:rPr>
          <w:rFonts w:ascii="Times New Roman;serif" w:hAnsi="Times New Roman;serif"/>
          <w:b w:val="false"/>
          <w:color w:val="000000"/>
          <w:sz w:val="20"/>
        </w:rPr>
        <w:t xml:space="preserve">On September 30, 2026, </w:t>
      </w:r>
      <w:r>
        <w:rPr>
          <w:rFonts w:ascii="Times New Roman;serif" w:hAnsi="Times New Roman;serif"/>
          <w:b w:val="false"/>
          <w:color w:val="212121"/>
          <w:sz w:val="20"/>
        </w:rPr>
        <w:t>Arhaus, Inc.</w:t>
      </w:r>
      <w:r>
        <w:rPr>
          <w:color w:val="000000"/>
        </w:rPr>
        <w:t xml:space="preserve"> </w:t>
      </w:r>
      <w:r>
        <w:rPr>
          <w:rFonts w:ascii="Times New Roman;serif" w:hAnsi="Times New Roman;serif"/>
          <w:b w:val="false"/>
          <w:color w:val="000000"/>
          <w:sz w:val="20"/>
        </w:rPr>
        <w:t>(the “Company”) issued a press release announcing the appointment of K.C. Moss as the Company’s Chief Digital Officer. A copy of the press release is attached hereto as Exhibit 99.1 and is incorporated herein by reference. This press release, as well as similar press releases that the Company may issue in the future, will be posted in the Investor Relations section of the Company’s website: ir.arhaus.com.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Current Report on Form 8-K (including Exhibit 99.1) is being furnished and shall not be deemed “filed” for purposes of Section 18 of the Securities and Exchange Act of 1934, as amended (the “Exchange Act”), or otherwise subject to the liabilities of that Section. The information contained in this Current Report on Form 8-K shall not be incorporated by reference into any registration statement or other document pursuant to the Securities Act of 1933, as amended, or the Exchange Act, except as shall be expressly set forth by specific reference in any such filing.</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12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8440"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064"/>
        <w:gridCol w:w="2064"/>
        <w:gridCol w:w="2921"/>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do-pressreleasexarhs.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Press release dated September 30, 2026.</w:t>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with Interactive Data File (embedded within the Inline XBRL document).</w:t>
            </w:r>
          </w:p>
        </w:tc>
      </w:tr>
    </w:tbl>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 on this 30th day of September, 2026.</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2833" w:type="dxa"/>
        <w:jc w:val="right"/>
        <w:tblInd w:w="0" w:type="dxa"/>
        <w:tblLayout w:type="fixed"/>
        <w:tblCellMar>
          <w:top w:w="28" w:type="dxa"/>
          <w:left w:w="28" w:type="dxa"/>
          <w:bottom w:w="28" w:type="dxa"/>
          <w:right w:w="28" w:type="dxa"/>
        </w:tblCellMar>
      </w:tblPr>
      <w:tblGrid>
        <w:gridCol w:w="298"/>
        <w:gridCol w:w="263"/>
        <w:gridCol w:w="263"/>
        <w:gridCol w:w="587"/>
        <w:gridCol w:w="587"/>
        <w:gridCol w:w="835"/>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83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ARHAUS, INC.</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Michael Lee</w:t>
            </w:r>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Michael Lee</w:t>
            </w:r>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bookmarkStart w:id="0" w:name="cdo-pressreleasexarhs.htm"/>
      <w:bookmarkStart w:id="1" w:name="kscdopressreleasexarhs"/>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ARHAUS ANNOUNCES K.C. MOSS AS CHIEF DIGITAL OFFICER BOSTON HEIGHTS, Ohio (September 30, 2026)—Arhaus, Inc. (“Arhaus” or the “Company”) (NASDAQ: ARHS), a premium home furnishing brand known for responsibly sourced, artisan-crafted products and heirloom-quality design, today announced the appointment of K.C. Moss as the Company’s first Chief Digital Officer, effective September 30, 2026. Moss will report directly to John Reed, Founder and Chief Executive Officer, and join the Company’s executive leadership team. The creation of the Chief Digital Officer role reflects Arhaus’ focus on accelerating eCommerce growth, expanding the reach of its brand, and creating new and inspiring ways for clients to discover and engage with Arhaus. In this newly created role, Moss will lead the Company’s digital strategy, with responsibility for eCommerce, digital product and experience, personalization, and client data and analytics. “Over the past 40 years, we have built a differentiated luxury home furnishings brand around beautiful, artisan-crafted product, and an exceptional client experience,” said John Reed, Founder and Chief Executive Officer. “As Arhaus continues to grow and reach more clients, we believe the opportunity ahead is significant. Digital will be an important part of how we build on our strengths, deepen client relationships, and capture that opportunity.” Moss brings more than 25 years of experience building and leading digital businesses, with deep expertise across eCommerce, digital product, customer experience, personalization, digital merchandising, and omnichannel capabilities. Her experience building and scaling digital businesses will be instrumental as Arhaus accelerates its eCommerce growth and expands its reach. “Arhaus has built a truly distinctive brand around beautiful, artisan-crafted product, and an omni-luxury client experience,” said K.C. Moss, Chief Digital Officer. “I am excited to build on that strength by creating more seamless and inspiring ways for clients and design professionals to engage with Arhaus, broaden our reach, and deepen client relationships.” About Arhaus Founded in 1986 by Chief Executive Officer John Reed and his father, Arhaus is a premium home furnishings brand built on a simple idea: furniture and décor should be responsibly sourced, lovingly made, and built to last. Arhaus operates a vertically integrated model, designing and sourcing products directly from skilled artisans and carefully selected manufacturing partners around the world, including domestic upholstery production at its own North Carolina manufacturing facility. This approach enables Arhaus to offer a highly exclusive and customizable assortment of heirloom-quality furniture and décor designed to be used and enjoyed for generations. With more than 100 Showroom locations across the United States, Arhaus’ integrated omni-channel model connects every client touchpoint, from Showroom and interior design to eCommerce and catalog, allowing Arhaus to meet clients wherever and however they choose to shop while delivering a highly personalized client-first experience from discovery through delivery. For more information, please visit www.arhaus.com. Investor Contact Tara Atwood Saja Vice President, Head of Investor Relations (440) 439-7700 invest@arhaus.com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1021</Words>
  <Characters>5935</Characters>
  <CharactersWithSpaces>6901</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cdo-pressreleasexarhs</dc:title>
</cp:coreProperties>
</file>