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00" w:after="4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center"/>
              <w:rPr>
                <w:color w:val="000000"/>
              </w:rPr>
            </w:pPr>
            <w:r>
              <w:rPr>
                <w:color w:val="000000"/>
              </w:rPr>
              <w:t>☐</w:t>
            </w:r>
          </w:p>
          <w:p>
            <w:pPr>
              <w:pStyle w:val="TableContents"/>
              <w:bidi w:val="0"/>
              <w:spacing w:before="0" w:after="0"/>
              <w:jc w:val="center"/>
              <w:rPr/>
            </w:pPr>
            <w:r>
              <w:rPr/>
            </w:r>
          </w:p>
        </w:tc>
        <w:tc>
          <w:tcPr>
            <w:tcW w:w="9863"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00" w:after="283"/>
        <w:jc w:val="left"/>
        <w:rPr/>
      </w:pPr>
      <w:r>
        <w:rPr>
          <w:rFonts w:ascii="Times New Roman;serif" w:hAnsi="Times New Roman;serif"/>
          <w:b/>
          <w:color w:val="000000"/>
          <w:sz w:val="20"/>
        </w:rPr>
        <w:t xml:space="preserve">For the transition period from </w:t>
      </w:r>
      <w:r>
        <w:rPr>
          <w:rFonts w:ascii="Times New Roman;serif" w:hAnsi="Times New Roman;serif"/>
          <w:b/>
          <w:color w:val="000000"/>
          <w:sz w:val="20"/>
          <w:shd w:fill="FFFFFF" w:val="clear"/>
        </w:rPr>
        <w:t>to</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001-41009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Arhaus,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4556" w:type="dxa"/>
        <w:jc w:val="left"/>
        <w:tblInd w:w="0" w:type="dxa"/>
        <w:tblLayout w:type="fixed"/>
        <w:tblCellMar>
          <w:top w:w="28" w:type="dxa"/>
          <w:left w:w="28" w:type="dxa"/>
          <w:bottom w:w="28" w:type="dxa"/>
          <w:right w:w="28" w:type="dxa"/>
        </w:tblCellMar>
      </w:tblPr>
      <w:tblGrid>
        <w:gridCol w:w="933"/>
        <w:gridCol w:w="819"/>
        <w:gridCol w:w="828"/>
        <w:gridCol w:w="109"/>
        <w:gridCol w:w="109"/>
        <w:gridCol w:w="109"/>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87-1729256</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 xml:space="preserve">51 E. Hines Hill Road, Boston Heights, Ohio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44236</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(440) 439-7700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703" w:type="dxa"/>
        <w:jc w:val="left"/>
        <w:tblInd w:w="0" w:type="dxa"/>
        <w:tblLayout w:type="fixed"/>
        <w:tblCellMar>
          <w:top w:w="28" w:type="dxa"/>
          <w:left w:w="28" w:type="dxa"/>
          <w:bottom w:w="28" w:type="dxa"/>
          <w:right w:w="28" w:type="dxa"/>
        </w:tblCellMar>
      </w:tblPr>
      <w:tblGrid>
        <w:gridCol w:w="1512"/>
        <w:gridCol w:w="1328"/>
        <w:gridCol w:w="1344"/>
        <w:gridCol w:w="564"/>
        <w:gridCol w:w="564"/>
        <w:gridCol w:w="566"/>
        <w:gridCol w:w="1118"/>
        <w:gridCol w:w="1118"/>
        <w:gridCol w:w="1589"/>
      </w:tblGrid>
      <w:tr>
        <w:trPr/>
        <w:tc>
          <w:tcPr>
            <w:tcW w:w="151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8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$0.001 par value per share</w:t>
            </w:r>
          </w:p>
        </w:tc>
        <w:tc>
          <w:tcPr>
            <w:tcW w:w="169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ARHS</w:t>
            </w:r>
          </w:p>
        </w:tc>
        <w:tc>
          <w:tcPr>
            <w:tcW w:w="3825"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20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20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r>
    </w:tbl>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is a shell company (as defined in Rule 12b-2 of the Act).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May 1, 2026 the registrant had 54,424,464 shares of Class A common stock and 87,115,600 shares of Class B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288" w:type="dxa"/>
        <w:jc w:val="right"/>
        <w:tblInd w:w="0" w:type="dxa"/>
        <w:tblLayout w:type="fixed"/>
        <w:tblCellMar>
          <w:top w:w="28" w:type="dxa"/>
          <w:left w:w="28" w:type="dxa"/>
          <w:bottom w:w="28" w:type="dxa"/>
          <w:right w:w="28" w:type="dxa"/>
        </w:tblCellMar>
      </w:tblPr>
      <w:tblGrid>
        <w:gridCol w:w="491"/>
        <w:gridCol w:w="431"/>
        <w:gridCol w:w="431"/>
        <w:gridCol w:w="2445"/>
        <w:gridCol w:w="2445"/>
        <w:gridCol w:w="2474"/>
        <w:gridCol w:w="167"/>
        <w:gridCol w:w="167"/>
        <w:gridCol w:w="237"/>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717" w:type="dxa"/>
            <w:gridSpan w:val="6"/>
            <w:tcBorders/>
            <w:shd w:fill="CCEEFF" w:val="clear"/>
            <w:tcMar>
              <w:top w:w="0" w:type="dxa"/>
              <w:left w:w="0" w:type="dxa"/>
              <w:bottom w:w="0" w:type="dxa"/>
              <w:right w:w="0" w:type="dxa"/>
            </w:tcMar>
            <w:vAlign w:val="center"/>
          </w:tcPr>
          <w:p>
            <w:pPr>
              <w:pStyle w:val="TableContents"/>
              <w:bidi w:val="0"/>
              <w:spacing w:lineRule="auto" w:line="240" w:before="200" w:after="283"/>
              <w:jc w:val="left"/>
              <w:rPr/>
            </w:pPr>
            <w:hyperlink w:anchor="i98024a62c19043d5a636a81a5d62d5e9_10">
              <w:r>
                <w:rPr>
                  <w:rStyle w:val="InternetLink"/>
                  <w:rFonts w:ascii="Times New Roman;serif" w:hAnsi="Times New Roman;serif"/>
                  <w:b/>
                  <w:color w:val="0000FF"/>
                  <w:sz w:val="20"/>
                  <w:u w:val="single"/>
                </w:rPr>
                <w:t>Part I - Financial Information</w:t>
              </w:r>
            </w:hyperlink>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98024a62c19043d5a636a81a5d62d5e9_10">
              <w:r>
                <w:rPr>
                  <w:rStyle w:val="InternetLink"/>
                  <w:rFonts w:ascii="Times New Roman;serif" w:hAnsi="Times New Roman;serif"/>
                  <w:b w:val="false"/>
                  <w:strike w:val="false"/>
                  <w:dstrike w:val="false"/>
                  <w:color w:val="000000"/>
                  <w:sz w:val="20"/>
                  <w:u w:val="none"/>
                  <w:effect w:val="none"/>
                </w:rPr>
                <w:t>2</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3">
              <w:r>
                <w:rPr>
                  <w:rStyle w:val="InternetLink"/>
                  <w:rFonts w:ascii="Times New Roman;serif" w:hAnsi="Times New Roman;serif"/>
                  <w:b w:val="false"/>
                  <w:color w:val="0000FF"/>
                  <w:sz w:val="20"/>
                  <w:u w:val="singl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3">
              <w:r>
                <w:rPr>
                  <w:rStyle w:val="InternetLink"/>
                  <w:rFonts w:ascii="Times New Roman;serif" w:hAnsi="Times New Roman;serif"/>
                  <w:b w:val="false"/>
                  <w:color w:val="0000FF"/>
                  <w:sz w:val="20"/>
                  <w:u w:val="single"/>
                </w:rPr>
                <w:t>Financial Statements of Arhaus, Inc. and Subsidiaries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8024a62c19043d5a636a81a5d62d5e9_13">
              <w:r>
                <w:rPr>
                  <w:rStyle w:val="InternetLink"/>
                  <w:rFonts w:ascii="Times New Roman;serif" w:hAnsi="Times New Roman;serif"/>
                  <w:b w:val="false"/>
                  <w:strike w:val="false"/>
                  <w:dstrike w:val="false"/>
                  <w:color w:val="000000"/>
                  <w:sz w:val="20"/>
                  <w:u w:val="none"/>
                  <w:effect w:val="none"/>
                </w:rPr>
                <w:t>2</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6">
              <w:r>
                <w:rPr>
                  <w:rStyle w:val="InternetLink"/>
                  <w:rFonts w:ascii="Times New Roman;serif" w:hAnsi="Times New Roman;serif"/>
                  <w:b w:val="false"/>
                  <w:color w:val="0000FF"/>
                  <w:sz w:val="20"/>
                  <w:u w:val="single"/>
                </w:rPr>
                <w:t>Condensed Consolidated Balance Sheets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8024a62c19043d5a636a81a5d62d5e9_16">
              <w:r>
                <w:rPr>
                  <w:rStyle w:val="InternetLink"/>
                  <w:rFonts w:ascii="Times New Roman;serif" w:hAnsi="Times New Roman;serif"/>
                  <w:b w:val="false"/>
                  <w:strike w:val="false"/>
                  <w:dstrike w:val="false"/>
                  <w:color w:val="000000"/>
                  <w:sz w:val="20"/>
                  <w:u w:val="none"/>
                  <w:effect w:val="none"/>
                </w:rPr>
                <w:t>2</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9">
              <w:r>
                <w:rPr>
                  <w:rStyle w:val="InternetLink"/>
                  <w:rFonts w:ascii="Times New Roman;serif" w:hAnsi="Times New Roman;serif"/>
                  <w:b w:val="false"/>
                  <w:color w:val="0000FF"/>
                  <w:sz w:val="20"/>
                  <w:u w:val="single"/>
                </w:rPr>
                <w:t>Condensed Consolidated Statements of Comprehensive Income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8024a62c19043d5a636a81a5d62d5e9_19">
              <w:r>
                <w:rPr>
                  <w:rStyle w:val="InternetLink"/>
                  <w:rFonts w:ascii="Times New Roman;serif" w:hAnsi="Times New Roman;serif"/>
                  <w:b w:val="false"/>
                  <w:strike w:val="false"/>
                  <w:dstrike w:val="false"/>
                  <w:color w:val="000000"/>
                  <w:sz w:val="20"/>
                  <w:u w:val="none"/>
                  <w:effect w:val="none"/>
                </w:rPr>
                <w:t>3</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22">
              <w:r>
                <w:rPr>
                  <w:rStyle w:val="InternetLink"/>
                  <w:rFonts w:ascii="Times New Roman;serif" w:hAnsi="Times New Roman;serif"/>
                  <w:b w:val="false"/>
                  <w:color w:val="0000FF"/>
                  <w:sz w:val="20"/>
                  <w:u w:val="single"/>
                </w:rPr>
                <w:t>Condensed Consolidated Statements of Changes in Stockholders’ Equity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8024a62c19043d5a636a81a5d62d5e9_22">
              <w:r>
                <w:rPr>
                  <w:rStyle w:val="InternetLink"/>
                  <w:rFonts w:ascii="Times New Roman;serif" w:hAnsi="Times New Roman;serif"/>
                  <w:b w:val="false"/>
                  <w:strike w:val="false"/>
                  <w:dstrike w:val="false"/>
                  <w:color w:val="000000"/>
                  <w:sz w:val="20"/>
                  <w:u w:val="none"/>
                  <w:effect w:val="none"/>
                </w:rPr>
                <w:t>4</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25">
              <w:r>
                <w:rPr>
                  <w:rStyle w:val="InternetLink"/>
                  <w:rFonts w:ascii="Times New Roman;serif" w:hAnsi="Times New Roman;serif"/>
                  <w:b w:val="false"/>
                  <w:color w:val="0000FF"/>
                  <w:sz w:val="20"/>
                  <w:u w:val="single"/>
                </w:rPr>
                <w:t>Condensed Consolidated Statements of Cash Flows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8024a62c19043d5a636a81a5d62d5e9_25">
              <w:r>
                <w:rPr>
                  <w:rStyle w:val="InternetLink"/>
                  <w:rFonts w:ascii="Times New Roman;serif" w:hAnsi="Times New Roman;serif"/>
                  <w:b w:val="false"/>
                  <w:strike w:val="false"/>
                  <w:dstrike w:val="false"/>
                  <w:color w:val="000000"/>
                  <w:sz w:val="20"/>
                  <w:u w:val="none"/>
                  <w:effect w:val="none"/>
                </w:rPr>
                <w:t>5</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28">
              <w:r>
                <w:rPr>
                  <w:rStyle w:val="InternetLink"/>
                  <w:rFonts w:ascii="Times New Roman;serif" w:hAnsi="Times New Roman;serif"/>
                  <w:b w:val="false"/>
                  <w:color w:val="0000FF"/>
                  <w:sz w:val="20"/>
                  <w:u w:val="single"/>
                </w:rPr>
                <w:t>Notes to Condensed Consolidated Financial Statements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8024a62c19043d5a636a81a5d62d5e9_28">
              <w:r>
                <w:rPr>
                  <w:rStyle w:val="InternetLink"/>
                  <w:rFonts w:ascii="Times New Roman;serif" w:hAnsi="Times New Roman;serif"/>
                  <w:b w:val="false"/>
                  <w:strike w:val="false"/>
                  <w:dstrike w:val="false"/>
                  <w:color w:val="000000"/>
                  <w:sz w:val="20"/>
                  <w:u w:val="none"/>
                  <w:effect w:val="none"/>
                </w:rPr>
                <w:t>6</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79">
              <w:r>
                <w:rPr>
                  <w:rStyle w:val="InternetLink"/>
                  <w:rFonts w:ascii="Times New Roman;serif" w:hAnsi="Times New Roman;serif"/>
                  <w:b w:val="false"/>
                  <w:color w:val="0000FF"/>
                  <w:sz w:val="20"/>
                  <w:u w:val="singl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8024a62c19043d5a636a81a5d62d5e9_79">
              <w:r>
                <w:rPr>
                  <w:rStyle w:val="InternetLink"/>
                  <w:rFonts w:ascii="Times New Roman;serif" w:hAnsi="Times New Roman;serif"/>
                  <w:b w:val="false"/>
                  <w:strike w:val="false"/>
                  <w:dstrike w:val="false"/>
                  <w:color w:val="000000"/>
                  <w:sz w:val="20"/>
                  <w:u w:val="none"/>
                  <w:effect w:val="none"/>
                </w:rPr>
                <w:t>17</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18">
              <w:r>
                <w:rPr>
                  <w:rStyle w:val="InternetLink"/>
                  <w:rFonts w:ascii="Times New Roman;serif" w:hAnsi="Times New Roman;serif"/>
                  <w:b w:val="false"/>
                  <w:color w:val="0000FF"/>
                  <w:sz w:val="20"/>
                  <w:u w:val="singl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18">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8024a62c19043d5a636a81a5d62d5e9_118">
              <w:r>
                <w:rPr>
                  <w:rStyle w:val="InternetLink"/>
                  <w:rFonts w:ascii="Times New Roman;serif" w:hAnsi="Times New Roman;serif"/>
                  <w:b w:val="false"/>
                  <w:strike w:val="false"/>
                  <w:dstrike w:val="false"/>
                  <w:color w:val="000000"/>
                  <w:sz w:val="20"/>
                  <w:u w:val="none"/>
                  <w:effect w:val="none"/>
                </w:rPr>
                <w:t>26</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30">
              <w:r>
                <w:rPr>
                  <w:rStyle w:val="InternetLink"/>
                  <w:rFonts w:ascii="Times New Roman;serif" w:hAnsi="Times New Roman;serif"/>
                  <w:b w:val="false"/>
                  <w:color w:val="0000FF"/>
                  <w:sz w:val="20"/>
                  <w:u w:val="singl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30">
              <w:r>
                <w:rPr>
                  <w:rStyle w:val="InternetLink"/>
                  <w:rFonts w:ascii="Times New Roman;serif" w:hAnsi="Times New Roman;serif"/>
                  <w:b w:val="false"/>
                  <w:color w:val="0000FF"/>
                  <w:sz w:val="20"/>
                  <w:u w:val="singl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8024a62c19043d5a636a81a5d62d5e9_130">
              <w:r>
                <w:rPr>
                  <w:rStyle w:val="InternetLink"/>
                  <w:rFonts w:ascii="Times New Roman;serif" w:hAnsi="Times New Roman;serif"/>
                  <w:b w:val="false"/>
                  <w:strike w:val="false"/>
                  <w:dstrike w:val="false"/>
                  <w:color w:val="000000"/>
                  <w:sz w:val="20"/>
                  <w:u w:val="none"/>
                  <w:effect w:val="none"/>
                </w:rPr>
                <w:t>26</w:t>
              </w:r>
            </w:hyperlink>
          </w:p>
        </w:tc>
      </w:tr>
      <w:tr>
        <w:trPr/>
        <w:tc>
          <w:tcPr>
            <w:tcW w:w="871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33">
              <w:r>
                <w:rPr>
                  <w:rStyle w:val="InternetLink"/>
                  <w:rFonts w:ascii="Times New Roman;serif" w:hAnsi="Times New Roman;serif"/>
                  <w:b/>
                  <w:color w:val="0000FF"/>
                  <w:sz w:val="20"/>
                  <w:u w:val="single"/>
                </w:rPr>
                <w:t>Part II. 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8024a62c19043d5a636a81a5d62d5e9_133">
              <w:r>
                <w:rPr>
                  <w:rStyle w:val="InternetLink"/>
                  <w:rFonts w:ascii="Times New Roman;serif" w:hAnsi="Times New Roman;serif"/>
                  <w:b w:val="false"/>
                  <w:strike w:val="false"/>
                  <w:dstrike w:val="false"/>
                  <w:color w:val="000000"/>
                  <w:sz w:val="20"/>
                  <w:u w:val="none"/>
                  <w:effect w:val="none"/>
                </w:rPr>
                <w:t>30</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36">
              <w:r>
                <w:rPr>
                  <w:rStyle w:val="InternetLink"/>
                  <w:rFonts w:ascii="Times New Roman;serif" w:hAnsi="Times New Roman;serif"/>
                  <w:b w:val="false"/>
                  <w:color w:val="0000FF"/>
                  <w:sz w:val="20"/>
                  <w:u w:val="singl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36">
              <w:r>
                <w:rPr>
                  <w:rStyle w:val="InternetLink"/>
                  <w:rFonts w:ascii="Times New Roman;serif" w:hAnsi="Times New Roman;serif"/>
                  <w:b w:val="false"/>
                  <w:color w:val="0000FF"/>
                  <w:sz w:val="20"/>
                  <w:u w:val="singl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8024a62c19043d5a636a81a5d62d5e9_136">
              <w:r>
                <w:rPr>
                  <w:rStyle w:val="InternetLink"/>
                  <w:rFonts w:ascii="Times New Roman;serif" w:hAnsi="Times New Roman;serif"/>
                  <w:b w:val="false"/>
                  <w:strike w:val="false"/>
                  <w:dstrike w:val="false"/>
                  <w:color w:val="000000"/>
                  <w:sz w:val="20"/>
                  <w:u w:val="none"/>
                  <w:effect w:val="none"/>
                </w:rPr>
                <w:t>30</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39">
              <w:r>
                <w:rPr>
                  <w:rStyle w:val="InternetLink"/>
                  <w:rFonts w:ascii="Times New Roman;serif" w:hAnsi="Times New Roman;serif"/>
                  <w:b w:val="false"/>
                  <w:color w:val="0000FF"/>
                  <w:sz w:val="20"/>
                  <w:u w:val="single"/>
                </w:rPr>
                <w:t xml:space="preserve">Item 1A. </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39">
              <w:r>
                <w:rPr>
                  <w:rStyle w:val="InternetLink"/>
                  <w:rFonts w:ascii="Times New Roman;serif" w:hAnsi="Times New Roman;serif"/>
                  <w:b w:val="false"/>
                  <w:color w:val="0000FF"/>
                  <w:sz w:val="20"/>
                  <w:u w:val="singl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8024a62c19043d5a636a81a5d62d5e9_139">
              <w:r>
                <w:rPr>
                  <w:rStyle w:val="InternetLink"/>
                  <w:rFonts w:ascii="Times New Roman;serif" w:hAnsi="Times New Roman;serif"/>
                  <w:b w:val="false"/>
                  <w:strike w:val="false"/>
                  <w:dstrike w:val="false"/>
                  <w:color w:val="000000"/>
                  <w:sz w:val="20"/>
                  <w:u w:val="none"/>
                  <w:effect w:val="none"/>
                </w:rPr>
                <w:t>30</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42">
              <w:r>
                <w:rPr>
                  <w:rStyle w:val="InternetLink"/>
                  <w:rFonts w:ascii="Times New Roman;serif" w:hAnsi="Times New Roman;serif"/>
                  <w:b w:val="false"/>
                  <w:color w:val="0000FF"/>
                  <w:sz w:val="20"/>
                  <w:u w:val="singl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42">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8024a62c19043d5a636a81a5d62d5e9_142">
              <w:r>
                <w:rPr>
                  <w:rStyle w:val="InternetLink"/>
                  <w:rFonts w:ascii="Times New Roman;serif" w:hAnsi="Times New Roman;serif"/>
                  <w:b w:val="false"/>
                  <w:strike w:val="false"/>
                  <w:dstrike w:val="false"/>
                  <w:color w:val="000000"/>
                  <w:sz w:val="20"/>
                  <w:u w:val="none"/>
                  <w:effect w:val="none"/>
                </w:rPr>
                <w:t>30</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45">
              <w:r>
                <w:rPr>
                  <w:rStyle w:val="InternetLink"/>
                  <w:rFonts w:ascii="Times New Roman;serif" w:hAnsi="Times New Roman;serif"/>
                  <w:b w:val="false"/>
                  <w:color w:val="0000FF"/>
                  <w:sz w:val="20"/>
                  <w:u w:val="single"/>
                </w:rPr>
                <w:t xml:space="preserve">Item 3. </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45">
              <w:r>
                <w:rPr>
                  <w:rStyle w:val="InternetLink"/>
                  <w:rFonts w:ascii="Times New Roman;serif" w:hAnsi="Times New Roman;serif"/>
                  <w:b w:val="false"/>
                  <w:color w:val="0000FF"/>
                  <w:sz w:val="20"/>
                  <w:u w:val="single"/>
                </w:rPr>
                <w:t>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8024a62c19043d5a636a81a5d62d5e9_145">
              <w:r>
                <w:rPr>
                  <w:rStyle w:val="InternetLink"/>
                  <w:rFonts w:ascii="Times New Roman;serif" w:hAnsi="Times New Roman;serif"/>
                  <w:b w:val="false"/>
                  <w:strike w:val="false"/>
                  <w:dstrike w:val="false"/>
                  <w:color w:val="000000"/>
                  <w:sz w:val="20"/>
                  <w:u w:val="none"/>
                  <w:effect w:val="none"/>
                </w:rPr>
                <w:t>30</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48">
              <w:r>
                <w:rPr>
                  <w:rStyle w:val="InternetLink"/>
                  <w:rFonts w:ascii="Times New Roman;serif" w:hAnsi="Times New Roman;serif"/>
                  <w:b w:val="false"/>
                  <w:color w:val="0000FF"/>
                  <w:sz w:val="20"/>
                  <w:u w:val="singl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48">
              <w:r>
                <w:rPr>
                  <w:rStyle w:val="InternetLink"/>
                  <w:rFonts w:ascii="Times New Roman;serif" w:hAnsi="Times New Roman;serif"/>
                  <w:b w:val="false"/>
                  <w:color w:val="0000FF"/>
                  <w:sz w:val="20"/>
                  <w:u w:val="single"/>
                </w:rPr>
                <w:t>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8024a62c19043d5a636a81a5d62d5e9_148">
              <w:r>
                <w:rPr>
                  <w:rStyle w:val="InternetLink"/>
                  <w:rFonts w:ascii="Times New Roman;serif" w:hAnsi="Times New Roman;serif"/>
                  <w:b w:val="false"/>
                  <w:strike w:val="false"/>
                  <w:dstrike w:val="false"/>
                  <w:color w:val="000000"/>
                  <w:sz w:val="20"/>
                  <w:u w:val="none"/>
                  <w:effect w:val="none"/>
                </w:rPr>
                <w:t>30</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51">
              <w:r>
                <w:rPr>
                  <w:rStyle w:val="InternetLink"/>
                  <w:rFonts w:ascii="Times New Roman;serif" w:hAnsi="Times New Roman;serif"/>
                  <w:b w:val="false"/>
                  <w:color w:val="0000FF"/>
                  <w:sz w:val="20"/>
                  <w:u w:val="singl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51">
              <w:r>
                <w:rPr>
                  <w:rStyle w:val="InternetLink"/>
                  <w:rFonts w:ascii="Times New Roman;serif" w:hAnsi="Times New Roman;serif"/>
                  <w:b w:val="false"/>
                  <w:color w:val="0000FF"/>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8024a62c19043d5a636a81a5d62d5e9_151">
              <w:r>
                <w:rPr>
                  <w:rStyle w:val="InternetLink"/>
                  <w:rFonts w:ascii="Times New Roman;serif" w:hAnsi="Times New Roman;serif"/>
                  <w:b w:val="false"/>
                  <w:strike w:val="false"/>
                  <w:dstrike w:val="false"/>
                  <w:color w:val="000000"/>
                  <w:sz w:val="20"/>
                  <w:u w:val="none"/>
                  <w:effect w:val="none"/>
                </w:rPr>
                <w:t>30</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57">
              <w:r>
                <w:rPr>
                  <w:rStyle w:val="InternetLink"/>
                  <w:rFonts w:ascii="Times New Roman;serif" w:hAnsi="Times New Roman;serif"/>
                  <w:b w:val="false"/>
                  <w:color w:val="0000FF"/>
                  <w:sz w:val="20"/>
                  <w:u w:val="single"/>
                </w:rPr>
                <w:t>Item 6.</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57">
              <w:r>
                <w:rPr>
                  <w:rStyle w:val="InternetLink"/>
                  <w:rFonts w:ascii="Times New Roman;serif" w:hAnsi="Times New Roman;serif"/>
                  <w:b w:val="false"/>
                  <w:color w:val="0000FF"/>
                  <w:sz w:val="20"/>
                  <w:u w:val="single"/>
                </w:rPr>
                <w:t>Exhibits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8024a62c19043d5a636a81a5d62d5e9_157">
              <w:r>
                <w:rPr>
                  <w:rStyle w:val="InternetLink"/>
                  <w:rFonts w:ascii="Times New Roman;serif" w:hAnsi="Times New Roman;serif"/>
                  <w:b w:val="false"/>
                  <w:strike w:val="false"/>
                  <w:dstrike w:val="false"/>
                  <w:color w:val="000000"/>
                  <w:sz w:val="20"/>
                  <w:u w:val="none"/>
                  <w:effect w:val="none"/>
                </w:rPr>
                <w:t>31</w:t>
              </w:r>
            </w:hyperlink>
          </w:p>
        </w:tc>
      </w:tr>
      <w:tr>
        <w:trPr/>
        <w:tc>
          <w:tcPr>
            <w:tcW w:w="871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024a62c19043d5a636a81a5d62d5e9_160">
              <w:r>
                <w:rPr>
                  <w:rStyle w:val="InternetLink"/>
                  <w:rFonts w:ascii="Times New Roman;serif" w:hAnsi="Times New Roman;serif"/>
                  <w:b/>
                  <w:color w:val="0000FF"/>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8024a62c19043d5a636a81a5d62d5e9_160">
              <w:r>
                <w:rPr>
                  <w:rStyle w:val="InternetLink"/>
                  <w:rFonts w:ascii="Times New Roman;serif" w:hAnsi="Times New Roman;serif"/>
                  <w:b w:val="false"/>
                  <w:strike w:val="false"/>
                  <w:dstrike w:val="false"/>
                  <w:color w:val="000000"/>
                  <w:sz w:val="20"/>
                  <w:u w:val="none"/>
                  <w:effect w:val="none"/>
                </w:rPr>
                <w:t>32</w:t>
              </w:r>
            </w:hyperlink>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 of Arhaus, Inc. and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15" w:type="dxa"/>
        <w:jc w:val="left"/>
        <w:tblInd w:w="0" w:type="dxa"/>
        <w:tblLayout w:type="fixed"/>
        <w:tblCellMar>
          <w:top w:w="28" w:type="dxa"/>
          <w:left w:w="28" w:type="dxa"/>
          <w:bottom w:w="28" w:type="dxa"/>
          <w:right w:w="28" w:type="dxa"/>
        </w:tblCellMar>
      </w:tblPr>
      <w:tblGrid>
        <w:gridCol w:w="688"/>
        <w:gridCol w:w="606"/>
        <w:gridCol w:w="606"/>
        <w:gridCol w:w="606"/>
        <w:gridCol w:w="606"/>
        <w:gridCol w:w="606"/>
        <w:gridCol w:w="606"/>
        <w:gridCol w:w="606"/>
        <w:gridCol w:w="885"/>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581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Arhaus, Inc. and Subsidiaries</w:t>
              <w:br/>
              <w:t>Condensed Consolidated Balance Sheets</w:t>
              <w:br/>
              <w:t>(Unaudited, amounts in thousands, except share and per share data)</w:t>
            </w:r>
          </w:p>
        </w:tc>
      </w:tr>
    </w:tbl>
    <w:tbl>
      <w:tblPr>
        <w:tblW w:w="10205" w:type="dxa"/>
        <w:jc w:val="left"/>
        <w:tblInd w:w="0" w:type="dxa"/>
        <w:tblLayout w:type="fixed"/>
        <w:tblCellMar>
          <w:top w:w="28" w:type="dxa"/>
          <w:left w:w="28" w:type="dxa"/>
          <w:bottom w:w="28" w:type="dxa"/>
          <w:right w:w="28" w:type="dxa"/>
        </w:tblCellMar>
      </w:tblPr>
      <w:tblGrid>
        <w:gridCol w:w="2733"/>
        <w:gridCol w:w="2280"/>
        <w:gridCol w:w="2209"/>
        <w:gridCol w:w="211"/>
        <w:gridCol w:w="976"/>
        <w:gridCol w:w="109"/>
        <w:gridCol w:w="109"/>
        <w:gridCol w:w="109"/>
        <w:gridCol w:w="109"/>
        <w:gridCol w:w="211"/>
        <w:gridCol w:w="976"/>
        <w:gridCol w:w="173"/>
      </w:tblGrid>
      <w:tr>
        <w:trPr/>
        <w:tc>
          <w:tcPr>
            <w:tcW w:w="2733"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ind w:left="0" w:right="0" w:firstLine="40"/>
              <w:jc w:val="left"/>
              <w:rPr>
                <w:sz w:val="4"/>
                <w:szCs w:val="4"/>
              </w:rPr>
            </w:pPr>
            <w:r>
              <w:rPr>
                <w:sz w:val="4"/>
                <w:szCs w:val="4"/>
              </w:rPr>
            </w:r>
          </w:p>
        </w:tc>
      </w:tr>
      <w:tr>
        <w:trPr/>
        <w:tc>
          <w:tcPr>
            <w:tcW w:w="7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253,356 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Merchandise inventory,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338,806 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Prepaid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621,374 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391,274 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Financing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0"/>
              <w:jc w:val="left"/>
              <w:rPr>
                <w:rFonts w:ascii="Times New Roman;serif" w:hAnsi="Times New Roman;serif"/>
                <w:b w:val="false"/>
                <w:color w:val="231F20"/>
                <w:sz w:val="20"/>
              </w:rPr>
            </w:pPr>
            <w:r>
              <w:rPr>
                <w:rFonts w:ascii="Times New Roman;serif" w:hAnsi="Times New Roman;serif"/>
                <w:b w:val="false"/>
                <w:color w:val="231F20"/>
                <w:sz w:val="20"/>
              </w:rPr>
              <w:t>Property, furniture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316,216 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Deferred tax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1,394,746 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wages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other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Client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portion of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portion of financing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453,262 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lease liabilities, long-term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467,226 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Financing lease liabilities, long-term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976,518 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Commitments and contingencies (Note 9)</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Class A shares, par value $0.001 per share (600,000,000 shares authorized, 54,912,375 shares issued and 54,206,609 outstanding as of March 31, 2026; 54,565,242 shares issued and 53,969,149 outstanding as of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Class B shares, par value $0.001 per share (100,000,000 shares authorized, 87,115,600 shares issued and outstanding as of March 31, 2026; 87,115,600 shares issued and outstanding as of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210,365 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418,228 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1,394,746 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2580"/>
                <wp:effectExtent l="0" t="0" r="0" b="0"/>
                <wp:wrapNone/>
                <wp:docPr id="3" name="Frame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5819" w:type="dxa"/>
        <w:jc w:val="center"/>
        <w:tblInd w:w="0" w:type="dxa"/>
        <w:tblLayout w:type="fixed"/>
        <w:tblCellMar>
          <w:top w:w="28" w:type="dxa"/>
          <w:left w:w="28" w:type="dxa"/>
          <w:bottom w:w="28" w:type="dxa"/>
          <w:right w:w="28" w:type="dxa"/>
        </w:tblCellMar>
      </w:tblPr>
      <w:tblGrid>
        <w:gridCol w:w="693"/>
        <w:gridCol w:w="607"/>
        <w:gridCol w:w="607"/>
        <w:gridCol w:w="607"/>
        <w:gridCol w:w="607"/>
        <w:gridCol w:w="607"/>
        <w:gridCol w:w="607"/>
        <w:gridCol w:w="607"/>
        <w:gridCol w:w="877"/>
      </w:tblGrid>
      <w:tr>
        <w:trPr/>
        <w:tc>
          <w:tcPr>
            <w:tcW w:w="69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58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 amounts in thousands, except share and per share data)</w:t>
            </w:r>
          </w:p>
        </w:tc>
      </w:tr>
    </w:tbl>
    <w:tbl>
      <w:tblPr>
        <w:tblW w:w="8422" w:type="dxa"/>
        <w:jc w:val="left"/>
        <w:tblInd w:w="0" w:type="dxa"/>
        <w:tblLayout w:type="fixed"/>
        <w:tblCellMar>
          <w:top w:w="28" w:type="dxa"/>
          <w:left w:w="28" w:type="dxa"/>
          <w:bottom w:w="28" w:type="dxa"/>
          <w:right w:w="28" w:type="dxa"/>
        </w:tblCellMar>
      </w:tblPr>
      <w:tblGrid>
        <w:gridCol w:w="1976"/>
        <w:gridCol w:w="1740"/>
        <w:gridCol w:w="1744"/>
        <w:gridCol w:w="241"/>
        <w:gridCol w:w="945"/>
        <w:gridCol w:w="109"/>
        <w:gridCol w:w="109"/>
        <w:gridCol w:w="109"/>
        <w:gridCol w:w="109"/>
        <w:gridCol w:w="241"/>
        <w:gridCol w:w="945"/>
        <w:gridCol w:w="154"/>
      </w:tblGrid>
      <w:tr>
        <w:trPr/>
        <w:tc>
          <w:tcPr>
            <w:tcW w:w="1976"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231F20"/>
                <w:sz w:val="20"/>
              </w:rPr>
            </w:pPr>
            <w:r>
              <w:rPr>
                <w:rFonts w:ascii="Times New Roman;serif" w:hAnsi="Times New Roman;serif"/>
                <w:b/>
                <w:color w:val="231F20"/>
                <w:sz w:val="20"/>
              </w:rPr>
              <w:t>Net and comprehensive income per share, basic</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140,966,908 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140,361,588 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per share, basic</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231F20"/>
                <w:sz w:val="20"/>
              </w:rPr>
            </w:pPr>
            <w:r>
              <w:rPr>
                <w:rFonts w:ascii="Times New Roman;serif" w:hAnsi="Times New Roman;serif"/>
                <w:b/>
                <w:color w:val="231F20"/>
                <w:sz w:val="20"/>
              </w:rPr>
              <w:t>Net and comprehensive income per share, diluted</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141,741,874 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141,090,633 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per share, diluted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74980"/>
                <wp:effectExtent l="0" t="0" r="0" b="0"/>
                <wp:wrapNone/>
                <wp:docPr id="4" name="Frame4"/>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6193" w:type="dxa"/>
        <w:jc w:val="left"/>
        <w:tblInd w:w="0" w:type="dxa"/>
        <w:tblLayout w:type="fixed"/>
        <w:tblCellMar>
          <w:top w:w="28" w:type="dxa"/>
          <w:left w:w="28" w:type="dxa"/>
          <w:bottom w:w="28" w:type="dxa"/>
          <w:right w:w="28" w:type="dxa"/>
        </w:tblCellMar>
      </w:tblPr>
      <w:tblGrid>
        <w:gridCol w:w="736"/>
        <w:gridCol w:w="647"/>
        <w:gridCol w:w="647"/>
        <w:gridCol w:w="647"/>
        <w:gridCol w:w="647"/>
        <w:gridCol w:w="647"/>
        <w:gridCol w:w="647"/>
        <w:gridCol w:w="647"/>
        <w:gridCol w:w="928"/>
      </w:tblGrid>
      <w:tr>
        <w:trPr/>
        <w:tc>
          <w:tcPr>
            <w:tcW w:w="7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61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 amounts in thousands)</w:t>
            </w:r>
          </w:p>
        </w:tc>
      </w:tr>
    </w:tbl>
    <w:tbl>
      <w:tblPr>
        <w:tblW w:w="12043" w:type="dxa"/>
        <w:jc w:val="left"/>
        <w:tblInd w:w="0" w:type="dxa"/>
        <w:tblLayout w:type="fixed"/>
        <w:tblCellMar>
          <w:top w:w="28" w:type="dxa"/>
          <w:left w:w="28" w:type="dxa"/>
          <w:bottom w:w="28" w:type="dxa"/>
          <w:right w:w="28" w:type="dxa"/>
        </w:tblCellMar>
      </w:tblPr>
      <w:tblGrid>
        <w:gridCol w:w="544"/>
        <w:gridCol w:w="268"/>
        <w:gridCol w:w="269"/>
        <w:gridCol w:w="330"/>
        <w:gridCol w:w="331"/>
        <w:gridCol w:w="196"/>
        <w:gridCol w:w="109"/>
        <w:gridCol w:w="109"/>
        <w:gridCol w:w="109"/>
        <w:gridCol w:w="208"/>
        <w:gridCol w:w="367"/>
        <w:gridCol w:w="116"/>
        <w:gridCol w:w="109"/>
        <w:gridCol w:w="109"/>
        <w:gridCol w:w="109"/>
        <w:gridCol w:w="330"/>
        <w:gridCol w:w="331"/>
        <w:gridCol w:w="196"/>
        <w:gridCol w:w="109"/>
        <w:gridCol w:w="109"/>
        <w:gridCol w:w="109"/>
        <w:gridCol w:w="208"/>
        <w:gridCol w:w="367"/>
        <w:gridCol w:w="116"/>
        <w:gridCol w:w="109"/>
        <w:gridCol w:w="109"/>
        <w:gridCol w:w="109"/>
        <w:gridCol w:w="218"/>
        <w:gridCol w:w="218"/>
        <w:gridCol w:w="196"/>
        <w:gridCol w:w="109"/>
        <w:gridCol w:w="109"/>
        <w:gridCol w:w="109"/>
        <w:gridCol w:w="196"/>
        <w:gridCol w:w="406"/>
        <w:gridCol w:w="109"/>
        <w:gridCol w:w="109"/>
        <w:gridCol w:w="109"/>
        <w:gridCol w:w="109"/>
        <w:gridCol w:w="196"/>
        <w:gridCol w:w="751"/>
        <w:gridCol w:w="109"/>
        <w:gridCol w:w="109"/>
        <w:gridCol w:w="109"/>
        <w:gridCol w:w="109"/>
        <w:gridCol w:w="196"/>
        <w:gridCol w:w="751"/>
        <w:gridCol w:w="109"/>
        <w:gridCol w:w="109"/>
        <w:gridCol w:w="109"/>
        <w:gridCol w:w="109"/>
        <w:gridCol w:w="203"/>
        <w:gridCol w:w="779"/>
        <w:gridCol w:w="114"/>
        <w:gridCol w:w="109"/>
        <w:gridCol w:w="109"/>
        <w:gridCol w:w="109"/>
        <w:gridCol w:w="109"/>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3"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Balances as of December 31,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53,905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87,116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210,365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207,722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418,228</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2,223 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Equity 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2,645 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to cover employees’ withholding taxes for equity 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(867)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(50,379)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(49,544)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Balances as of March 31, 2026</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54,143</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54</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87,116</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706</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162,209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210,335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372,685</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3"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 xml:space="preserve">Retained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Balances as of December 31, 2024</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53,289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87,116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142,898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200,707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343,745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4,882 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 capital contribution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Equity 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1,595 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to cover employees’ withholding taxes for equity 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(159)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(1,458)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Balances as of March 31,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53,608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87,116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482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147,840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200,847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348,828</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74980"/>
                <wp:effectExtent l="0" t="0" r="0" b="0"/>
                <wp:wrapNone/>
                <wp:docPr id="5" name="Frame5"/>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4404" w:type="dxa"/>
        <w:jc w:val="center"/>
        <w:tblInd w:w="0" w:type="dxa"/>
        <w:tblLayout w:type="fixed"/>
        <w:tblCellMar>
          <w:top w:w="28" w:type="dxa"/>
          <w:left w:w="28" w:type="dxa"/>
          <w:bottom w:w="28" w:type="dxa"/>
          <w:right w:w="28" w:type="dxa"/>
        </w:tblCellMar>
      </w:tblPr>
      <w:tblGrid>
        <w:gridCol w:w="521"/>
        <w:gridCol w:w="459"/>
        <w:gridCol w:w="459"/>
        <w:gridCol w:w="459"/>
        <w:gridCol w:w="459"/>
        <w:gridCol w:w="459"/>
        <w:gridCol w:w="459"/>
        <w:gridCol w:w="459"/>
        <w:gridCol w:w="670"/>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Arhaus, Inc. and Subsidiaries</w:t>
            </w:r>
          </w:p>
          <w:p>
            <w:pPr>
              <w:pStyle w:val="TableContents"/>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 amounts in thousands)</w:t>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92"/>
        <w:gridCol w:w="2276"/>
        <w:gridCol w:w="2292"/>
        <w:gridCol w:w="211"/>
        <w:gridCol w:w="826"/>
        <w:gridCol w:w="109"/>
        <w:gridCol w:w="202"/>
        <w:gridCol w:w="202"/>
        <w:gridCol w:w="202"/>
        <w:gridCol w:w="211"/>
        <w:gridCol w:w="826"/>
        <w:gridCol w:w="156"/>
      </w:tblGrid>
      <w:tr>
        <w:trPr/>
        <w:tc>
          <w:tcPr>
            <w:tcW w:w="2692"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7260"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520"/>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11,362 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10,046 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fees, interest on finance lease in excess of principal paid and interest on operating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6,902 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cloud computing arrangements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insurance claims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(8,685)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(13,926)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Client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42,333 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46,515 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furniture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(27,621)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proceeds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(27,621)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under finance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 for payment of withholding taxes for equity 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 payments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(1,909)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(76,145)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16,985 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200,929 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180,335 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217,914 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in cash</w:t>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received in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in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furniture and equipment in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74980"/>
                <wp:effectExtent l="0" t="0" r="0" b="0"/>
                <wp:wrapNone/>
                <wp:docPr id="6" name="Frame6"/>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
        </w:rPr>
      </w:pPr>
      <w:r>
        <w:rPr>
          <w:rFonts w:ascii="Arial;sans-serif" w:hAnsi="Arial;sans-serif"/>
          <w:b w:val="false"/>
          <w:color w:val="000000"/>
          <w:sz w:val="2"/>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1. Nature of Business and Basis of Presentation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Nature of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Arhaus, Inc. (“Arhaus,” “Company,” “we,” “us” or “our”) is a Delaware corporation and is a premium retailer in the home furnishings market, specializing in livable luxury supported by heirloom quality merchandise. We offer merchandise across a broad range of categories, including furniture, outdoor, bath, lighting, textiles, and décor. Our curated assortments are presented across our sales channels in sophisticated, family-friendly and lifestyle-oriented settings. Showrooms are immersive, design-forward spaces that serve as an important driver of brand awareness and client engagement, while our eCommerce channel functions as a seamless extension of the physical Showroom experience. The Company operated 107 Showrooms as of March 31, 2026.</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have been prepared in conformity with accounting principles generally accepted in the United States of America (“U.S. GAAP”). The accompanying condensed consolidated financial statements include our accounts and those of our wholly owned subsidiaries. Accordingly, all intercompany balances and transactions have been eliminated through the consolidation process.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accompanying condensed consolidated balance sheets at March 31, 2026 and December 31, 2025, the condensed consolidated statements of comprehensive income, changes in stockholders’ equity and cash flows for the </w:t>
      </w:r>
      <w:r>
        <w:rPr>
          <w:rFonts w:ascii="Times New Roman;serif" w:hAnsi="Times New Roman;serif"/>
          <w:b w:val="false"/>
          <w:color w:val="000000"/>
          <w:sz w:val="20"/>
        </w:rPr>
        <w:t>three months ended March 31, 2026 and March 31, 2025,</w:t>
      </w:r>
      <w:r>
        <w:rPr>
          <w:color w:val="000000"/>
          <w:shd w:fill="FFFFFF" w:val="clear"/>
        </w:rPr>
        <w:t xml:space="preserve"> </w:t>
      </w:r>
      <w:r>
        <w:rPr>
          <w:rFonts w:ascii="Times New Roman;serif" w:hAnsi="Times New Roman;serif"/>
          <w:b w:val="false"/>
          <w:color w:val="000000"/>
          <w:sz w:val="20"/>
          <w:shd w:fill="FFFFFF" w:val="clear"/>
        </w:rPr>
        <w:t xml:space="preserve">and the related interim condensed consolidated disclosures are unaudited and have been prepared pursuant to the rules and regulations of the Securities and Exchange Commission (“SEC”) for interim financial information. Accordingly, they do not include all of the information and footnotes required by U.S. GAAP for complete financial statements. </w:t>
      </w:r>
    </w:p>
    <w:p>
      <w:pPr>
        <w:pStyle w:val="TextBody"/>
        <w:bidi w:val="0"/>
        <w:spacing w:lineRule="auto" w:line="288" w:before="200" w:after="283"/>
        <w:jc w:val="left"/>
        <w:rPr/>
      </w:pPr>
      <w:r>
        <w:rPr>
          <w:rFonts w:ascii="Times New Roman;serif" w:hAnsi="Times New Roman;serif"/>
          <w:b w:val="false"/>
          <w:color w:val="000000"/>
          <w:sz w:val="20"/>
          <w:shd w:fill="FFFFFF" w:val="clear"/>
        </w:rPr>
        <w:t>In management’s opinion, the accompanying condensed consolidated financial statements contain all adjustments, consisting of normal recurring adjustments, necessary for a fair statement of the Company’s financial position at March 31, 2026 and the results of operations, changes in stockholders’ equity and cash flows for the</w:t>
      </w:r>
      <w:r>
        <w:rPr>
          <w:color w:val="000000"/>
        </w:rPr>
        <w:t xml:space="preserve"> </w:t>
      </w:r>
      <w:r>
        <w:rPr>
          <w:rFonts w:ascii="Times New Roman;serif" w:hAnsi="Times New Roman;serif"/>
          <w:b w:val="false"/>
          <w:color w:val="000000"/>
          <w:sz w:val="20"/>
        </w:rPr>
        <w:t>three months ended March 31, 2026</w:t>
      </w:r>
      <w:r>
        <w:rPr>
          <w:rFonts w:ascii="Times New Roman;serif" w:hAnsi="Times New Roman;serif"/>
          <w:b w:val="false"/>
          <w:color w:val="000000"/>
          <w:sz w:val="20"/>
          <w:shd w:fill="FFFFFF" w:val="clear"/>
        </w:rPr>
        <w:t>. The condensed consolidated balance sheet as of December 31, 2025 included herein was derived from audited financial statements,</w:t>
      </w:r>
      <w:r>
        <w:rPr>
          <w:color w:val="000000"/>
        </w:rPr>
        <w:t xml:space="preserve"> </w:t>
      </w:r>
      <w:r>
        <w:rPr>
          <w:rFonts w:ascii="Times New Roman;serif" w:hAnsi="Times New Roman;serif"/>
          <w:b w:val="false"/>
          <w:color w:val="000000"/>
          <w:sz w:val="20"/>
        </w:rPr>
        <w:t xml:space="preserve">but does not include all disclosures required by U.S. GAAP. </w:t>
      </w:r>
    </w:p>
    <w:p>
      <w:pPr>
        <w:pStyle w:val="TextBody"/>
        <w:bidi w:val="0"/>
        <w:spacing w:lineRule="auto" w:line="288" w:before="200" w:after="283"/>
        <w:jc w:val="left"/>
        <w:rPr/>
      </w:pPr>
      <w:r>
        <w:rPr>
          <w:rFonts w:ascii="Times New Roman;serif" w:hAnsi="Times New Roman;serif"/>
          <w:b w:val="false"/>
          <w:color w:val="000000"/>
          <w:sz w:val="20"/>
        </w:rPr>
        <w:t xml:space="preserve">The results for the three months ended March 31, 2026 and March 31, 2025 are not necessarily indicative of the operating results to be expected for the full fiscal year or any future period. Certain information and footnote disclosures normally included in annual financial statements prepared in accordance with U.S. GAAP have been condensed or omitted. Therefore, these condensed consolidated financial statements should be read in conjunction with the consolidated financial statements and notes thereto included in our Annual Report on Form 10-K for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our condensed consolidated financial statements in conformity with U.S. GAAP requires management to make estimates and assumptions that affect the reported amounts of assets and liabilities, disclosures of contingent assets and liabilities at the date of the condensed consolidated financial statements and the reported amounts of revenues and expenses during the reporting period. Actual results could differ from those estimates. </w:t>
      </w:r>
    </w:p>
    <w:p>
      <w:pPr>
        <w:pStyle w:val="TextBody"/>
        <w:bidi w:val="0"/>
        <w:spacing w:lineRule="auto" w:line="288" w:before="200" w:after="283"/>
        <w:jc w:val="left"/>
        <w:rPr/>
      </w:pPr>
      <w:r>
        <w:rPr>
          <w:rFonts w:ascii="Times New Roman;serif" w:hAnsi="Times New Roman;serif"/>
          <w:b w:val="false"/>
          <w:color w:val="000000"/>
          <w:sz w:val="20"/>
        </w:rPr>
        <w:t xml:space="preserve">The accounting estimates and other matters included within our condensed consolidated financial statements and notes to the condensed consolidated financial statements we have assessed include, but were not limited to, revenue recognition, including a reserve for merchandise returns, inventory reserves, impairment of long-lived assets and fair value of financial instruments which include, but are not limited to, </w:t>
      </w:r>
      <w:r>
        <w:rPr>
          <w:rFonts w:ascii="Times New Roman;serif" w:hAnsi="Times New Roman;serif"/>
          <w:b w:val="false"/>
          <w:color w:val="000000"/>
          <w:sz w:val="20"/>
          <w:shd w:fill="FFFFFF" w:val="clear"/>
        </w:rPr>
        <w:t xml:space="preserve">accounts receivable, payables and lease obligations.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Client Deposits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Client deposits represent payments made by clients on orders. At the time of order, the Company collects deposits for all orders equivalent to at least 50 percent of the clients’ purchase price. Orders are recognized as revenue when the merchandise is delivered to the client and at the time of delivery the client deposit is no longer recorded as a liability.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Company expects substantially all client deposits as of March 31, 2026 will be recognized as net revenue within the next 12 months as the performance obligations are satisfied.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Gift Cards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sells gift cards to clients in our Showrooms. Such gift cards do not have expiration dates. We defer revenue when payments are received in advance of performance for unsatisfied obligations related to our gift cards. The liability related to unredeemed gift cards at March 31, 2026 and December 31, 2025 of $0.5 million and $0.6 million, respectively, is recorded in the accrued other expenses line item of the condensed consolidated balance sheets. The Company recognizes income associated with breakage proportional to actual gift card redemptions.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Fair Values of Financial Instruments</w:t>
      </w:r>
    </w:p>
    <w:p>
      <w:pPr>
        <w:pStyle w:val="TextBody"/>
        <w:bidi w:val="0"/>
        <w:spacing w:lineRule="auto" w:line="288" w:before="200" w:after="283"/>
        <w:jc w:val="left"/>
        <w:rPr/>
      </w:pPr>
      <w:r>
        <w:rPr>
          <w:rFonts w:ascii="Times New Roman;serif" w:hAnsi="Times New Roman;serif"/>
          <w:b w:val="false"/>
          <w:color w:val="000000"/>
          <w:sz w:val="20"/>
        </w:rPr>
        <w:t>The Company’s primary financial ins</w:t>
      </w:r>
      <w:r>
        <w:rPr>
          <w:rFonts w:ascii="Times New Roman;serif" w:hAnsi="Times New Roman;serif"/>
          <w:b w:val="false"/>
          <w:color w:val="000000"/>
          <w:sz w:val="20"/>
          <w:shd w:fill="FFFFFF" w:val="clear"/>
        </w:rPr>
        <w:t>truments are cash and cash equivalent investments, accounts receivable, payables, lease obligations and equity based compensation instruments. Due to the shor</w:t>
      </w:r>
      <w:r>
        <w:rPr>
          <w:rFonts w:ascii="Times New Roman;serif" w:hAnsi="Times New Roman;serif"/>
          <w:b w:val="false"/>
          <w:color w:val="000000"/>
          <w:sz w:val="20"/>
        </w:rPr>
        <w:t xml:space="preserve">t-term maturities of cash and cash equivalent investments, accounts receivable and payables, the Company believes the fair values of these instruments approximate their respective carrying values at March 31, 2026 and December 31, 2025. See Note 5 </w:t>
      </w:r>
      <w:r>
        <w:rPr>
          <w:color w:val="000000"/>
          <w:shd w:fill="FFFFFF" w:val="clear"/>
        </w:rPr>
        <w:t>—</w:t>
      </w:r>
      <w:r>
        <w:rPr>
          <w:color w:val="000000"/>
        </w:rPr>
        <w:t xml:space="preserve">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for discussion of our lease obligations and Note 6 </w:t>
      </w:r>
      <w:r>
        <w:rPr>
          <w:color w:val="000000"/>
          <w:shd w:fill="FFFFFF" w:val="clear"/>
        </w:rPr>
        <w:t>—</w:t>
      </w:r>
      <w:r>
        <w:rPr>
          <w:color w:val="000000"/>
        </w:rPr>
        <w:t xml:space="preserve"> </w:t>
      </w:r>
      <w:r>
        <w:rPr>
          <w:rFonts w:ascii="Times New Roman;serif" w:hAnsi="Times New Roman;serif"/>
          <w:b w:val="false"/>
          <w:i/>
          <w:color w:val="000000"/>
          <w:sz w:val="20"/>
        </w:rPr>
        <w:t>Equity Based Compensation</w:t>
      </w:r>
      <w:r>
        <w:rPr>
          <w:color w:val="000000"/>
        </w:rPr>
        <w:t xml:space="preserve"> </w:t>
      </w:r>
      <w:r>
        <w:rPr>
          <w:rFonts w:ascii="Times New Roman;serif" w:hAnsi="Times New Roman;serif"/>
          <w:b w:val="false"/>
          <w:color w:val="000000"/>
          <w:sz w:val="20"/>
        </w:rPr>
        <w:t>for discussion of our equity based compensation instruments.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pStyle w:val="TextBody"/>
        <w:bidi w:val="0"/>
        <w:spacing w:lineRule="auto" w:line="288" w:before="20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Level 1Unadjusted quoted prices in active markets for identical, unrestricted assets and liabilities that the reporting entity has the ability to access at the measurement date.</w:t>
      </w:r>
    </w:p>
    <w:p>
      <w:pPr>
        <w:pStyle w:val="TextBody"/>
        <w:bidi w:val="0"/>
        <w:spacing w:lineRule="auto" w:line="288" w:before="20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Level 2Inputs other than quoted prices included within Level 1 that are observable for the asset and liability or can be corroborated with observable market data for substantially the entire contractual term of the asset or liability.</w:t>
      </w:r>
    </w:p>
    <w:p>
      <w:pPr>
        <w:pStyle w:val="TextBody"/>
        <w:bidi w:val="0"/>
        <w:spacing w:lineRule="auto" w:line="288" w:before="200" w:after="283"/>
        <w:ind w:left="0" w:right="0" w:hanging="1080"/>
        <w:jc w:val="left"/>
        <w:rPr/>
      </w:pPr>
      <w:r>
        <w:rPr>
          <w:rFonts w:ascii="Times New Roman;serif" w:hAnsi="Times New Roman;serif"/>
          <w:b w:val="false"/>
          <w:color w:val="000000"/>
          <w:sz w:val="20"/>
        </w:rPr>
        <w:t xml:space="preserve">Level 3Unobservable inputs that reflect the entity’s own assumptions about the assumptions market participants would use in the pricing of the asset or liability and are consequently not based on </w:t>
      </w:r>
      <w:r>
        <w:rPr>
          <w:rFonts w:ascii="Times New Roman;serif" w:hAnsi="Times New Roman;serif"/>
          <w:b w:val="false"/>
          <w:color w:val="000000"/>
          <w:sz w:val="20"/>
          <w:shd w:fill="FFFFFF" w:val="clear"/>
        </w:rPr>
        <w:t>market activity but rather through particular valuation techniques.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Company invests in Level 1 cash and cash equivalent investments such as money market funds and interest-bearing checking accounts. For the three months ended March 31, 2026 and </w:t>
      </w:r>
      <w:r>
        <w:rPr>
          <w:rFonts w:ascii="Times New Roman;serif" w:hAnsi="Times New Roman;serif"/>
          <w:b w:val="false"/>
          <w:color w:val="000000"/>
          <w:sz w:val="20"/>
        </w:rPr>
        <w:t>March 31, 2025</w:t>
      </w:r>
      <w:r>
        <w:rPr>
          <w:rFonts w:ascii="Times New Roman;serif" w:hAnsi="Times New Roman;serif"/>
          <w:b w:val="false"/>
          <w:color w:val="000000"/>
          <w:sz w:val="20"/>
          <w:shd w:fill="FFFFFF" w:val="clear"/>
        </w:rPr>
        <w:t>, the Company earne</w:t>
      </w:r>
      <w:r>
        <w:rPr>
          <w:rFonts w:ascii="Times New Roman;serif" w:hAnsi="Times New Roman;serif"/>
          <w:b w:val="false"/>
          <w:color w:val="000000"/>
          <w:sz w:val="20"/>
        </w:rPr>
        <w:t xml:space="preserve">d $1.8 million and $1.9 million </w:t>
      </w:r>
      <w:r>
        <w:rPr>
          <w:rFonts w:ascii="Times New Roman;serif" w:hAnsi="Times New Roman;serif"/>
          <w:b w:val="false"/>
          <w:color w:val="000000"/>
          <w:sz w:val="20"/>
          <w:shd w:fill="FFFFFF" w:val="clear"/>
        </w:rPr>
        <w:t xml:space="preserve">in interest income, respectively. Interest income is included within interest </w:t>
      </w:r>
      <w:r>
        <w:rPr>
          <w:rFonts w:ascii="Times New Roman;serif" w:hAnsi="Times New Roman;serif"/>
          <w:b w:val="false"/>
          <w:color w:val="000000"/>
          <w:sz w:val="20"/>
        </w:rPr>
        <w:t>income, net on our condensed consolidated statements of comprehensive income.</w:t>
      </w:r>
    </w:p>
    <w:p>
      <w:pPr>
        <w:pStyle w:val="TextBody"/>
        <w:bidi w:val="0"/>
        <w:spacing w:lineRule="auto" w:line="288" w:before="200" w:after="283"/>
        <w:jc w:val="left"/>
        <w:rPr>
          <w:rFonts w:ascii="Times New Roman;serif" w:hAnsi="Times New Roman;serif"/>
          <w:b/>
          <w:color w:val="000000"/>
          <w:sz w:val="20"/>
        </w:rPr>
      </w:pPr>
      <w:bookmarkStart w:id="0" w:name="i88893177616a4be58c99d855ed9e585a_7613"/>
      <w:bookmarkEnd w:id="0"/>
      <w:r>
        <w:rPr>
          <w:rFonts w:ascii="Times New Roman;serif" w:hAnsi="Times New Roman;serif"/>
          <w:b/>
          <w:color w:val="000000"/>
          <w:sz w:val="20"/>
        </w:rPr>
        <w:t>Accounts Receivable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accounts receivables are $0.4 million and $0.7 million, respectively, at March 31, 2026 and December 31, 2025, net of allowance for expected credit losses of $0.3 million and $0.4 million, respectively. The allowance for expected credit losses is determined by considering a number of factors, including the length of time trade accounts receivable are past due, previous loss history, the client’s current ability to pay its obligations, and the current and future condition of the general economy and industry as a whole. The Company has elected the practical expedient to assume that current conditions as of the balance sheet date do not change for the remaining life of the asset when estimating expected credit losses. Accounts receivable are written off when they become uncollectible and any payments subsequently received on such receivables are credited to the allowance for expected credit losses. Accounts receivable are recorded at the invoiced amount and do not bear interest.</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Recently Issued Accounting Standards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New Accounting Standards Recently Adopted </w:t>
      </w:r>
    </w:p>
    <w:p>
      <w:pPr>
        <w:pStyle w:val="TextBody"/>
        <w:bidi w:val="0"/>
        <w:spacing w:lineRule="auto" w:line="288" w:before="200" w:after="283"/>
        <w:jc w:val="left"/>
        <w:rPr/>
      </w:pPr>
      <w:r>
        <w:rPr>
          <w:rFonts w:ascii="Times New Roman;serif" w:hAnsi="Times New Roman;serif"/>
          <w:b w:val="false"/>
          <w:color w:val="000000"/>
          <w:sz w:val="20"/>
        </w:rPr>
        <w:t>The Company adopted Accounting Standards Update (“ASU”) 2025-05 — Financial Instruments — Credit Losses (Topic 326): Measurement of Credit Losses for Accounts Receivable and Contract Assets during the three months ended March 31, 2026 and has applied it prospectively. The adoption of ASU 2025-05 did not have a material impact on our accounting policies, financial position or results of operations. Refer to Note 1 —</w:t>
      </w:r>
      <w:r>
        <w:rPr>
          <w:color w:val="000000"/>
        </w:rPr>
        <w:t xml:space="preserve"> </w:t>
      </w:r>
      <w:r>
        <w:rPr>
          <w:rFonts w:ascii="Times New Roman;serif" w:hAnsi="Times New Roman;serif"/>
          <w:b w:val="false"/>
          <w:i/>
          <w:color w:val="000000"/>
          <w:sz w:val="20"/>
        </w:rPr>
        <w:t>Nature of Business and Basis of Presentation</w:t>
      </w:r>
      <w:r>
        <w:rPr>
          <w:color w:val="000000"/>
        </w:rPr>
        <w:t xml:space="preserve"> </w:t>
      </w:r>
      <w:r>
        <w:rPr>
          <w:rFonts w:ascii="Times New Roman;serif" w:hAnsi="Times New Roman;serif"/>
          <w:b w:val="false"/>
          <w:color w:val="000000"/>
          <w:sz w:val="20"/>
        </w:rPr>
        <w:t>for disclosures required by this ASU.</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Accounting Standards Not Yet Adopted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accounting pronouncements which we have not yet adopted but will be adopted in upcoming fiscal years. ASU 2024-03 and the related ASU 2025-01 are effective for annual periods beginning after December 15, 2026. We are evaluating the impact these pronouncements will have on our consolidated financial statements and related disclosures. ASU 2025-06 is effective for annual periods beginning after December 15, 2027. We are evaluating the impact ASU 2025-06 will have on our consolidated financial statements and related disclosures.</w: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330"/>
        <w:gridCol w:w="292"/>
        <w:gridCol w:w="296"/>
        <w:gridCol w:w="109"/>
        <w:gridCol w:w="109"/>
        <w:gridCol w:w="109"/>
        <w:gridCol w:w="2461"/>
        <w:gridCol w:w="2461"/>
        <w:gridCol w:w="2481"/>
        <w:gridCol w:w="109"/>
        <w:gridCol w:w="109"/>
        <w:gridCol w:w="109"/>
        <w:gridCol w:w="358"/>
        <w:gridCol w:w="358"/>
        <w:gridCol w:w="514"/>
      </w:tblGrid>
      <w:tr>
        <w:trPr/>
        <w:tc>
          <w:tcPr>
            <w:tcW w:w="33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Adoption Date</w:t>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Statement</w:t>
            </w:r>
            <w:r>
              <w:rPr>
                <w:color w:val="000000"/>
              </w:rPr>
              <w:t>—</w:t>
            </w:r>
            <w:r>
              <w:rPr>
                <w:rFonts w:ascii="Times New Roman;serif" w:hAnsi="Times New Roman;serif"/>
                <w:b w:val="false"/>
                <w:color w:val="000000"/>
                <w:sz w:val="20"/>
              </w:rPr>
              <w:t>Reporting Comprehensive Income</w:t>
            </w:r>
            <w:r>
              <w:rPr>
                <w:color w:val="000000"/>
              </w:rPr>
              <w:t>—</w:t>
            </w:r>
            <w:r>
              <w:rPr>
                <w:rFonts w:ascii="Times New Roman;serif" w:hAnsi="Times New Roman;serif"/>
                <w:b w:val="false"/>
                <w:color w:val="000000"/>
                <w:sz w:val="20"/>
              </w:rPr>
              <w:t>Expense Disaggregation Disclosures (Subtopic 220-40): Disaggregation of Income Statement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2027</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Statement</w:t>
            </w:r>
            <w:r>
              <w:rPr>
                <w:color w:val="000000"/>
              </w:rPr>
              <w:t>—</w:t>
            </w:r>
            <w:r>
              <w:rPr>
                <w:rFonts w:ascii="Times New Roman;serif" w:hAnsi="Times New Roman;serif"/>
                <w:b w:val="false"/>
                <w:color w:val="000000"/>
                <w:sz w:val="20"/>
              </w:rPr>
              <w:t>Reporting Comprehensive Income</w:t>
            </w:r>
            <w:r>
              <w:rPr>
                <w:color w:val="000000"/>
              </w:rPr>
              <w:t>—</w:t>
            </w:r>
            <w:r>
              <w:rPr>
                <w:rFonts w:ascii="Times New Roman;serif" w:hAnsi="Times New Roman;serif"/>
                <w:b w:val="false"/>
                <w:color w:val="000000"/>
                <w:sz w:val="20"/>
              </w:rPr>
              <w:t>Expense Disaggregation Disclosures (Subtopic 220-40): Clarifying the Effective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2027</w:t>
            </w:r>
          </w:p>
        </w:tc>
      </w:tr>
      <w:tr>
        <w:trPr/>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Intangibles—Goodwill and Other—Internal Use Software (Subtopic 350-40): Targeted Improvements to the Accounting for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Fiscal Year 2028</w:t>
            </w:r>
          </w:p>
        </w:tc>
      </w:tr>
      <w:tr>
        <w:trPr/>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3. Merchandise Warranties</w:t>
      </w:r>
    </w:p>
    <w:p>
      <w:pPr>
        <w:pStyle w:val="TextBody"/>
        <w:bidi w:val="0"/>
        <w:spacing w:lineRule="auto" w:line="288" w:before="200" w:after="283"/>
        <w:jc w:val="left"/>
        <w:rPr/>
      </w:pPr>
      <w:r>
        <w:rPr>
          <w:rFonts w:ascii="Times New Roman;serif" w:hAnsi="Times New Roman;serif"/>
          <w:b w:val="false"/>
          <w:color w:val="000000"/>
          <w:sz w:val="20"/>
          <w:shd w:fill="FFFFFF" w:val="clear"/>
        </w:rPr>
        <w:t>The Co</w:t>
      </w:r>
      <w:r>
        <w:rPr>
          <w:rFonts w:ascii="Times New Roman;serif" w:hAnsi="Times New Roman;serif"/>
          <w:b w:val="false"/>
          <w:color w:val="000000"/>
          <w:sz w:val="20"/>
        </w:rPr>
        <w:t>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when we recognize revenue on the sale of warrantied merchandise. We estimate future warranty claims based on claim experience which includes materials and labor costs to perform the repairs or replace products. We use judgment in making our estimates. We record differences between our estimated and actual costs when the differences are known.</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the changes in our limited merchandise warranty liability is as follows (amounts in thousands): </w:t>
      </w:r>
    </w:p>
    <w:tbl>
      <w:tblPr>
        <w:tblW w:w="5108" w:type="dxa"/>
        <w:jc w:val="left"/>
        <w:tblInd w:w="0" w:type="dxa"/>
        <w:tblLayout w:type="fixed"/>
        <w:tblCellMar>
          <w:top w:w="28" w:type="dxa"/>
          <w:left w:w="28" w:type="dxa"/>
          <w:bottom w:w="28" w:type="dxa"/>
          <w:right w:w="28" w:type="dxa"/>
        </w:tblCellMar>
      </w:tblPr>
      <w:tblGrid>
        <w:gridCol w:w="1037"/>
        <w:gridCol w:w="912"/>
        <w:gridCol w:w="915"/>
        <w:gridCol w:w="211"/>
        <w:gridCol w:w="616"/>
        <w:gridCol w:w="109"/>
        <w:gridCol w:w="109"/>
        <w:gridCol w:w="109"/>
        <w:gridCol w:w="109"/>
        <w:gridCol w:w="211"/>
        <w:gridCol w:w="61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during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during the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end of the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recorded accruals in the cost of goods sold line item in the condensed consolidated statements of comprehensive income during the periods presented in the table above, primarily to reflect charges that relate to warranties issued during the respective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4. Debt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November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maximum rent-adjusted total leverage ratio and a minimum fixed charge ratio. The 2021 Credit Facility initially bore variable interest rates at the prevailing Bloomberg Short-Term Bank Yield index rate plus the applicable margin, whereas the applicable margin is adjusted quarterly based on the Company’s consolidated rent-adjusted total leverage ratio.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December 2022, the Company amended the 2021 Credit Facility to increase the revolving credit commitment thereunder by $25.0 million. After giving effect to such increase, the aggregate amount of all commitments under the 2021 Credit Facility was $75.0 million.</w:t>
      </w:r>
    </w:p>
    <w:p>
      <w:pPr>
        <w:pStyle w:val="TextBody"/>
        <w:bidi w:val="0"/>
        <w:spacing w:lineRule="auto" w:line="288" w:before="200" w:after="283"/>
        <w:jc w:val="left"/>
        <w:rPr/>
      </w:pPr>
      <w:r>
        <w:rPr>
          <w:rFonts w:ascii="Times New Roman;serif" w:hAnsi="Times New Roman;serif"/>
          <w:b w:val="false"/>
          <w:color w:val="000000"/>
          <w:sz w:val="20"/>
        </w:rPr>
        <w:t xml:space="preserve">In August 2024, the Company amended the 2021 Credit Facility to adjust the index rate from the Bloomberg Short-Term Bank Yield Index to Term Secured Overnight Financing Rate. The 2021 Credit Facility bears variable interest rates at the prevailing Term Secured Overnight Financing Rate plus the applicable margin (1.75% at </w:t>
      </w:r>
      <w:r>
        <w:rPr>
          <w:rFonts w:ascii="Times New Roman;serif" w:hAnsi="Times New Roman;serif"/>
          <w:b w:val="false"/>
          <w:color w:val="000000"/>
          <w:sz w:val="20"/>
          <w:shd w:fill="FFFFFF" w:val="clear"/>
        </w:rPr>
        <w:t>March 31, 2025</w:t>
      </w:r>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May 2025, the Company issued an irrevocable standby letter of credit under the 2021 Credit Facility in the amount of $5.1 million in connection with a lease, which remained outstanding at March 31,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October 2025, the Company entered into the Third Amendment to Credit Agreement and Amendment to Security and Pledge Agreement (the “Amendment”). The Amendment further amends the 2021 Credit Facility to, among other things, (1) extend the maturity date of the revolving credit facility from November 8, 2026 to October 17, 2030, and (2) increase the letter of credit commitment to an amount equal to the lesser of (a) $15 million, and (b) the amount of the revolving credit facility as of such date. After giving effect to the Amendment, the aggregate amount of revolving credit commitments under the Credit Agreement remains $75 million. The Company has the option to increase the revolving credit commitment thereunder by an additional $25 million. In connection with the Amendment, the Company has incurred approximately $0.2 million in debt issuance costs. The 2021 Credit Facility bears variable interest rates at the prevailing Term Secured Overnight Financing Rate plus the applicable margin (1.75% at March 31, 2026).</w:t>
      </w:r>
    </w:p>
    <w:p>
      <w:pPr>
        <w:pStyle w:val="TextBody"/>
        <w:bidi w:val="0"/>
        <w:spacing w:lineRule="auto" w:line="288" w:before="200" w:after="283"/>
        <w:jc w:val="left"/>
        <w:rPr/>
      </w:pPr>
      <w:r>
        <w:rPr>
          <w:rFonts w:ascii="Times New Roman;serif" w:hAnsi="Times New Roman;serif"/>
          <w:b w:val="false"/>
          <w:color w:val="000000"/>
          <w:sz w:val="20"/>
        </w:rPr>
        <w:t xml:space="preserve">At March 31, 2026 and December 31, 2025, we had no borrowings on the 2021 Credit Facility and the available borrowing capacity was $69.9 million and $69.9 million, respectively. </w:t>
      </w:r>
      <w:r>
        <w:rPr>
          <w:rFonts w:ascii="Times New Roman;serif" w:hAnsi="Times New Roman;serif"/>
          <w:b w:val="false"/>
          <w:color w:val="000000"/>
          <w:sz w:val="20"/>
          <w:shd w:fill="FFFFFF" w:val="clear"/>
        </w:rPr>
        <w:t xml:space="preserve">Deferred financing costs related to the 2021 Credit Facility of </w:t>
      </w:r>
      <w:r>
        <w:rPr>
          <w:rFonts w:ascii="Times New Roman;serif" w:hAnsi="Times New Roman;serif"/>
          <w:b w:val="false"/>
          <w:color w:val="000000"/>
          <w:sz w:val="20"/>
        </w:rPr>
        <w:t>$0.3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$0.3 million as of </w:t>
      </w:r>
      <w:r>
        <w:rPr>
          <w:rFonts w:ascii="Times New Roman;serif" w:hAnsi="Times New Roman;serif"/>
          <w:b w:val="false"/>
          <w:color w:val="000000"/>
          <w:sz w:val="20"/>
          <w:shd w:fill="FFFFFF" w:val="clear"/>
        </w:rPr>
        <w:t xml:space="preserve">March 31, 2026 and </w:t>
      </w:r>
      <w:r>
        <w:rPr>
          <w:rFonts w:ascii="Times New Roman;serif" w:hAnsi="Times New Roman;serif"/>
          <w:b w:val="false"/>
          <w:color w:val="000000"/>
          <w:sz w:val="20"/>
        </w:rPr>
        <w:t xml:space="preserve">December 31, 2025, respectively, </w:t>
      </w:r>
      <w:r>
        <w:rPr>
          <w:rFonts w:ascii="Times New Roman;serif" w:hAnsi="Times New Roman;serif"/>
          <w:b w:val="false"/>
          <w:color w:val="000000"/>
          <w:sz w:val="20"/>
          <w:shd w:fill="FFFFFF" w:val="clear"/>
        </w:rPr>
        <w:t xml:space="preserve">are recorded in other noncurrent assets on the </w:t>
      </w:r>
      <w:r>
        <w:rPr>
          <w:rFonts w:ascii="Times New Roman;serif" w:hAnsi="Times New Roman;serif"/>
          <w:b w:val="false"/>
          <w:color w:val="000000"/>
          <w:sz w:val="20"/>
        </w:rPr>
        <w:t>condensed consolidated balance sheets</w:t>
      </w:r>
      <w:r>
        <w:rPr>
          <w:color w:val="000000"/>
          <w:shd w:fill="FFFFFF" w:val="clear"/>
        </w:rPr>
        <w:t xml:space="preserve"> </w:t>
      </w:r>
      <w:r>
        <w:rPr>
          <w:rFonts w:ascii="Times New Roman;serif" w:hAnsi="Times New Roman;serif"/>
          <w:b w:val="false"/>
          <w:color w:val="000000"/>
          <w:sz w:val="20"/>
          <w:shd w:fill="FFFFFF" w:val="clear"/>
        </w:rPr>
        <w:t xml:space="preserve">and will be amortized over the term of the 2021 Credit Facility on a straight-line basis. Accumulated amortization related to deferred financing costs for the 2021 Credit Facility was </w:t>
      </w:r>
      <w:r>
        <w:rPr>
          <w:rFonts w:ascii="Times New Roman;serif" w:hAnsi="Times New Roman;serif"/>
          <w:b w:val="false"/>
          <w:color w:val="000000"/>
          <w:sz w:val="20"/>
        </w:rPr>
        <w:t xml:space="preserve">$0.3 million as of March 31, 2026 and </w:t>
      </w:r>
      <w:r>
        <w:rPr>
          <w:rFonts w:ascii="Times New Roman;serif" w:hAnsi="Times New Roman;serif"/>
          <w:b w:val="false"/>
          <w:color w:val="000000"/>
          <w:sz w:val="20"/>
          <w:shd w:fill="FFFFFF" w:val="clear"/>
        </w:rPr>
        <w:t>$0.3 million</w:t>
      </w:r>
      <w:r>
        <w:rPr>
          <w:color w:val="000000"/>
        </w:rPr>
        <w:t xml:space="preserve"> </w:t>
      </w:r>
      <w:r>
        <w:rPr>
          <w:rFonts w:ascii="Times New Roman;serif" w:hAnsi="Times New Roman;serif"/>
          <w:b w:val="false"/>
          <w:color w:val="000000"/>
          <w:sz w:val="20"/>
        </w:rPr>
        <w:t>as of December 31, 2025</w:t>
      </w:r>
      <w:r>
        <w:rPr>
          <w:rFonts w:ascii="Times New Roman;serif" w:hAnsi="Times New Roman;serif"/>
          <w:b w:val="false"/>
          <w:color w:val="000000"/>
          <w:sz w:val="20"/>
          <w:shd w:fill="FFFFFF" w:val="clear"/>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was in compliance with all applicable debt covenants at March 31, 2026 and December 31, 2025, and expects to remain in compliance over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5. Leases</w:t>
      </w:r>
    </w:p>
    <w:p>
      <w:pPr>
        <w:pStyle w:val="TextBody"/>
        <w:bidi w:val="0"/>
        <w:spacing w:lineRule="auto" w:line="288" w:before="200" w:after="283"/>
        <w:jc w:val="left"/>
        <w:rPr/>
      </w:pPr>
      <w:r>
        <w:rPr>
          <w:rFonts w:ascii="Times New Roman;serif" w:hAnsi="Times New Roman;serif"/>
          <w:b w:val="false"/>
          <w:color w:val="000000"/>
          <w:sz w:val="20"/>
          <w:shd w:fill="FFFFFF" w:val="clear"/>
        </w:rPr>
        <w:t>The Company</w:t>
      </w:r>
      <w:r>
        <w:rPr>
          <w:color w:val="000000"/>
        </w:rPr>
        <w:t xml:space="preserve"> </w:t>
      </w:r>
      <w:r>
        <w:rPr>
          <w:rFonts w:ascii="Times New Roman;serif" w:hAnsi="Times New Roman;serif"/>
          <w:b w:val="false"/>
          <w:color w:val="000000"/>
          <w:sz w:val="20"/>
        </w:rPr>
        <w:t xml:space="preserve">leases real estate and equipment under operating and finance leases, some of which are from related parties as discussed in Note </w:t>
      </w:r>
      <w:r>
        <w:rPr>
          <w:rFonts w:ascii="Times New Roman;serif" w:hAnsi="Times New Roman;serif"/>
          <w:b w:val="false"/>
          <w:color w:val="000000"/>
          <w:sz w:val="20"/>
          <w:shd w:fill="FFFFFF" w:val="clear"/>
        </w:rPr>
        <w:t>10</w:t>
      </w:r>
      <w:r>
        <w:rPr>
          <w:color w:val="000000"/>
          <w:shd w:fill="FFFFFF" w:val="clear"/>
        </w:rPr>
        <w:t xml:space="preserve"> —</w:t>
      </w:r>
      <w:r>
        <w:rPr>
          <w:color w:val="000000"/>
        </w:rPr>
        <w:t xml:space="preserve">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 The most significant obligati</w:t>
      </w:r>
      <w:r>
        <w:rPr>
          <w:rFonts w:ascii="Times New Roman;serif" w:hAnsi="Times New Roman;serif"/>
          <w:b w:val="false"/>
          <w:color w:val="000000"/>
          <w:sz w:val="20"/>
          <w:shd w:fill="FFFFFF" w:val="clear"/>
        </w:rPr>
        <w:t xml:space="preserve">ons under these lease agreements require the payments of periodic rentals, real estate taxes, insurance and maintenance costs. Depending on particular Showroom leases, the Company can also owe a percentage rent payment if particular Showrooms meet certain sales figures.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recognized in our condensed consolidated balance sheets related to leases (amounts in thousands):</w:t>
      </w:r>
    </w:p>
    <w:tbl>
      <w:tblPr>
        <w:tblW w:w="10205" w:type="dxa"/>
        <w:jc w:val="left"/>
        <w:tblInd w:w="0" w:type="dxa"/>
        <w:tblLayout w:type="fixed"/>
        <w:tblCellMar>
          <w:top w:w="28" w:type="dxa"/>
          <w:left w:w="28" w:type="dxa"/>
          <w:bottom w:w="28" w:type="dxa"/>
          <w:right w:w="28" w:type="dxa"/>
        </w:tblCellMar>
      </w:tblPr>
      <w:tblGrid>
        <w:gridCol w:w="913"/>
        <w:gridCol w:w="791"/>
        <w:gridCol w:w="798"/>
        <w:gridCol w:w="109"/>
        <w:gridCol w:w="109"/>
        <w:gridCol w:w="109"/>
        <w:gridCol w:w="1426"/>
        <w:gridCol w:w="1426"/>
        <w:gridCol w:w="1428"/>
        <w:gridCol w:w="109"/>
        <w:gridCol w:w="109"/>
        <w:gridCol w:w="109"/>
        <w:gridCol w:w="211"/>
        <w:gridCol w:w="826"/>
        <w:gridCol w:w="109"/>
        <w:gridCol w:w="109"/>
        <w:gridCol w:w="109"/>
        <w:gridCol w:w="109"/>
        <w:gridCol w:w="229"/>
        <w:gridCol w:w="897"/>
        <w:gridCol w:w="170"/>
      </w:tblGrid>
      <w:tr>
        <w:trPr/>
        <w:tc>
          <w:tcPr>
            <w:tcW w:w="91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Condensed Consolidated 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424,549 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467,226 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527,341 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financing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liabilities,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580,577 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 recognized within our condensed consolidated statements of comprehensive income are as follows (amounts in thousands):</w:t>
      </w:r>
    </w:p>
    <w:tbl>
      <w:tblPr>
        <w:tblW w:w="5900" w:type="dxa"/>
        <w:jc w:val="left"/>
        <w:tblInd w:w="0" w:type="dxa"/>
        <w:tblLayout w:type="fixed"/>
        <w:tblCellMar>
          <w:top w:w="28" w:type="dxa"/>
          <w:left w:w="28" w:type="dxa"/>
          <w:bottom w:w="28" w:type="dxa"/>
          <w:right w:w="28" w:type="dxa"/>
        </w:tblCellMar>
      </w:tblPr>
      <w:tblGrid>
        <w:gridCol w:w="1129"/>
        <w:gridCol w:w="993"/>
        <w:gridCol w:w="997"/>
        <w:gridCol w:w="109"/>
        <w:gridCol w:w="109"/>
        <w:gridCol w:w="109"/>
        <w:gridCol w:w="211"/>
        <w:gridCol w:w="721"/>
        <w:gridCol w:w="109"/>
        <w:gridCol w:w="109"/>
        <w:gridCol w:w="109"/>
        <w:gridCol w:w="109"/>
        <w:gridCol w:w="211"/>
        <w:gridCol w:w="721"/>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right-of-use assets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on lease liabilities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Variable lease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Short term lease costs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Operating lease costs and amortization of finance lease right-of-use assets are included in cost of goods sold or selling, general and administrative expenses on the condensed consolidated statements of comprehensive income based on our accounting policy.</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Included in interest income, net on the condensed consolidated statements of comprehensive income.</w:t>
      </w:r>
    </w:p>
    <w:p>
      <w:pPr>
        <w:pStyle w:val="TextBody"/>
        <w:bidi w:val="0"/>
        <w:spacing w:lineRule="auto" w:line="28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Represents variable lease payments under operating and finance lease agreements, primarily associated with contingent rent that is based on a percentage of retail sales over contractual levels as well as charges associated with common area maintenance, property taxes and insurance. These costs are included in cost of goods sold or selling, general and administrative expenses on the condensed consolidated statements of comprehensive income based on our accounting policy.</w:t>
      </w:r>
    </w:p>
    <w:p>
      <w:pPr>
        <w:pStyle w:val="TextBody"/>
        <w:bidi w:val="0"/>
        <w:spacing w:lineRule="auto" w:line="288" w:before="0" w:after="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Represents leases with an initial term of 12 months or less which are not recorded on the balance sheet and instead expensed on a straight-line basis over the lease term, excluding expenses relating to leases with a lease term of one month or 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We often have options to renew lease terms for Showrooms and other as</w:t>
      </w:r>
      <w:r>
        <w:rPr>
          <w:rFonts w:ascii="Times New Roman;serif" w:hAnsi="Times New Roman;serif"/>
          <w:b w:val="false"/>
          <w:color w:val="000000"/>
          <w:sz w:val="20"/>
        </w:rPr>
        <w:t>sets. The exercise of lease renewal options is generally at our sole discretion. In addition, certain lease agreements may be terminated prior to their original expiration date at our discretion. We evaluate each renewal and termination option at the lease commencement date to determine if we are reasonably certain to exercise the option on the basis of economic factors. The weighted average remaining lease terms are as follows:</w:t>
      </w:r>
    </w:p>
    <w:tbl>
      <w:tblPr>
        <w:tblW w:w="6802" w:type="dxa"/>
        <w:jc w:val="left"/>
        <w:tblInd w:w="0" w:type="dxa"/>
        <w:tblLayout w:type="fixed"/>
        <w:tblCellMar>
          <w:top w:w="28" w:type="dxa"/>
          <w:left w:w="28" w:type="dxa"/>
          <w:bottom w:w="28" w:type="dxa"/>
          <w:right w:w="28" w:type="dxa"/>
        </w:tblCellMar>
      </w:tblPr>
      <w:tblGrid>
        <w:gridCol w:w="1675"/>
        <w:gridCol w:w="1468"/>
        <w:gridCol w:w="1477"/>
        <w:gridCol w:w="109"/>
        <w:gridCol w:w="109"/>
        <w:gridCol w:w="109"/>
        <w:gridCol w:w="197"/>
        <w:gridCol w:w="197"/>
        <w:gridCol w:w="197"/>
        <w:gridCol w:w="197"/>
        <w:gridCol w:w="197"/>
        <w:gridCol w:w="197"/>
        <w:gridCol w:w="197"/>
        <w:gridCol w:w="197"/>
        <w:gridCol w:w="279"/>
      </w:tblGrid>
      <w:tr>
        <w:trPr/>
        <w:tc>
          <w:tcPr>
            <w:tcW w:w="167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When readily determinable, we use the discount rate implicit within the lease as determined at the time of lease commencement. However, the discount rate implicit within many of our leases is generally not determinable at the time of lease commencement and therefore the Company determines the discount rate based on its incremental borrowing rate (“IBR”). For leases in which the discount rate was not readily determinable, the Company utilized a market-based approach to estimate the IBR, which required significant judgment. The Company estimated the base IBR based on an analysis of (i) yields on the Company’s 2021 Credit Facility, as well as comparable companies and (ii) unsecured yields and discount rates. The Company applied adjustments to the base IBRs to account for full collateralization and lease term. The weighted average discount rates used to measure our lease liabilities are as follows:</w:t>
      </w:r>
    </w:p>
    <w:tbl>
      <w:tblPr>
        <w:tblW w:w="5516" w:type="dxa"/>
        <w:jc w:val="left"/>
        <w:tblInd w:w="0" w:type="dxa"/>
        <w:tblLayout w:type="fixed"/>
        <w:tblCellMar>
          <w:top w:w="28" w:type="dxa"/>
          <w:left w:w="28" w:type="dxa"/>
          <w:bottom w:w="28" w:type="dxa"/>
          <w:right w:w="28" w:type="dxa"/>
        </w:tblCellMar>
      </w:tblPr>
      <w:tblGrid>
        <w:gridCol w:w="1053"/>
        <w:gridCol w:w="925"/>
        <w:gridCol w:w="931"/>
        <w:gridCol w:w="109"/>
        <w:gridCol w:w="109"/>
        <w:gridCol w:w="109"/>
        <w:gridCol w:w="292"/>
        <w:gridCol w:w="219"/>
        <w:gridCol w:w="373"/>
        <w:gridCol w:w="150"/>
        <w:gridCol w:w="150"/>
        <w:gridCol w:w="150"/>
        <w:gridCol w:w="292"/>
        <w:gridCol w:w="219"/>
        <w:gridCol w:w="435"/>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Future lease liabilities at March 31, 2026 are as follows (amounts in thousands):</w:t>
      </w:r>
    </w:p>
    <w:tbl>
      <w:tblPr>
        <w:tblW w:w="10205" w:type="dxa"/>
        <w:jc w:val="left"/>
        <w:tblInd w:w="0" w:type="dxa"/>
        <w:tblLayout w:type="fixed"/>
        <w:tblCellMar>
          <w:top w:w="28" w:type="dxa"/>
          <w:left w:w="28" w:type="dxa"/>
          <w:bottom w:w="28" w:type="dxa"/>
          <w:right w:w="28" w:type="dxa"/>
        </w:tblCellMar>
      </w:tblPr>
      <w:tblGrid>
        <w:gridCol w:w="1001"/>
        <w:gridCol w:w="880"/>
        <w:gridCol w:w="883"/>
        <w:gridCol w:w="109"/>
        <w:gridCol w:w="109"/>
        <w:gridCol w:w="109"/>
        <w:gridCol w:w="450"/>
        <w:gridCol w:w="1761"/>
        <w:gridCol w:w="232"/>
        <w:gridCol w:w="109"/>
        <w:gridCol w:w="109"/>
        <w:gridCol w:w="109"/>
        <w:gridCol w:w="419"/>
        <w:gridCol w:w="1432"/>
        <w:gridCol w:w="216"/>
        <w:gridCol w:w="109"/>
        <w:gridCol w:w="109"/>
        <w:gridCol w:w="109"/>
        <w:gridCol w:w="344"/>
        <w:gridCol w:w="1350"/>
        <w:gridCol w:w="256"/>
      </w:tblGrid>
      <w:tr>
        <w:trPr/>
        <w:tc>
          <w:tcPr>
            <w:tcW w:w="100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Operating Lease Liabilities</w:t>
            </w:r>
            <w:r>
              <w:rPr>
                <w:color w:val="000000"/>
              </w:rPr>
              <w:t xml:space="preserv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Lease Liabilities</w:t>
            </w:r>
          </w:p>
        </w:tc>
      </w:tr>
      <w:tr>
        <w:trPr/>
        <w:tc>
          <w:tcPr>
            <w:tcW w:w="2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66,111 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82,493 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75,584 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248,682 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93,748 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711,808 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126,234 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838,042 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representing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(165,224)</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(73,104)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(238,328)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546,584 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53,130 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599,714 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Includes leases with related parties. See Note </w:t>
      </w:r>
      <w:r>
        <w:rPr>
          <w:rFonts w:ascii="Times New Roman;serif" w:hAnsi="Times New Roman;serif"/>
          <w:b w:val="false"/>
          <w:color w:val="000000"/>
          <w:sz w:val="16"/>
          <w:shd w:fill="FFFFFF" w:val="clear"/>
        </w:rPr>
        <w:t>10</w:t>
      </w:r>
      <w:r>
        <w:rPr>
          <w:color w:val="000000"/>
        </w:rPr>
        <w:t xml:space="preserve"> </w:t>
      </w:r>
      <w:r>
        <w:rPr>
          <w:color w:val="000000"/>
          <w:shd w:fill="FFFFFF" w:val="clear"/>
        </w:rPr>
        <w:t>—</w:t>
      </w:r>
      <w:r>
        <w:rPr>
          <w:color w:val="000000"/>
        </w:rPr>
        <w:t xml:space="preserve"> </w:t>
      </w:r>
      <w:r>
        <w:rPr>
          <w:rFonts w:ascii="Times New Roman;serif" w:hAnsi="Times New Roman;serif"/>
          <w:b w:val="false"/>
          <w:i/>
          <w:color w:val="000000"/>
          <w:sz w:val="16"/>
        </w:rPr>
        <w:t>Related Party Transactions</w:t>
      </w:r>
      <w:r>
        <w:rPr>
          <w:color w:val="000000"/>
        </w:rPr>
        <w:t xml:space="preserve"> </w:t>
      </w:r>
      <w:r>
        <w:rPr>
          <w:rFonts w:ascii="Times New Roman;serif" w:hAnsi="Times New Roman;serif"/>
          <w:b w:val="false"/>
          <w:color w:val="000000"/>
          <w:sz w:val="16"/>
        </w:rPr>
        <w:t>for amounts leased from related parties.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March 31, 2026, the Company has entered into leases for Showrooms and equipment which have not yet commenced with expected lease terms ranging from 10 to 16 years. The aggregate minimum rental payments over the term of the leases of approximately $218.7 million are not included in the above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 (amounts in thousands):</w:t>
      </w:r>
    </w:p>
    <w:tbl>
      <w:tblPr>
        <w:tblW w:w="8841" w:type="dxa"/>
        <w:jc w:val="left"/>
        <w:tblInd w:w="0" w:type="dxa"/>
        <w:tblLayout w:type="fixed"/>
        <w:tblCellMar>
          <w:top w:w="28" w:type="dxa"/>
          <w:left w:w="28" w:type="dxa"/>
          <w:bottom w:w="28" w:type="dxa"/>
          <w:right w:w="28" w:type="dxa"/>
        </w:tblCellMar>
      </w:tblPr>
      <w:tblGrid>
        <w:gridCol w:w="2196"/>
        <w:gridCol w:w="1927"/>
        <w:gridCol w:w="1937"/>
        <w:gridCol w:w="109"/>
        <w:gridCol w:w="109"/>
        <w:gridCol w:w="109"/>
        <w:gridCol w:w="211"/>
        <w:gridCol w:w="721"/>
        <w:gridCol w:w="109"/>
        <w:gridCol w:w="109"/>
        <w:gridCol w:w="109"/>
        <w:gridCol w:w="109"/>
        <w:gridCol w:w="211"/>
        <w:gridCol w:w="721"/>
        <w:gridCol w:w="154"/>
      </w:tblGrid>
      <w:tr>
        <w:trPr/>
        <w:tc>
          <w:tcPr>
            <w:tcW w:w="219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Right-of-use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6. Equity Based Compensation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Activity of the Company’s Restricted Stock and their related equity based compensation expense are summarized in the following tables (amounts in thousands, except share and per share data):</w:t>
      </w:r>
    </w:p>
    <w:tbl>
      <w:tblPr>
        <w:tblW w:w="7815" w:type="dxa"/>
        <w:jc w:val="left"/>
        <w:tblInd w:w="0" w:type="dxa"/>
        <w:tblLayout w:type="fixed"/>
        <w:tblCellMar>
          <w:top w:w="28" w:type="dxa"/>
          <w:left w:w="28" w:type="dxa"/>
          <w:bottom w:w="28" w:type="dxa"/>
          <w:right w:w="28" w:type="dxa"/>
        </w:tblCellMar>
      </w:tblPr>
      <w:tblGrid>
        <w:gridCol w:w="977"/>
        <w:gridCol w:w="858"/>
        <w:gridCol w:w="864"/>
        <w:gridCol w:w="360"/>
        <w:gridCol w:w="361"/>
        <w:gridCol w:w="261"/>
        <w:gridCol w:w="153"/>
        <w:gridCol w:w="153"/>
        <w:gridCol w:w="153"/>
        <w:gridCol w:w="790"/>
        <w:gridCol w:w="2309"/>
        <w:gridCol w:w="576"/>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Stock - Class A</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64,187 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March 31, 2026</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64,187 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68" w:type="dxa"/>
        <w:jc w:val="left"/>
        <w:tblInd w:w="0" w:type="dxa"/>
        <w:tblLayout w:type="fixed"/>
        <w:tblCellMar>
          <w:top w:w="28" w:type="dxa"/>
          <w:left w:w="28" w:type="dxa"/>
          <w:bottom w:w="28" w:type="dxa"/>
          <w:right w:w="28" w:type="dxa"/>
        </w:tblCellMar>
      </w:tblPr>
      <w:tblGrid>
        <w:gridCol w:w="1712"/>
        <w:gridCol w:w="1502"/>
        <w:gridCol w:w="1510"/>
        <w:gridCol w:w="211"/>
        <w:gridCol w:w="466"/>
        <w:gridCol w:w="109"/>
        <w:gridCol w:w="109"/>
        <w:gridCol w:w="109"/>
        <w:gridCol w:w="109"/>
        <w:gridCol w:w="211"/>
        <w:gridCol w:w="466"/>
        <w:gridCol w:w="154"/>
      </w:tblGrid>
      <w:tr>
        <w:trPr/>
        <w:tc>
          <w:tcPr>
            <w:tcW w:w="171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based compensation expense - Restricted Stock</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shd w:fill="FFFFFF" w:val="clear"/>
        </w:rPr>
        <w:t xml:space="preserve">(1) </w:t>
      </w:r>
      <w:r>
        <w:rPr>
          <w:rFonts w:ascii="Times New Roman;serif" w:hAnsi="Times New Roman;serif"/>
          <w:b w:val="false"/>
          <w:color w:val="000000"/>
          <w:sz w:val="16"/>
          <w:shd w:fill="FFFFFF" w:val="clear"/>
        </w:rPr>
        <w:t xml:space="preserve">Total unrecognized equity based compensation to be recognized in future periods is </w:t>
      </w:r>
      <w:r>
        <w:rPr>
          <w:rFonts w:ascii="Times New Roman;serif" w:hAnsi="Times New Roman;serif"/>
          <w:b w:val="false"/>
          <w:color w:val="000000"/>
          <w:sz w:val="16"/>
        </w:rPr>
        <w:t>$0.1 million</w:t>
      </w:r>
      <w:r>
        <w:rPr>
          <w:color w:val="000000"/>
          <w:shd w:fill="FFFFFF" w:val="clear"/>
        </w:rPr>
        <w:t xml:space="preserve"> </w:t>
      </w:r>
      <w:r>
        <w:rPr>
          <w:rFonts w:ascii="Times New Roman;serif" w:hAnsi="Times New Roman;serif"/>
          <w:b w:val="false"/>
          <w:color w:val="000000"/>
          <w:sz w:val="16"/>
          <w:shd w:fill="FFFFFF" w:val="clear"/>
        </w:rPr>
        <w:t xml:space="preserve">at March 31, 2026, and will be recognized over a weighted average period of </w:t>
      </w:r>
      <w:r>
        <w:rPr>
          <w:rFonts w:ascii="Times New Roman;serif" w:hAnsi="Times New Roman;serif"/>
          <w:b w:val="false"/>
          <w:color w:val="000000"/>
          <w:sz w:val="16"/>
        </w:rPr>
        <w:t>0.2 years</w:t>
      </w:r>
      <w:r>
        <w:rPr>
          <w:rFonts w:ascii="Times New Roman;serif" w:hAnsi="Times New Roman;serif"/>
          <w:b w:val="false"/>
          <w:color w:val="000000"/>
          <w:sz w:val="16"/>
          <w:shd w:fill="FFFFFF" w:val="clear"/>
        </w:rPr>
        <w:t xml:space="preserve">. Equity based compensation expense is recorded within selling, general and administrative expenses on our condensed consolidated statements of comprehensive income. </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Arhaus, Inc. 2021 Equity Incentive Plan (the “2021 Plan”) was adopted in November 2021. The 2021 Plan authorizes the Company the ability to grant stock options (either incentive or non-qualified), stock appreciation rights (“SARs”), restricted stock, restricted stock units (“RSUs”), performance shares, performance share units (“PSUs”) and other stock-based awards with respect to our Class A common stock to our employees, officers, consultants, advisors and directors. The maximum number of Class A common stock that may be granted under the 2021 Plan is </w:t>
      </w:r>
      <w:r>
        <w:rPr>
          <w:rFonts w:ascii="Times New Roman;serif" w:hAnsi="Times New Roman;serif"/>
          <w:b w:val="false"/>
          <w:color w:val="000000"/>
          <w:sz w:val="20"/>
        </w:rPr>
        <w:t>11,205,100</w:t>
      </w:r>
      <w:r>
        <w:rPr>
          <w:color w:val="000000"/>
          <w:shd w:fill="FFFFFF" w:val="clear"/>
        </w:rPr>
        <w:t xml:space="preserve"> </w:t>
      </w:r>
      <w:r>
        <w:rPr>
          <w:rFonts w:ascii="Times New Roman;serif" w:hAnsi="Times New Roman;serif"/>
          <w:b w:val="false"/>
          <w:color w:val="000000"/>
          <w:sz w:val="20"/>
          <w:shd w:fill="FFFFFF" w:val="clear"/>
        </w:rPr>
        <w:t>shares.</w:t>
      </w:r>
    </w:p>
    <w:p>
      <w:pPr>
        <w:pStyle w:val="TextBody"/>
        <w:bidi w:val="0"/>
        <w:spacing w:lineRule="auto" w:line="288" w:before="200" w:after="283"/>
        <w:jc w:val="left"/>
        <w:rPr/>
      </w:pPr>
      <w:r>
        <w:rPr>
          <w:rFonts w:ascii="Times New Roman;serif" w:hAnsi="Times New Roman;serif"/>
          <w:b w:val="false"/>
          <w:color w:val="000000"/>
          <w:sz w:val="20"/>
          <w:shd w:fill="FFFFFF" w:val="clear"/>
        </w:rPr>
        <w:t>Per the 2021 Plan, each RSU and PSU represents a contingent right to receive one share of the Company’s Class A common stock upon vesting. The RSUs granted to award recipients will vest over two to five years (depending on the terms of the award) on each anniversary of the grant date, provided that the award recipient continues to serve the Company through the applicable vesting date (“Continuous Service”). If the award recipient’s Continuous Service terminates for any</w:t>
      </w:r>
      <w:r>
        <w:rPr>
          <w:color w:val="000000"/>
        </w:rPr>
        <w:t xml:space="preserve"> </w:t>
      </w:r>
      <w:r>
        <w:rPr>
          <w:rFonts w:ascii="Times New Roman;serif" w:hAnsi="Times New Roman;serif"/>
          <w:b w:val="false"/>
          <w:color w:val="000000"/>
          <w:sz w:val="20"/>
        </w:rPr>
        <w:t xml:space="preserve">reason other than death, disability or in connection with a change in control (as such terms are defined in the 2021 Plan), unless the Compensation Committee of the Board of Directors determines otherwise, all RSUs that are unvested at the time of such termination shall be forfeited and cancelled immediately without consideration. RSU and PSU awards contain forfeitable rights to dividend equivalents. Dividend equivalents for outstanding awards are accrued when dividends are declared on the Company’s common stock but are not paid until the awards vest, and dividend equivalents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accrued for awards that ultimately do not vest are forfeited. Dividend equivalents are settled in the form of cash or Class A common stock based on the award agreement. The RSUs issued to certain members of the Board of Directors will generally vest on the one-year anniversary of the grant date. The fair value of RSUs is determined based on the market value of the Company’s Class A common stock on the grant date.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number of PSUs earned will be based on the Company’s financial performance as measured against pre-established target performance goals over the applicable performance period. For PSUs granted in fiscal year 2024, the performance goals are cumulative demand revenue and cumulative adjusted EBITDA. In April 2025, the Company granted PSUs with the aforementioned performance goals and a new performance goal for relative Total Shareholder Return (“TSR”). The fair value of PSUs is determined based on the market value of the Company’s Class A common stock on the grant date. The fair value of the portion of PSUs related to relative TSR is derived from a Monte Carlo valuation model that estimates fair value as of the grant date. The Monte Carlo valuation model uses multiple simulations to evaluate our probability of achieving various stock price levels to determine the Company’s expected TSR ranking relative to a custom peer group. PSUs will vest as of the end of the applicable performance period subject to the award recipient’s Continuous Service, but will not settle and payout until the number of PSUs earned is determined by the Compensation Committee. The award recipient may earn between 0% and 200% of the PSU target award based on the Company’s achievement of the applicable performance goals, with each goal weighted equally. The Company accounts for forfeitures as they occur.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Activity of the Company’s PSU and RSU awards and their related equity based compensation expense are summarized in the following tables (amounts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700"/>
        <w:gridCol w:w="615"/>
        <w:gridCol w:w="619"/>
        <w:gridCol w:w="413"/>
        <w:gridCol w:w="413"/>
        <w:gridCol w:w="261"/>
        <w:gridCol w:w="109"/>
        <w:gridCol w:w="109"/>
        <w:gridCol w:w="109"/>
        <w:gridCol w:w="622"/>
        <w:gridCol w:w="1511"/>
        <w:gridCol w:w="324"/>
        <w:gridCol w:w="109"/>
        <w:gridCol w:w="109"/>
        <w:gridCol w:w="109"/>
        <w:gridCol w:w="488"/>
        <w:gridCol w:w="488"/>
        <w:gridCol w:w="261"/>
        <w:gridCol w:w="109"/>
        <w:gridCol w:w="109"/>
        <w:gridCol w:w="109"/>
        <w:gridCol w:w="601"/>
        <w:gridCol w:w="1459"/>
        <w:gridCol w:w="449"/>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PSU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 Awards</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605,039 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2,320,867 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(14,693)</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(284,111)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March 31, 2026</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603,184 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2,022,063 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84" w:type="dxa"/>
        <w:jc w:val="left"/>
        <w:tblInd w:w="0" w:type="dxa"/>
        <w:tblLayout w:type="fixed"/>
        <w:tblCellMar>
          <w:top w:w="28" w:type="dxa"/>
          <w:left w:w="28" w:type="dxa"/>
          <w:bottom w:w="28" w:type="dxa"/>
          <w:right w:w="28" w:type="dxa"/>
        </w:tblCellMar>
      </w:tblPr>
      <w:tblGrid>
        <w:gridCol w:w="1392"/>
        <w:gridCol w:w="1221"/>
        <w:gridCol w:w="1227"/>
        <w:gridCol w:w="211"/>
        <w:gridCol w:w="616"/>
        <w:gridCol w:w="109"/>
        <w:gridCol w:w="109"/>
        <w:gridCol w:w="109"/>
        <w:gridCol w:w="109"/>
        <w:gridCol w:w="211"/>
        <w:gridCol w:w="616"/>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based compensation expense - PSUs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based compensation expense - RSUs</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color w:val="000000"/>
          <w:sz w:val="10"/>
        </w:rPr>
        <w:t xml:space="preserve">(1) </w:t>
      </w:r>
      <w:r>
        <w:rPr>
          <w:rFonts w:ascii="Times New Roman;serif" w:hAnsi="Times New Roman;serif"/>
          <w:b w:val="false"/>
          <w:color w:val="000000"/>
          <w:sz w:val="16"/>
        </w:rPr>
        <w:t>Total unrecognized equ</w:t>
      </w:r>
      <w:r>
        <w:rPr>
          <w:rFonts w:ascii="Times New Roman;serif" w:hAnsi="Times New Roman;serif"/>
          <w:b w:val="false"/>
          <w:color w:val="000000"/>
          <w:sz w:val="16"/>
          <w:shd w:fill="FFFFFF" w:val="clear"/>
        </w:rPr>
        <w:t xml:space="preserve">ity based compensation for the PSUs to be recognized in future periods is </w:t>
      </w:r>
      <w:r>
        <w:rPr>
          <w:rFonts w:ascii="Times New Roman;serif" w:hAnsi="Times New Roman;serif"/>
          <w:b w:val="false"/>
          <w:color w:val="000000"/>
          <w:sz w:val="16"/>
        </w:rPr>
        <w:t>$3.0 million</w:t>
      </w:r>
      <w:r>
        <w:rPr>
          <w:color w:val="000000"/>
          <w:shd w:fill="FFFFFF" w:val="clear"/>
        </w:rPr>
        <w:t xml:space="preserve"> </w:t>
      </w:r>
      <w:r>
        <w:rPr>
          <w:rFonts w:ascii="Times New Roman;serif" w:hAnsi="Times New Roman;serif"/>
          <w:b w:val="false"/>
          <w:color w:val="000000"/>
          <w:sz w:val="16"/>
          <w:shd w:fill="FFFFFF" w:val="clear"/>
        </w:rPr>
        <w:t xml:space="preserve">at March 31, 2026, and will be recognized over a weighted average period of </w:t>
      </w:r>
      <w:r>
        <w:rPr>
          <w:rFonts w:ascii="Times New Roman;serif" w:hAnsi="Times New Roman;serif"/>
          <w:b w:val="false"/>
          <w:color w:val="000000"/>
          <w:sz w:val="16"/>
        </w:rPr>
        <w:t>1.64 years</w:t>
      </w:r>
      <w:r>
        <w:rPr>
          <w:rFonts w:ascii="Times New Roman;serif" w:hAnsi="Times New Roman;serif"/>
          <w:b w:val="false"/>
          <w:color w:val="000000"/>
          <w:sz w:val="16"/>
          <w:shd w:fill="FFFFFF" w:val="clear"/>
        </w:rPr>
        <w:t>. Equity based compensation expense is recorded within selling, general and administrative expenses on our condensed consolidated statements of comprehensive income.</w:t>
      </w:r>
    </w:p>
    <w:p>
      <w:pPr>
        <w:pStyle w:val="TextBody"/>
        <w:bidi w:val="0"/>
        <w:spacing w:lineRule="auto" w:line="288" w:before="0" w:after="0"/>
        <w:jc w:val="left"/>
        <w:rPr/>
      </w:pPr>
      <w:r>
        <w:rPr>
          <w:rFonts w:ascii="Times New Roman;serif" w:hAnsi="Times New Roman;serif"/>
          <w:b w:val="false"/>
          <w:color w:val="000000"/>
          <w:sz w:val="10"/>
          <w:shd w:fill="FFFFFF" w:val="clear"/>
        </w:rPr>
        <w:t xml:space="preserve">(2) </w:t>
      </w:r>
      <w:r>
        <w:rPr>
          <w:rFonts w:ascii="Times New Roman;serif" w:hAnsi="Times New Roman;serif"/>
          <w:b w:val="false"/>
          <w:color w:val="000000"/>
          <w:sz w:val="16"/>
          <w:shd w:fill="FFFFFF" w:val="clear"/>
        </w:rPr>
        <w:t xml:space="preserve">Total unrecognized equity based compensation for the RSUs to be recognized in future periods is </w:t>
      </w:r>
      <w:r>
        <w:rPr>
          <w:rFonts w:ascii="Times New Roman;serif" w:hAnsi="Times New Roman;serif"/>
          <w:b w:val="false"/>
          <w:color w:val="000000"/>
          <w:sz w:val="16"/>
        </w:rPr>
        <w:t>$12.6 million</w:t>
      </w:r>
      <w:r>
        <w:rPr>
          <w:color w:val="000000"/>
          <w:shd w:fill="FFFFFF" w:val="clear"/>
        </w:rPr>
        <w:t xml:space="preserve"> </w:t>
      </w:r>
      <w:r>
        <w:rPr>
          <w:rFonts w:ascii="Times New Roman;serif" w:hAnsi="Times New Roman;serif"/>
          <w:b w:val="false"/>
          <w:color w:val="000000"/>
          <w:sz w:val="16"/>
          <w:shd w:fill="FFFFFF" w:val="clear"/>
        </w:rPr>
        <w:t xml:space="preserve">at March 31, 2026, and will be recognized over a weighted average period of </w:t>
      </w:r>
      <w:r>
        <w:rPr>
          <w:rFonts w:ascii="Times New Roman;serif" w:hAnsi="Times New Roman;serif"/>
          <w:b w:val="false"/>
          <w:color w:val="000000"/>
          <w:sz w:val="16"/>
        </w:rPr>
        <w:t>2.65 years</w:t>
      </w:r>
      <w:r>
        <w:rPr>
          <w:rFonts w:ascii="Times New Roman;serif" w:hAnsi="Times New Roman;serif"/>
          <w:b w:val="false"/>
          <w:color w:val="000000"/>
          <w:sz w:val="16"/>
          <w:shd w:fill="FFFFFF" w:val="clear"/>
        </w:rPr>
        <w:t>. Equity based compensation expense is recorded within selling, general and administrative expenses on our condensed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7. Segment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chief operating decision maker (“CODM”) is our Chief Executive Officer (“CEO”),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broad range of categories, including furniture, outdoor, bath, lighting, textiles, and décor. The assortment of merchandise can be purchased through our Retail and eCommerce sales channels.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majority of our revenue is generated through sales to clients in the United States. Sales to clients outside of the United States are not significant. Further, no single client represents ten percent or more of our net revenue. There are no inter-segment transactions. Additionally, all property, furniture and equipment are located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accounting policies of our single operating segment are the same as those described within our summary of significant accounting policies in the Notes to the Consolidated Financial Statements in our Annual Report on Form 10-K for the year ended December 31, 2025. The CODM assesses performance at the consolidated level and makes business decisions </w:t>
      </w:r>
      <w:r>
        <w:rPr>
          <w:rFonts w:ascii="Times New Roman;serif" w:hAnsi="Times New Roman;serif"/>
          <w:b w:val="false"/>
          <w:color w:val="000000"/>
          <w:sz w:val="20"/>
        </w:rPr>
        <w:t>based on various key performance indicators, primarily net income,</w:t>
      </w:r>
      <w:r>
        <w:rPr>
          <w:color w:val="000000"/>
          <w:shd w:fill="FFFFFF" w:val="clear"/>
        </w:rPr>
        <w:t xml:space="preserve"> </w:t>
      </w:r>
      <w:r>
        <w:rPr>
          <w:rFonts w:ascii="Times New Roman;serif" w:hAnsi="Times New Roman;serif"/>
          <w:b w:val="false"/>
          <w:color w:val="000000"/>
          <w:sz w:val="20"/>
          <w:shd w:fill="FFFFFF" w:val="clear"/>
        </w:rPr>
        <w:t>which is also reported on the condensed consolidated statements of comprehensive income as net and comprehensive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CODM uses net income to determine the allocation of resources for investments in retail Showrooms, information technology and systems infrastructure, as well as supply chain investments. Net income is also used as a method for planning and forecasting overall expected performance and for evaluating, on a quarterly and annual basis, actual results against such expectations.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Asset information is reported on the condensed consolidated balance sheets as total assets. However, asset information is not used for purposes of making decisions, assessing financial performance or allocating resources.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Refer to the condensed consolidated statements of cash flow for property, furniture and equipment expenditures, related depreciation and amortization and other significant noncash items.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revenue by merchandise sales channel and segment expenses (amounts in thousands):</w:t>
      </w:r>
    </w:p>
    <w:tbl>
      <w:tblPr>
        <w:tblW w:w="6099" w:type="dxa"/>
        <w:jc w:val="left"/>
        <w:tblInd w:w="0" w:type="dxa"/>
        <w:tblLayout w:type="fixed"/>
        <w:tblCellMar>
          <w:top w:w="28" w:type="dxa"/>
          <w:left w:w="28" w:type="dxa"/>
          <w:bottom w:w="28" w:type="dxa"/>
          <w:right w:w="28" w:type="dxa"/>
        </w:tblCellMar>
      </w:tblPr>
      <w:tblGrid>
        <w:gridCol w:w="1243"/>
        <w:gridCol w:w="1089"/>
        <w:gridCol w:w="1103"/>
        <w:gridCol w:w="211"/>
        <w:gridCol w:w="826"/>
        <w:gridCol w:w="109"/>
        <w:gridCol w:w="109"/>
        <w:gridCol w:w="109"/>
        <w:gridCol w:w="109"/>
        <w:gridCol w:w="211"/>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eCommerce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0"/>
              </w:rPr>
              <w:t>Total 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Less costs and expenses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Corporate and administrative expenses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0"/>
              </w:rPr>
              <w:t>Income before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0"/>
              </w:rPr>
              <w:t>Net and 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4,882 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Significant costs and expenses include cost of goods sold, corporate and administrative expenses, selling expenses and marketing expenses.</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Corporate and administrative expenses primarily include warehouse expenses, equity based compensation costs, information technology, human resources and legal costs, insurance expenses, accounting fees and corporate sustainability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8. Net and Comprehensive Income per Share</w:t>
      </w:r>
    </w:p>
    <w:p>
      <w:pPr>
        <w:pStyle w:val="TextBody"/>
        <w:bidi w:val="0"/>
        <w:spacing w:lineRule="auto" w:line="288" w:before="200" w:after="283"/>
        <w:jc w:val="left"/>
        <w:rPr/>
      </w:pPr>
      <w:r>
        <w:rPr>
          <w:rFonts w:ascii="Times New Roman;serif" w:hAnsi="Times New Roman;serif"/>
          <w:b w:val="false"/>
          <w:color w:val="000000"/>
          <w:sz w:val="20"/>
          <w:shd w:fill="FFFFFF" w:val="clear"/>
        </w:rPr>
        <w:t>Basic and diluted net and comprehensive income per share were calculated by dividing net and comprehensive income by the number of basic and diluted weighted-average common shares outstan</w:t>
      </w:r>
      <w:r>
        <w:rPr>
          <w:rFonts w:ascii="Times New Roman;serif" w:hAnsi="Times New Roman;serif"/>
          <w:b w:val="false"/>
          <w:color w:val="000000"/>
          <w:sz w:val="20"/>
        </w:rPr>
        <w:t>ding. The Company has elected to not adjust net and comprehensive income for forfeitable dividend equivalents, when declared, related to unvested equity awards. The Company will recognize dividends paid on common shares when the dividend equivalents are no longer forfeitable, such as if the contingency is met or the share-based payment awards vest into common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and comprehensive income per share are as follows (amounts in thousands, except per share data):</w:t>
      </w:r>
    </w:p>
    <w:tbl>
      <w:tblPr>
        <w:tblW w:w="8422" w:type="dxa"/>
        <w:jc w:val="left"/>
        <w:tblInd w:w="0" w:type="dxa"/>
        <w:tblLayout w:type="fixed"/>
        <w:tblCellMar>
          <w:top w:w="28" w:type="dxa"/>
          <w:left w:w="28" w:type="dxa"/>
          <w:bottom w:w="28" w:type="dxa"/>
          <w:right w:w="28" w:type="dxa"/>
        </w:tblCellMar>
      </w:tblPr>
      <w:tblGrid>
        <w:gridCol w:w="1976"/>
        <w:gridCol w:w="1734"/>
        <w:gridCol w:w="1750"/>
        <w:gridCol w:w="302"/>
        <w:gridCol w:w="884"/>
        <w:gridCol w:w="109"/>
        <w:gridCol w:w="109"/>
        <w:gridCol w:w="109"/>
        <w:gridCol w:w="109"/>
        <w:gridCol w:w="302"/>
        <w:gridCol w:w="884"/>
        <w:gridCol w:w="154"/>
      </w:tblGrid>
      <w:tr>
        <w:trPr/>
        <w:tc>
          <w:tcPr>
            <w:tcW w:w="1976"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Denominator—Weighted Average Shares Outstanding</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140,966,908 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140,361,588 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Effect of dilutive restricted stock </w:t>
            </w:r>
            <w:r>
              <w:rPr>
                <w:rFonts w:ascii="Times New Roman;serif" w:hAnsi="Times New Roman;serif"/>
                <w:b w:val="false"/>
                <w:color w:val="000000"/>
                <w:sz w:val="13"/>
              </w:rPr>
              <w:t>(1) (2)</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141,741,874 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141,090,633 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and Comprehensive Income Per Share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per share, basic</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per share, diluted</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During the three months ended March 31, 2026, 206,768 shares of unvested RSUs and dividend equivalents were excluded from the computation of diluted earnings per share because their effect would have been anti-dilutive. During the three months ended March 31, 2025, 410,380 shares of unvested restricted stock and RSUs were excluded from the computation of diluted earnings per share because their effect would have been anti-dilutive.</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During the three months ended March 31, 2026, 445,260 PSUs were excluded from the calculation of the effect of dilutive restricted stock because they did not meet the required performance criteria. During the three months ended March 31, 2025, 386,617 PSUs were excluded from the calculation of the effect of dilutive restricted stock because they did not meet the required performance criteria.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200" w:after="283"/>
        <w:jc w:val="left"/>
        <w:rPr/>
      </w:pPr>
      <w:r>
        <w:rPr>
          <w:rFonts w:ascii="Times New Roman;serif" w:hAnsi="Times New Roman;serif"/>
          <w:b w:val="false"/>
          <w:color w:val="000000"/>
          <w:sz w:val="20"/>
        </w:rPr>
        <w:t xml:space="preserve">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 As of March 31, 2026 and December 31, 2025, the Company has accrued legal costs of $6.4 million and $6.5 million, respectively, that are included within accrued other expenses in our </w:t>
      </w:r>
      <w:r>
        <w:rPr>
          <w:rFonts w:ascii="Times New Roman;serif" w:hAnsi="Times New Roman;serif"/>
          <w:b w:val="false"/>
          <w:color w:val="000000"/>
          <w:sz w:val="20"/>
          <w:shd w:fill="FFFFFF" w:val="clear"/>
        </w:rPr>
        <w:t>condensed consolidated balance sheet</w:t>
      </w:r>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March 31, 2026 and December 31, 2025, we recorded liabilities of $0.3 million and $0.3 million, respectively, in accrued other expenses on the condensed consolidated balance sheets for non-income tax matters that were probable and reasonably estimable.</w:t>
      </w:r>
    </w:p>
    <w:p>
      <w:pPr>
        <w:pStyle w:val="TextBody"/>
        <w:bidi w:val="0"/>
        <w:spacing w:lineRule="auto" w:line="288" w:before="200" w:after="283"/>
        <w:jc w:val="left"/>
        <w:rPr/>
      </w:pPr>
      <w:r>
        <w:rPr>
          <w:rFonts w:ascii="Times New Roman;serif" w:hAnsi="Times New Roman;serif"/>
          <w:b w:val="false"/>
          <w:color w:val="000000"/>
          <w:sz w:val="20"/>
        </w:rPr>
        <w:t xml:space="preserve">The Company has entered into an irrevocable standby letter of credit arrangement for purposes of protecting a lessor against default on lease payments. As of March 31, 2026, these lease payments are included in the Company’s </w:t>
      </w:r>
      <w:r>
        <w:rPr>
          <w:rFonts w:ascii="Times New Roman;serif" w:hAnsi="Times New Roman;serif"/>
          <w:b w:val="false"/>
          <w:color w:val="000000"/>
          <w:sz w:val="20"/>
          <w:shd w:fill="FFFFFF" w:val="clear"/>
        </w:rPr>
        <w:t>condensed consolidated balance sheet</w:t>
      </w:r>
      <w:r>
        <w:rPr>
          <w:color w:val="000000"/>
        </w:rPr>
        <w:t xml:space="preserve"> </w:t>
      </w:r>
      <w:r>
        <w:rPr>
          <w:rFonts w:ascii="Times New Roman;serif" w:hAnsi="Times New Roman;serif"/>
          <w:b w:val="false"/>
          <w:color w:val="000000"/>
          <w:sz w:val="20"/>
        </w:rPr>
        <w:t>within operating lease liabilities. As of March 31, 2026, the Company had a maximum financial exposure from the irrevocable standby letter of credit totaling approximately $5.1 million, all of which is applied to reduce capacity under the Company's revolving credit facility. The Company has no history of default claims, nor is it aware of circumstances that would require it to perform under this credit arrangement and believes that the resolution of any claims that might arise in the future, either individually or in the aggregate, would not materially affect the Company's condensed consolidated financial statements. Accordingly, no liability has been recorded with respect to this credit arrangement as of March 31,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29, 2024, the Board of Directors of the Company declared a special cash dividend on the Company’s Class A and Class B common stock of $0.50 per share, payable April 4, 2024, to shareholders of record at the close of business on March 21, 2024 (the “2024 Record Date”). The Company paid $0.1 million and $0.2 million of the aforementioned special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cash dividend on its Class A common stock related to dividend equivalents on equity awards that vested during the three months ended March 31, 2026 and March 31, 2025,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February 17, 2026, the Board of Directors of the Company declared a special cash dividend on the Company’s Class A and Class B common stock of $0.35 per share, payable March 31, 2026, to shareholders of record at the close of business on March 18, 2026 (the “Record Date”). The Company paid $49.4 million of the aforementioned dividend on its Class A and Class B common stock to shareholders as of the Record Date during the three months ended March 31, 2026.</w:t>
      </w:r>
    </w:p>
    <w:p>
      <w:pPr>
        <w:pStyle w:val="TextBody"/>
        <w:bidi w:val="0"/>
        <w:spacing w:lineRule="auto" w:line="288" w:before="200" w:after="283"/>
        <w:jc w:val="left"/>
        <w:rPr/>
      </w:pPr>
      <w:r>
        <w:rPr>
          <w:rFonts w:ascii="Times New Roman;serif" w:hAnsi="Times New Roman;serif"/>
          <w:b w:val="false"/>
          <w:color w:val="000000"/>
          <w:sz w:val="20"/>
        </w:rPr>
        <w:t xml:space="preserve">As of March 31, 2026, dividends payable of $0.1 million are included within accrued other expenses. Amounts that are included within other long-term liabilities are minimal as of March 31, 2026. As of March 31, 2026, $0.8 million is included within additional paid-in capital. There were no other long-term liabilities or additional paid-in capital balances for dividend equivalents as of December 31, 2025. The remaining liability and equity balances recorded on our </w:t>
      </w:r>
      <w:r>
        <w:rPr>
          <w:rFonts w:ascii="Times New Roman;serif" w:hAnsi="Times New Roman;serif"/>
          <w:b w:val="false"/>
          <w:color w:val="000000"/>
          <w:sz w:val="20"/>
          <w:shd w:fill="FFFFFF" w:val="clear"/>
        </w:rPr>
        <w:t>condensed consolidated balance sheet</w:t>
      </w:r>
      <w:r>
        <w:rPr>
          <w:rFonts w:ascii="Times New Roman;serif" w:hAnsi="Times New Roman;serif"/>
          <w:b w:val="false"/>
          <w:color w:val="000000"/>
          <w:sz w:val="20"/>
        </w:rPr>
        <w:t xml:space="preserve">s relate to dividend equivalents on outstanding equity awards under the Company’s equity incentive plan that were unvested as of the applicable record date.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February 2026, the U.S. Supreme Court issued a ruling invalidating certain tariffs previously imposed under the International Emergency Economic Powers Act (IEEPA). As a result of this ruling, we may be eligible for a refund of tariffs previously paid on imported goods. As the recoverability and timing of any such refund remains uncertain, we have not recognized a receivable and corresponding offset to expense or asset as of March 31, 2026 and will not until such amounts are realized or realizable. We continue to monitor these developments and their potential impact on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10. Related Party Transactions</w:t>
      </w:r>
    </w:p>
    <w:p>
      <w:pPr>
        <w:pStyle w:val="TextBody"/>
        <w:bidi w:val="0"/>
        <w:spacing w:lineRule="auto" w:line="288" w:before="200" w:after="283"/>
        <w:jc w:val="left"/>
        <w:rPr/>
      </w:pPr>
      <w:r>
        <w:rPr>
          <w:rFonts w:ascii="Times New Roman;serif" w:hAnsi="Times New Roman;serif"/>
          <w:b w:val="false"/>
          <w:i/>
          <w:color w:val="000000"/>
          <w:sz w:val="20"/>
          <w:shd w:fill="FFFFFF" w:val="clear"/>
        </w:rPr>
        <w:t>L</w:t>
      </w:r>
      <w:r>
        <w:rPr>
          <w:rFonts w:ascii="Times New Roman;serif" w:hAnsi="Times New Roman;serif"/>
          <w:b w:val="false"/>
          <w:i/>
          <w:color w:val="000000"/>
          <w:sz w:val="20"/>
        </w:rPr>
        <w:t>easing transactions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w:t>
      </w:r>
      <w:r>
        <w:rPr>
          <w:rFonts w:ascii="Times New Roman;serif" w:hAnsi="Times New Roman;serif"/>
          <w:b w:val="false"/>
          <w:color w:val="000000"/>
          <w:sz w:val="20"/>
          <w:shd w:fill="FFFFFF" w:val="clear"/>
        </w:rPr>
        <w:t>n November 2000, the Company entered into a lease agreement with Pagoda Partners, LLC, a company of which John Reed, our CEO, indir</w:t>
      </w:r>
      <w:r>
        <w:rPr>
          <w:rFonts w:ascii="Times New Roman;serif" w:hAnsi="Times New Roman;serif"/>
          <w:b w:val="false"/>
          <w:color w:val="000000"/>
          <w:sz w:val="20"/>
        </w:rPr>
        <w:t>ectly owns 50%, for our warehouse in Walton Hills, Ohio. The base lease term was 17 years with a 5-year renewal option. In August 2020, the Company amended the lease agreement to extend the lease term to April 2024. The monthly rental payments were $0.1 million. In July 2023, the Company amended the lease agreement to extend the lease term to April 2034 with one additional 5-year renewal option. The monthly rental payments range from $0.1 million to $0.2 million. Rent expense was $0.4 million and $0.4 million for the three months ended March 31, 2026 and March 31,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July 2010, the Company entered into a lease agreement with Brooklyn Arhaus, a company of which our CEO and Mr. Beargie, a Director of the Company, own 85% and 15%, respectively, for our Loft in Brooklyn, Ohio. The base lease term was 15 years with no lease renewal options. The monthly rental payments were $20 thousand. In April 2025, the Company amended the lease agreement, effective in October 2025, to extend the lease term to September 2040 with no lease renewal options. The monthly rental payments range from $29 thousand to $39 thousand. Rent expense was $0.1 million and $0.1 million for the three months ended March 31, 2026 and March 31, 2025,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March 2021, the Company entered into a lease agreement with Premier Conover, LLC, a company of which our CEO indirectly owns 40%, for a distribution center and manufacturing building. The base lease term is for 12 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Rent expense was $1.0 million and $1.0 million for the three months ended March 31, 2026 and March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0" w:after="0"/>
        <w:jc w:val="left"/>
        <w:rPr/>
      </w:pPr>
      <w:r>
        <w:rPr>
          <w:rFonts w:ascii="Times New Roman;serif" w:hAnsi="Times New Roman;serif"/>
          <w:b w:val="false"/>
          <w:color w:val="000000"/>
          <w:sz w:val="20"/>
          <w:shd w:fill="FFFFFF" w:val="clear"/>
        </w:rPr>
        <w:t>Income tax expenses we</w:t>
      </w:r>
      <w:r>
        <w:rPr>
          <w:rFonts w:ascii="Times New Roman;serif" w:hAnsi="Times New Roman;serif"/>
          <w:b w:val="false"/>
          <w:color w:val="000000"/>
          <w:sz w:val="20"/>
        </w:rPr>
        <w:t xml:space="preserve">re $1.2 million and $1.2 million in the three months ended March 31, 2026 and March 31, 2025, respectively. The effective tax rate was 35.3% and 19.7% for the three months ended March 31, 2026 and March 31, 2025, respectively. The increase in the effective tax rate was primarily driven by the section 162(m) limitation on the deductibility of certain employee compensation that has a disproportionate impact on the quarterly tax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You should read the following discussion and analysis of our financial condition and results of operations together with our condensed consolidated financial statements and the related notes included elsewhere in this Quarterly Report on Form 10-Q for the three months ended March 31, 2026 (“Form 10-Q”) and our Annual Report on Form 10-K for the year ended December 31, 2025. This Form 10-Q contains forward-looking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i/>
          <w:color w:val="000000"/>
          <w:sz w:val="20"/>
        </w:rPr>
        <w:t>Our ability to manage and maintain the growth rate of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ability to obtain quality merchandise in sufficient quantities;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Challenges with the planning or implementation of our technology upgrades, including a new enterprise resource planning system;</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Disruption in our receiving and distribution system, including delays in the integration of our distribution centers and the possibility that we may not realize the anticipated benefits of multiple distribution centers;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Effects of new or proposed tariffs and changes to international trade policies and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The possibility of cyberattacks and our ability to maintain adequate cybersecurity systems and procedures;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Loss, corruption and misappropriation of data and information relating to clients and employees;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Changes in and compliance with applicable data privacy rules and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 a result of constraints in our supply chain or disruptions due to geopolitical events such as acts of war and/or terrorism or other hostilities;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A failure of our vendors to meet our quality standards;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Declines in general economic conditions that affect consumer confidence and consumer spending that could adversely affect our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ability to anticipate changes in consumer preferences;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related to maintaining and increasing Showroom traffic and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ability to compete in our market;</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ability to adequately protect our intellectual property;</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Compliance with applicable governmental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Effectively managing our eCommerce sales channel and digital marketing efforts;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reliance on third-party transportation carriers and risks associated with freight and transportation costs;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Compliance with SEC rules and regulations as a public reporting company.</w:t>
      </w:r>
    </w:p>
    <w:p>
      <w:pPr>
        <w:pStyle w:val="TextBody"/>
        <w:bidi w:val="0"/>
        <w:spacing w:lineRule="auto" w:line="288" w:before="200" w:after="283"/>
        <w:jc w:val="left"/>
        <w:rPr/>
      </w:pPr>
      <w:r>
        <w:rPr>
          <w:rFonts w:ascii="Times New Roman;serif" w:hAnsi="Times New Roman;serif"/>
          <w:b w:val="false"/>
          <w:i/>
          <w:color w:val="000000"/>
          <w:sz w:val="20"/>
          <w:shd w:fill="FFFFFF" w:val="clear"/>
        </w:rPr>
        <w:t>The risks, uncertainties and assumptions referred to above that could cause our results to differ materially from the results expressed or implied by such forward-looking statements include, but are not limited to, those discussed under Item 1A. Risk Factors, Item 7. Management</w:t>
      </w:r>
      <w:r>
        <w:rPr>
          <w:color w:val="000000"/>
        </w:rPr>
        <w:t>’</w:t>
      </w:r>
      <w:r>
        <w:rPr>
          <w:rFonts w:ascii="Times New Roman;serif" w:hAnsi="Times New Roman;serif"/>
          <w:b w:val="false"/>
          <w:i/>
          <w:color w:val="000000"/>
          <w:sz w:val="20"/>
          <w:shd w:fill="FFFFFF" w:val="clear"/>
        </w:rPr>
        <w:t>s Discussion and Analysis of Financial Condition and Results of Operations, and elsewhere in our Annual Report on Form 10-K for the year ended December 31, 2025. All forward-looking statements included in this document are based on information available to us as of the date hereof, and we assume no obligation to update these forward-looking statements.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The following discussion contains references to the three months ended March 31, 2026 and </w:t>
      </w:r>
      <w:r>
        <w:rPr>
          <w:rFonts w:ascii="Times New Roman;serif" w:hAnsi="Times New Roman;serif"/>
          <w:b w:val="false"/>
          <w:i/>
          <w:color w:val="000000"/>
          <w:sz w:val="20"/>
        </w:rPr>
        <w:t>March 31, 2025</w:t>
      </w:r>
      <w:r>
        <w:rPr>
          <w:rFonts w:ascii="Times New Roman;serif" w:hAnsi="Times New Roman;serif"/>
          <w:b w:val="false"/>
          <w:i/>
          <w:color w:val="000000"/>
          <w:sz w:val="20"/>
          <w:shd w:fill="FFFFFF" w:val="clear"/>
        </w:rPr>
        <w:t xml:space="preserve">, which represents the condensed consolidated financial results of Arhaus, Inc. and subsidiaries for the three months ended March 31, 2026 and </w:t>
      </w:r>
      <w:r>
        <w:rPr>
          <w:rFonts w:ascii="Times New Roman;serif" w:hAnsi="Times New Roman;serif"/>
          <w:b w:val="false"/>
          <w:i/>
          <w:color w:val="000000"/>
          <w:sz w:val="20"/>
        </w:rPr>
        <w:t>March 31, 2025</w:t>
      </w:r>
      <w:r>
        <w:rPr>
          <w:rFonts w:ascii="Times New Roman;serif" w:hAnsi="Times New Roman;serif"/>
          <w:b w:val="false"/>
          <w:i/>
          <w:color w:val="000000"/>
          <w:sz w:val="20"/>
          <w:shd w:fill="FFFFFF" w:val="clear"/>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lineRule="auto" w:line="288" w:before="200" w:after="283"/>
        <w:jc w:val="left"/>
        <w:rPr/>
      </w:pPr>
      <w:r>
        <w:rPr>
          <w:rFonts w:ascii="Times New Roman;serif" w:hAnsi="Times New Roman;serif"/>
          <w:b w:val="false"/>
          <w:color w:val="000000"/>
          <w:sz w:val="20"/>
        </w:rPr>
        <w:t>Founded in 1986 by John Reed, our CE</w:t>
      </w:r>
      <w:r>
        <w:rPr>
          <w:rFonts w:ascii="Times New Roman;serif" w:hAnsi="Times New Roman;serif"/>
          <w:b w:val="false"/>
          <w:color w:val="000000"/>
          <w:sz w:val="20"/>
          <w:shd w:fill="FFFFFF" w:val="clear"/>
        </w:rPr>
        <w:t xml:space="preserve">O, and his father, Arhaus </w:t>
      </w:r>
      <w:r>
        <w:rPr>
          <w:rFonts w:ascii="Times New Roman;serif" w:hAnsi="Times New Roman;serif"/>
          <w:b w:val="false"/>
          <w:color w:val="000000"/>
          <w:sz w:val="20"/>
        </w:rPr>
        <w:t>is a premium home furnishings brand built on a simple idea: furniture and décor should be responsibly sourced, lovingly made, and built to last. We operate a vertically integrated model, designing and sourcing products directly from skilled artisans and carefully selected manufacturing vendors around the world, including domestic upholstery production at our own North Carolina manufacturing facility. This approach enables us to offer a highly exclusive and customizable assortment of heirloom-quality furniture and décor designed to be used and enjoyed for generations. Design is at the core of everything Arhaus does. With more than 100 Showroom locations across the United States, our integrated omni-channel model connects every client touchpoint, from Showroom and interior design to eCommerce and catalog, allowing us to meet clients wherever and however they choose to shop while delivering a highly personalized client-first experience from discovery through delivery.</w:t>
      </w:r>
      <w:r>
        <w:rPr>
          <w:color w:val="000000"/>
          <w:shd w:fill="FFFFFF" w:val="clear"/>
        </w:rPr>
        <w:t xml:space="preserv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vertically integrated model, inclusive of design and product development teams, upholstery manufacturing capabilities, direct vendor sourcing, direct-to-consumer and direct-to-trade selling, allows Arhaus to maintain greater control over product quality, design integrity, and value. We offer merchandise across a broad range of categories, including furniture, outdoor, bath, lighting, textiles and décor. Our curated assortments are presented across our sales channels in sophisticated, family-friendly and lifestyle-oriented settings.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Based on third-party reports, publicly available data, and our internal research, we believe the United States premium home furnishings market is approximately </w:t>
      </w:r>
      <w:r>
        <w:rPr>
          <w:rFonts w:ascii="Times New Roman;serif" w:hAnsi="Times New Roman;serif"/>
          <w:b w:val="false"/>
          <w:color w:val="000000"/>
          <w:sz w:val="20"/>
        </w:rPr>
        <w:t>$100 billion.</w:t>
      </w:r>
      <w:r>
        <w:rPr>
          <w:color w:val="000000"/>
          <w:shd w:fill="FFFFFF" w:val="clear"/>
        </w:rPr>
        <w:t xml:space="preserve"> </w:t>
      </w:r>
      <w:r>
        <w:rPr>
          <w:rFonts w:ascii="Times New Roman;serif" w:hAnsi="Times New Roman;serif"/>
          <w:b w:val="false"/>
          <w:color w:val="000000"/>
          <w:sz w:val="20"/>
        </w:rPr>
        <w:t>This highly fragmented market is served by a large number of independent retailers, which we believe provides us a meaningful opportunity to increase market share over time. We believe that we are well positioned to grow market share through our differentiated brand positioning, scale, and strong resonance with affluent clients who value quality, craftsmanship, and design.</w:t>
      </w:r>
    </w:p>
    <w:p>
      <w:pPr>
        <w:pStyle w:val="TextBody"/>
        <w:bidi w:val="0"/>
        <w:spacing w:lineRule="auto" w:line="288" w:before="200" w:after="283"/>
        <w:jc w:val="left"/>
        <w:rPr/>
      </w:pPr>
      <w:r>
        <w:rPr>
          <w:rFonts w:ascii="Times New Roman;serif" w:hAnsi="Times New Roman;serif"/>
          <w:b w:val="false"/>
          <w:color w:val="000000"/>
          <w:sz w:val="20"/>
        </w:rPr>
        <w:t>Products are designed for use throughout the home and are sourced directly from a global network of nearly 400 vendors</w:t>
      </w:r>
      <w:r>
        <w:rPr>
          <w:rFonts w:ascii="Times New Roman;serif" w:hAnsi="Times New Roman;serif"/>
          <w:b w:val="false"/>
          <w:color w:val="000000"/>
          <w:sz w:val="20"/>
          <w:shd w:fill="FFFFFF" w:val="clear"/>
        </w:rPr>
        <w:t>. Through close collaboration with Arhaus product development teams and sourcing relationships, and supported by our vertically integrated model, we believe we are able to deliver high-quality products at a compelling value.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Arhaus strives to deliver a welcoming and inspirational experience across both Showrooms and eCommerce, guided by our belief that retail is theater. </w:t>
      </w:r>
      <w:r>
        <w:rPr>
          <w:rFonts w:ascii="Times New Roman;serif" w:hAnsi="Times New Roman;serif"/>
          <w:b w:val="false"/>
          <w:color w:val="000000"/>
          <w:sz w:val="20"/>
        </w:rPr>
        <w:t>Showrooms are immersive, design-forward spaces that serve as an important driver of brand awareness and client engagement</w:t>
      </w:r>
      <w:r>
        <w:rPr>
          <w:rFonts w:ascii="Times New Roman;serif" w:hAnsi="Times New Roman;serif"/>
          <w:b w:val="false"/>
          <w:color w:val="000000"/>
          <w:sz w:val="20"/>
          <w:shd w:fill="FFFFFF" w:val="clear"/>
        </w:rPr>
        <w:t xml:space="preserve">, while our eCommerce channel functions as a seamless extension of the physical Showroom experience. </w:t>
      </w:r>
      <w:r>
        <w:rPr>
          <w:rFonts w:ascii="Times New Roman;serif" w:hAnsi="Times New Roman;serif"/>
          <w:b w:val="false"/>
          <w:color w:val="000000"/>
          <w:sz w:val="20"/>
        </w:rPr>
        <w:t>Our experienced design consultants and interior designers provide expert guidance and personalized service, supporting clients throughout their shopping journey.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represents the composition of our Showrooms by format and operating footprint as of each period presented: </w:t>
      </w:r>
    </w:p>
    <w:tbl>
      <w:tblPr>
        <w:tblW w:w="6055" w:type="dxa"/>
        <w:jc w:val="left"/>
        <w:tblInd w:w="0" w:type="dxa"/>
        <w:tblLayout w:type="fixed"/>
        <w:tblCellMar>
          <w:top w:w="28" w:type="dxa"/>
          <w:left w:w="28" w:type="dxa"/>
          <w:bottom w:w="28" w:type="dxa"/>
          <w:right w:w="28" w:type="dxa"/>
        </w:tblCellMar>
      </w:tblPr>
      <w:tblGrid>
        <w:gridCol w:w="1249"/>
        <w:gridCol w:w="1097"/>
        <w:gridCol w:w="1104"/>
        <w:gridCol w:w="324"/>
        <w:gridCol w:w="324"/>
        <w:gridCol w:w="326"/>
        <w:gridCol w:w="109"/>
        <w:gridCol w:w="109"/>
        <w:gridCol w:w="109"/>
        <w:gridCol w:w="381"/>
        <w:gridCol w:w="381"/>
        <w:gridCol w:w="542"/>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December 31,</w:t>
              <w:b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Showrooms</w:t>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Design Studios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Lofts</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Showrooms</w:t>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square footage (in thousands)</w:t>
            </w:r>
          </w:p>
        </w:tc>
        <w:tc>
          <w:tcPr>
            <w:tcW w:w="6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3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5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Showrooms with interior designers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interior designers</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States where we operate</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March 31, 2026, we generated $314.3 million of net revenue, $114.4 million of gross margin and $2.2 million of net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How We Assess the Performance of Our Business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U.S. GAAP results, this Form 10-Q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is useful to our investors as they present an informative supplemental view of our results from period-to-period by removing the effect of non-recurring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w:t>
      </w:r>
    </w:p>
    <w:p>
      <w:pPr>
        <w:pStyle w:val="TextBody"/>
        <w:bidi w:val="0"/>
        <w:spacing w:lineRule="auto" w:line="288" w:before="200" w:after="283"/>
        <w:jc w:val="left"/>
        <w:rPr/>
      </w:pPr>
      <w:r>
        <w:rPr>
          <w:rFonts w:ascii="Times New Roman;serif" w:hAnsi="Times New Roman;serif"/>
          <w:b w:val="false"/>
          <w:i/>
          <w:color w:val="000000"/>
          <w:sz w:val="20"/>
          <w:shd w:fill="FFFFFF" w:val="clear"/>
        </w:rPr>
        <w:t>Net Revenue and Written Sales (Formerly “Demand”)</w:t>
      </w:r>
      <w:r>
        <w:rPr>
          <w:rFonts w:ascii="Times New Roman;serif" w:hAnsi="Times New Roman;serif"/>
          <w:b w:val="false"/>
          <w:color w:val="000000"/>
          <w:sz w:val="20"/>
          <w:shd w:fill="FFFFFF" w:val="clear"/>
        </w:rPr>
        <w:t>. Net revenue is recognized when a client obtains control of the merchandise. We also track written sales in our business which is a key performance indicator linked to the level of client orders placed. Written sales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written sales is measured net of cancellations, all written sales will eventually become net revenue, with appropriate reserves, when delivered to the client.</w:t>
      </w:r>
    </w:p>
    <w:p>
      <w:pPr>
        <w:pStyle w:val="TextBody"/>
        <w:bidi w:val="0"/>
        <w:spacing w:lineRule="auto" w:line="288" w:before="200" w:after="283"/>
        <w:jc w:val="left"/>
        <w:rPr/>
      </w:pPr>
      <w:r>
        <w:rPr>
          <w:rFonts w:ascii="Times New Roman;serif" w:hAnsi="Times New Roman;serif"/>
          <w:b w:val="false"/>
          <w:i/>
          <w:color w:val="000000"/>
          <w:sz w:val="20"/>
          <w:shd w:fill="FFFFFF" w:val="clear"/>
        </w:rPr>
        <w:t>Comparable Delivered Sales (Formerly “Comparable Growth”)</w:t>
      </w:r>
      <w:r>
        <w:rPr>
          <w:rFonts w:ascii="Times New Roman;serif" w:hAnsi="Times New Roman;serif"/>
          <w:b w:val="false"/>
          <w:color w:val="000000"/>
          <w:sz w:val="20"/>
          <w:shd w:fill="FFFFFF" w:val="clear"/>
        </w:rPr>
        <w:t>. Comparable Delivered Sales is the year-over-year percentage change of the dollar value of orders delivered (based on purchase price), net of the dollar value of returns (based on 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written sales immediately upon opening, while orders delivered take additional time because product must be delivered to the client. The dollar value of orders delivered for Loft comparable locations is included.</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Comparable Delivered Sales provides management </w:t>
      </w:r>
      <w:r>
        <w:rPr>
          <w:rFonts w:ascii="Times New Roman;serif" w:hAnsi="Times New Roman;serif"/>
          <w:b w:val="false"/>
          <w:color w:val="000000"/>
          <w:sz w:val="20"/>
        </w:rPr>
        <w:t>insight into business performance for a particular period by comparing the dollar value of orders delivered (based on purchase price) in a period compared to the prior comparable period. Since delivery generally coincides with recognition of net revenue, with appropriate reserves, Comparable Delivered Sales trends will more closely track trends in reported net revenue than Comparable Written Sales.</w:t>
      </w:r>
    </w:p>
    <w:p>
      <w:pPr>
        <w:pStyle w:val="TextBody"/>
        <w:bidi w:val="0"/>
        <w:spacing w:lineRule="auto" w:line="288" w:before="200" w:after="283"/>
        <w:jc w:val="left"/>
        <w:rPr/>
      </w:pPr>
      <w:r>
        <w:rPr>
          <w:rFonts w:ascii="Times New Roman;serif" w:hAnsi="Times New Roman;serif"/>
          <w:b w:val="false"/>
          <w:i/>
          <w:color w:val="000000"/>
          <w:sz w:val="20"/>
          <w:shd w:fill="FFFFFF" w:val="clear"/>
        </w:rPr>
        <w:t>Comparable Written Sales (Formerly “Demand Comparable Growth”)</w:t>
      </w:r>
      <w:r>
        <w:rPr>
          <w:rFonts w:ascii="Times New Roman;serif" w:hAnsi="Times New Roman;serif"/>
          <w:b w:val="false"/>
          <w:color w:val="000000"/>
          <w:sz w:val="20"/>
          <w:shd w:fill="FFFFFF" w:val="clear"/>
        </w:rPr>
        <w:t xml:space="preserve">. Comparable Written Sales is the year-over-year percentage change in written sales from our comparable Showrooms and eCommerce, including through our catalogs and other mailings. This metric is a key performance indicator used by management to evaluate Showroom performance for locations that have been opened for at least 13 consecutive months, which enables management to view the performance of those Showrooms without new Showroom written sales. For Comparable Written Sales, comparable Showrooms are defined as permanent Showrooms open for at least 13 consecutive months, including relocations in the same market. The dollar value of orders written for Loft comparable locations is included. </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Comparable Written Sales provides insight into business performance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 </w:t>
      </w:r>
      <w:r>
        <w:rPr>
          <w:rFonts w:ascii="Times New Roman;serif" w:hAnsi="Times New Roman;serif"/>
          <w:b w:val="false"/>
          <w:color w:val="000000"/>
          <w:sz w:val="20"/>
        </w:rPr>
        <w:t>While the underlying written sales that support this metric will generally translate into delivered sales over time, the Comparable Written Sales and Comparable Delivered Sales measures may not correlate in any specific period partially due the lag effects in both the numerator and denominator that occur between order placement and delivery, which tend to vary based on natural variations in the supply chain. Notwithstanding these limitations, management considers it useful to evaluate both measures together to assess overall performance trends and believes investors may find them useful when reviewed alongside reported results and other key metrics.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shd w:fill="FFFFFF" w:val="clear"/>
        </w:rPr>
        <w:t xml:space="preserve">Gross Margin. </w:t>
      </w:r>
      <w:r>
        <w:rPr>
          <w:rFonts w:ascii="Times New Roman;serif" w:hAnsi="Times New Roman;serif"/>
          <w:b w:val="false"/>
          <w:color w:val="000000"/>
          <w:sz w:val="20"/>
        </w:rPr>
        <w:t>Gross margin is equal to our net revenue less cost of goods sold. Cost of goods sold includes the direct cost of purchased merchandise, inventory reserves, inbound freight, all freight 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 includes all logistics costs associated with shipping product to our clients, partially offset by delivery fees collected from clients (recorded in net revenue on the condensed consolidated statements of comprehensive income).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 xml:space="preserve">Selling, general and administrative (“SG&amp;A”) expenses include all operating costs not included in cost of goods sold. These expenses include payroll and payroll related expenses, Showroom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written sales, likely before the client obtains control of the merchandise. Variable compensation is not significant in our eCommerce sales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fixed.</w:t>
      </w:r>
    </w:p>
    <w:p>
      <w:pPr>
        <w:pStyle w:val="TextBody"/>
        <w:bidi w:val="0"/>
        <w:spacing w:lineRule="auto" w:line="288" w:before="200" w:after="283"/>
        <w:jc w:val="left"/>
        <w:rPr/>
      </w:pPr>
      <w:r>
        <w:rPr>
          <w:rFonts w:ascii="Times New Roman;serif" w:hAnsi="Times New Roman;serif"/>
          <w:b w:val="false"/>
          <w:i/>
          <w:color w:val="000000"/>
          <w:sz w:val="20"/>
        </w:rPr>
        <w:t xml:space="preserve">EBITDA. </w:t>
      </w:r>
      <w:r>
        <w:rPr>
          <w:rFonts w:ascii="Times New Roman;serif" w:hAnsi="Times New Roman;serif"/>
          <w:b w:val="false"/>
          <w:color w:val="000000"/>
          <w:sz w:val="20"/>
        </w:rPr>
        <w:t>We define EBITDA as consolidated net income before depreciation and amortization, interest income, net and income tax expense.</w:t>
      </w:r>
    </w:p>
    <w:p>
      <w:pPr>
        <w:pStyle w:val="TextBody"/>
        <w:bidi w:val="0"/>
        <w:spacing w:lineRule="auto" w:line="288" w:before="200" w:after="283"/>
        <w:jc w:val="left"/>
        <w:rPr/>
      </w:pPr>
      <w:r>
        <w:rPr>
          <w:rFonts w:ascii="Times New Roman;serif" w:hAnsi="Times New Roman;serif"/>
          <w:b w:val="false"/>
          <w:i/>
          <w:color w:val="000000"/>
          <w:sz w:val="20"/>
        </w:rPr>
        <w:t xml:space="preserve">Adjusted EBITDA. </w:t>
      </w:r>
      <w:r>
        <w:rPr>
          <w:rFonts w:ascii="Times New Roman;serif" w:hAnsi="Times New Roman;serif"/>
          <w:b w:val="false"/>
          <w:color w:val="000000"/>
          <w:sz w:val="20"/>
        </w:rPr>
        <w:t>We believe that adjusted EBITDA is a useful measure of operating performance as the adjustments eliminate items that we believe are not reflective of underlying operating performance in a particular period. Adjusted EBITDA facilitates a comparison of our operating performance on a consistent basis from period-to-period and provides for a more complete understanding of factors and trends affecting our business. 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our net and comprehensive income to EBITDA and adjusted EBITDA for the periods presented (in thousands):</w:t>
      </w:r>
    </w:p>
    <w:tbl>
      <w:tblPr>
        <w:tblW w:w="5451" w:type="dxa"/>
        <w:jc w:val="left"/>
        <w:tblInd w:w="0" w:type="dxa"/>
        <w:tblLayout w:type="fixed"/>
        <w:tblCellMar>
          <w:top w:w="28" w:type="dxa"/>
          <w:left w:w="28" w:type="dxa"/>
          <w:bottom w:w="28" w:type="dxa"/>
          <w:right w:w="28" w:type="dxa"/>
        </w:tblCellMar>
      </w:tblPr>
      <w:tblGrid>
        <w:gridCol w:w="966"/>
        <w:gridCol w:w="850"/>
        <w:gridCol w:w="854"/>
        <w:gridCol w:w="109"/>
        <w:gridCol w:w="109"/>
        <w:gridCol w:w="109"/>
        <w:gridCol w:w="211"/>
        <w:gridCol w:w="721"/>
        <w:gridCol w:w="109"/>
        <w:gridCol w:w="109"/>
        <w:gridCol w:w="109"/>
        <w:gridCol w:w="109"/>
        <w:gridCol w:w="211"/>
        <w:gridCol w:w="721"/>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26" w:before="0" w:after="0"/>
              <w:jc w:val="left"/>
              <w:rPr/>
            </w:pPr>
            <w:r>
              <w:rPr>
                <w:rFonts w:ascii="Times New Roman;serif" w:hAnsi="Times New Roman;serif"/>
                <w:b w:val="false"/>
                <w:color w:val="000000"/>
                <w:sz w:val="20"/>
              </w:rPr>
              <w:t>Other expenses</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Other expenses represent costs and investments not indicative of ongoing business performance, such as loss on disposal of assets. </w:t>
      </w:r>
    </w:p>
    <w:p>
      <w:pPr>
        <w:pStyle w:val="TextBody"/>
        <w:bidi w:val="0"/>
        <w:spacing w:lineRule="auto" w:line="288" w:before="200" w:after="283"/>
        <w:jc w:val="both"/>
        <w:rPr/>
      </w:pPr>
      <w:r>
        <w:rPr>
          <w:rFonts w:ascii="Times New Roman;serif" w:hAnsi="Times New Roman;serif"/>
          <w:b w:val="false"/>
          <w:i/>
          <w:color w:val="000000"/>
          <w:sz w:val="20"/>
        </w:rPr>
        <w:t>Free Cash Flow</w:t>
      </w:r>
      <w:r>
        <w:rPr>
          <w:rFonts w:ascii="Times New Roman;serif" w:hAnsi="Times New Roman;serif"/>
          <w:b w:val="false"/>
          <w:color w:val="000000"/>
          <w:sz w:val="20"/>
        </w:rPr>
        <w:t>. We define Free Cash Flow as net cash provided by operating activities less net cash used in investing activities. We believe that Free Cash Flow is a useful measure that is helpful in understanding the strength of our liquidity and how our business generates cash. Management uses Free Cash Flow to evaluate our overall liquidity needs and determine appropriate capital allocation strategies. Free Cash Flow should not be considered in isolation or as an alternative to net cash from operating activities calculated in accordance with U.S. GAAP and should be viewed together with our other U.S. GAAP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Factors Affecting the Comparability of our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results over the past two years have been affected by the following events, which must be understood in order to assess the comparability of our period-to-period financial performance and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Showroom Openings and Closings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New Showrooms contribute incremental expense, new Showroom opening expense and net revenue to the Company. Our recent Showroom growth from January 1, 2025 to March 31, 2026 is summarized in the following table: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tbl>
      <w:tblPr>
        <w:tblW w:w="6306" w:type="dxa"/>
        <w:jc w:val="left"/>
        <w:tblInd w:w="0" w:type="dxa"/>
        <w:tblLayout w:type="fixed"/>
        <w:tblCellMar>
          <w:top w:w="28" w:type="dxa"/>
          <w:left w:w="28" w:type="dxa"/>
          <w:bottom w:w="28" w:type="dxa"/>
          <w:right w:w="28" w:type="dxa"/>
        </w:tblCellMar>
      </w:tblPr>
      <w:tblGrid>
        <w:gridCol w:w="1222"/>
        <w:gridCol w:w="1073"/>
        <w:gridCol w:w="1079"/>
        <w:gridCol w:w="109"/>
        <w:gridCol w:w="109"/>
        <w:gridCol w:w="109"/>
        <w:gridCol w:w="324"/>
        <w:gridCol w:w="324"/>
        <w:gridCol w:w="326"/>
        <w:gridCol w:w="109"/>
        <w:gridCol w:w="109"/>
        <w:gridCol w:w="109"/>
        <w:gridCol w:w="381"/>
        <w:gridCol w:w="381"/>
        <w:gridCol w:w="542"/>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Showrooms open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Showrooms opened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Showrooms closed for relocations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Showrooms closed permanently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Showrooms open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Showrooms opened during the respective periods includes both new and relocated Showrooms.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key components of our results of operations for the periods indicated and should be read together with our condensed consolidated financial statements and related notes.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Comprehensive Income Data (in thousands):</w:t>
      </w:r>
    </w:p>
    <w:tbl>
      <w:tblPr>
        <w:tblW w:w="6726" w:type="dxa"/>
        <w:jc w:val="left"/>
        <w:tblInd w:w="0" w:type="dxa"/>
        <w:tblLayout w:type="fixed"/>
        <w:tblCellMar>
          <w:top w:w="28" w:type="dxa"/>
          <w:left w:w="28" w:type="dxa"/>
          <w:bottom w:w="28" w:type="dxa"/>
          <w:right w:w="28" w:type="dxa"/>
        </w:tblCellMar>
      </w:tblPr>
      <w:tblGrid>
        <w:gridCol w:w="1351"/>
        <w:gridCol w:w="1191"/>
        <w:gridCol w:w="1193"/>
        <w:gridCol w:w="109"/>
        <w:gridCol w:w="109"/>
        <w:gridCol w:w="109"/>
        <w:gridCol w:w="211"/>
        <w:gridCol w:w="826"/>
        <w:gridCol w:w="109"/>
        <w:gridCol w:w="109"/>
        <w:gridCol w:w="109"/>
        <w:gridCol w:w="109"/>
        <w:gridCol w:w="211"/>
        <w:gridCol w:w="82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Other Operational Data (dollars in thousands):</w:t>
      </w:r>
    </w:p>
    <w:tbl>
      <w:tblPr>
        <w:tblW w:w="8413" w:type="dxa"/>
        <w:jc w:val="left"/>
        <w:tblInd w:w="0" w:type="dxa"/>
        <w:tblLayout w:type="fixed"/>
        <w:tblCellMar>
          <w:top w:w="28" w:type="dxa"/>
          <w:left w:w="28" w:type="dxa"/>
          <w:bottom w:w="28" w:type="dxa"/>
          <w:right w:w="28" w:type="dxa"/>
        </w:tblCellMar>
      </w:tblPr>
      <w:tblGrid>
        <w:gridCol w:w="1981"/>
        <w:gridCol w:w="1744"/>
        <w:gridCol w:w="1764"/>
        <w:gridCol w:w="109"/>
        <w:gridCol w:w="109"/>
        <w:gridCol w:w="109"/>
        <w:gridCol w:w="254"/>
        <w:gridCol w:w="264"/>
        <w:gridCol w:w="557"/>
        <w:gridCol w:w="130"/>
        <w:gridCol w:w="130"/>
        <w:gridCol w:w="130"/>
        <w:gridCol w:w="261"/>
        <w:gridCol w:w="256"/>
        <w:gridCol w:w="615"/>
      </w:tblGrid>
      <w:tr>
        <w:trPr/>
        <w:tc>
          <w:tcPr>
            <w:tcW w:w="1981"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314,276</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311,372</w:t>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delivered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written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as a %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as a %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as a %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w:t>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as a %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13" w:after="283"/>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17,998</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w:t>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a %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Showrooms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See “How We Assess the Performance of Our Business,” for a definition of adjusted EBITDA and a reconciliation of adjusted EBITDA to net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Comparison of the three months ended March 31, 2026 and </w:t>
      </w:r>
      <w:r>
        <w:rPr>
          <w:rFonts w:ascii="Times New Roman;serif" w:hAnsi="Times New Roman;serif"/>
          <w:b/>
          <w:color w:val="000000"/>
          <w:sz w:val="20"/>
          <w:shd w:fill="FFFFFF" w:val="clear"/>
        </w:rPr>
        <w:t>March 31, 2025</w:t>
      </w:r>
      <w:r>
        <w:rPr>
          <w:color w:val="000000"/>
          <w:shd w:fill="FFFFFF" w:val="clear"/>
        </w:rPr>
        <w:t xml:space="preserv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Revenue</w:t>
      </w:r>
    </w:p>
    <w:p>
      <w:pPr>
        <w:pStyle w:val="TextBody"/>
        <w:bidi w:val="0"/>
        <w:spacing w:lineRule="auto" w:line="288" w:before="200" w:after="283"/>
        <w:jc w:val="left"/>
        <w:rPr/>
      </w:pPr>
      <w:r>
        <w:rPr>
          <w:rFonts w:ascii="Times New Roman;serif" w:hAnsi="Times New Roman;serif"/>
          <w:b w:val="false"/>
          <w:color w:val="000000"/>
          <w:sz w:val="20"/>
        </w:rPr>
        <w:t>Net revenue increased $2.9 million, or 0.9%, to $314.3 million in the three months ended March 31, 2026 compared to $311.4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three months ended March 31, 2025. The increase was driven primarily by $9.3 million of revenue growth related to new Showrooms opened in 2025, partially offset by lower demand for our products.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Gross Margin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Gross margin decreased $1.2 million, or 1.0%, to $114.4 million in the three months ended March 31, 2026 compared to $115.6 million in the three months ended March 31, 2025. The decrease was primarily driven by increased product costs of $4.1 million, higher Showroom occupancy costs of $1.5 million, and higher fuel costs of $1.2 million, partially offset by lower delivery and transportation costs of $3.4 million and higher net revenue.</w:t>
      </w:r>
    </w:p>
    <w:p>
      <w:pPr>
        <w:pStyle w:val="TextBody"/>
        <w:bidi w:val="0"/>
        <w:spacing w:lineRule="auto" w:line="288" w:before="200" w:after="283"/>
        <w:jc w:val="left"/>
        <w:rPr/>
      </w:pPr>
      <w:r>
        <w:rPr>
          <w:rFonts w:ascii="Times New Roman;serif" w:hAnsi="Times New Roman;serif"/>
          <w:b w:val="false"/>
          <w:color w:val="000000"/>
          <w:sz w:val="20"/>
          <w:shd w:fill="FFFFFF" w:val="clear"/>
        </w:rPr>
        <w:t>As a percentage of net revenue</w:t>
      </w:r>
      <w:r>
        <w:rPr>
          <w:rFonts w:ascii="Times New Roman;serif" w:hAnsi="Times New Roman;serif"/>
          <w:b w:val="false"/>
          <w:color w:val="000000"/>
          <w:sz w:val="20"/>
        </w:rPr>
        <w:t xml:space="preserve">, gross margin decreased 70 basis points to 36.4% </w:t>
      </w:r>
      <w:r>
        <w:rPr>
          <w:rFonts w:ascii="Times New Roman;serif" w:hAnsi="Times New Roman;serif"/>
          <w:b w:val="false"/>
          <w:color w:val="000000"/>
          <w:sz w:val="20"/>
          <w:shd w:fill="FFFFFF" w:val="clear"/>
        </w:rPr>
        <w:t xml:space="preserve">of net revenue in the </w:t>
      </w:r>
      <w:r>
        <w:rPr>
          <w:rFonts w:ascii="Times New Roman;serif" w:hAnsi="Times New Roman;serif"/>
          <w:b w:val="false"/>
          <w:color w:val="000000"/>
          <w:sz w:val="20"/>
        </w:rPr>
        <w:t>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compared to 37.1% of net revenue in the </w:t>
      </w:r>
      <w:r>
        <w:rPr>
          <w:rFonts w:ascii="Times New Roman;serif" w:hAnsi="Times New Roman;serif"/>
          <w:b w:val="false"/>
          <w:color w:val="000000"/>
          <w:sz w:val="20"/>
        </w:rPr>
        <w:t>three months ended March 31, 2025</w:t>
      </w:r>
      <w:r>
        <w:rPr>
          <w:rFonts w:ascii="Times New Roman;serif" w:hAnsi="Times New Roman;serif"/>
          <w:b w:val="false"/>
          <w:color w:val="000000"/>
          <w:sz w:val="20"/>
          <w:shd w:fill="FFFFFF" w:val="clear"/>
        </w:rPr>
        <w:t>. The gross margin decrease was primarily driven by</w:t>
      </w:r>
      <w:r>
        <w:rPr>
          <w:color w:val="000000"/>
        </w:rPr>
        <w:t xml:space="preserve"> </w:t>
      </w:r>
      <w:r>
        <w:rPr>
          <w:rFonts w:ascii="Times New Roman;serif" w:hAnsi="Times New Roman;serif"/>
          <w:b w:val="false"/>
          <w:color w:val="000000"/>
          <w:sz w:val="20"/>
        </w:rPr>
        <w:t>Showroom occupancy costs, which increased by 40 basis points and higher fuel costs, which increased by 40 basis points.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00" w:after="283"/>
        <w:jc w:val="left"/>
        <w:rPr/>
      </w:pPr>
      <w:r>
        <w:rPr>
          <w:rFonts w:ascii="Times New Roman;serif" w:hAnsi="Times New Roman;serif"/>
          <w:b w:val="false"/>
          <w:color w:val="000000"/>
          <w:sz w:val="20"/>
        </w:rPr>
        <w:t>SG&amp;A expenses increased $2.1 million, or 1.9%, to $112.2 million in the three months ended March 31, 2026 compared to $110.1 million in the three months ended March 31, 2025. The increase was primarily due to a $1.9 million increase in general and administrative costs related to strategic investments to support and drive the growth of the business, including supply chain and technology improvements, and other corporate expenses.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As a percentage of net revenue, SG&amp;A expenses</w:t>
      </w:r>
      <w:r>
        <w:rPr>
          <w:color w:val="000000"/>
        </w:rPr>
        <w:t xml:space="preserve"> </w:t>
      </w:r>
      <w:r>
        <w:rPr>
          <w:rFonts w:ascii="Times New Roman;serif" w:hAnsi="Times New Roman;serif"/>
          <w:b w:val="false"/>
          <w:color w:val="000000"/>
          <w:sz w:val="20"/>
        </w:rPr>
        <w:t>increased 40 basis points to 35.7% o</w:t>
      </w:r>
      <w:r>
        <w:rPr>
          <w:rFonts w:ascii="Times New Roman;serif" w:hAnsi="Times New Roman;serif"/>
          <w:b w:val="false"/>
          <w:color w:val="000000"/>
          <w:sz w:val="20"/>
          <w:shd w:fill="FFFFFF" w:val="clear"/>
        </w:rPr>
        <w:t xml:space="preserve">f net revenue in the </w:t>
      </w:r>
      <w:r>
        <w:rPr>
          <w:rFonts w:ascii="Times New Roman;serif" w:hAnsi="Times New Roman;serif"/>
          <w:b w:val="false"/>
          <w:color w:val="000000"/>
          <w:sz w:val="20"/>
        </w:rPr>
        <w:t>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compared to 35.3% of net revenue in the </w:t>
      </w:r>
      <w:r>
        <w:rPr>
          <w:rFonts w:ascii="Times New Roman;serif" w:hAnsi="Times New Roman;serif"/>
          <w:b w:val="false"/>
          <w:color w:val="000000"/>
          <w:sz w:val="20"/>
        </w:rPr>
        <w:t>three months ended March 31, 2025</w:t>
      </w:r>
      <w:r>
        <w:rPr>
          <w:rFonts w:ascii="Times New Roman;serif" w:hAnsi="Times New Roman;serif"/>
          <w:b w:val="false"/>
          <w:color w:val="000000"/>
          <w:sz w:val="20"/>
          <w:shd w:fill="FFFFFF" w:val="clear"/>
        </w:rPr>
        <w:t>.</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Income, net</w:t>
      </w:r>
    </w:p>
    <w:p>
      <w:pPr>
        <w:pStyle w:val="TextBody"/>
        <w:bidi w:val="0"/>
        <w:spacing w:lineRule="auto" w:line="288" w:before="200" w:after="283"/>
        <w:jc w:val="left"/>
        <w:rPr/>
      </w:pPr>
      <w:r>
        <w:rPr>
          <w:rFonts w:ascii="Times New Roman;serif" w:hAnsi="Times New Roman;serif"/>
          <w:b w:val="false"/>
          <w:color w:val="000000"/>
          <w:sz w:val="20"/>
        </w:rPr>
        <w:t>Interest income, net decreased to</w:t>
      </w:r>
      <w:r>
        <w:rPr>
          <w:color w:val="000000"/>
        </w:rPr>
        <w:t xml:space="preserve"> </w:t>
      </w:r>
      <w:r>
        <w:rPr>
          <w:rFonts w:ascii="Times New Roman;serif" w:hAnsi="Times New Roman;serif"/>
          <w:b w:val="false"/>
          <w:color w:val="000000"/>
          <w:sz w:val="20"/>
        </w:rPr>
        <w:t>$0.5 million in the three months ended March 31, 2026 compared to $0.6 million</w:t>
      </w:r>
      <w:r>
        <w:rPr>
          <w:color w:val="000000"/>
        </w:rPr>
        <w:t xml:space="preserve"> </w:t>
      </w:r>
      <w:r>
        <w:rPr>
          <w:rFonts w:ascii="Times New Roman;serif" w:hAnsi="Times New Roman;serif"/>
          <w:b w:val="false"/>
          <w:color w:val="000000"/>
          <w:sz w:val="20"/>
        </w:rPr>
        <w:t xml:space="preserve">in the three months ended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was $1.2 million in the three months ended March 31, 2026 compared to $1.2 million in the three months ended March 31, 2025. Our effective tax rate was 35.3% and 19.7% for the three months ended March 31, 2026 and March 31, 2025, respectively. The increase in the effective tax rate was primarily driven by the section 162(m) limitation on the deductibility of certain employee compensation that has a disproportionate impact on the quarterly tax rate.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and Comprehensive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decreased $2.7 million to $2.2 million in the three months ended March 31, 2026 compared to $4.9 million in the three months ended March 31, 2025. The decrease was driven by the factors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Liquidity Outlook</w:t>
      </w:r>
    </w:p>
    <w:p>
      <w:pPr>
        <w:pStyle w:val="TextBody"/>
        <w:bidi w:val="0"/>
        <w:spacing w:lineRule="auto" w:line="288" w:before="200" w:after="283"/>
        <w:jc w:val="left"/>
        <w:rPr/>
      </w:pPr>
      <w:r>
        <w:rPr>
          <w:rFonts w:ascii="Times New Roman;serif" w:hAnsi="Times New Roman;serif"/>
          <w:b w:val="false"/>
          <w:color w:val="000000"/>
          <w:sz w:val="20"/>
          <w:shd w:fill="FFFFFF" w:val="clear"/>
        </w:rPr>
        <w:t>Our primary cash needs have historically been for merchandise inventories, payroll, marketing, Showroom rent, capital expenditures associated with opening new Showrooms and renovating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w:t>
      </w:r>
      <w:r>
        <w:rPr>
          <w:color w:val="000000"/>
        </w:rPr>
        <w:t xml:space="preserve"> </w:t>
      </w:r>
      <w:r>
        <w:rPr>
          <w:rFonts w:ascii="Times New Roman;serif" w:hAnsi="Times New Roman;serif"/>
          <w:b w:val="false"/>
          <w:color w:val="000000"/>
          <w:sz w:val="20"/>
          <w:shd w:fill="FFFFFF" w:val="clear"/>
        </w:rPr>
        <w:t xml:space="preserve">As of March 31, 2026, we had cash and cash equivalents </w:t>
      </w:r>
      <w:r>
        <w:rPr>
          <w:rFonts w:ascii="Times New Roman;serif" w:hAnsi="Times New Roman;serif"/>
          <w:b w:val="false"/>
          <w:color w:val="000000"/>
          <w:sz w:val="20"/>
        </w:rPr>
        <w:t>of $177.1 million.</w:t>
      </w:r>
      <w:r>
        <w:rPr>
          <w:color w:val="000000"/>
          <w:shd w:fill="FFFFFF" w:val="clear"/>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principal sources of liquidity are primarily cash flows from operations. We believe our operating cash flows will be sufficient to meet working capital requirements and fulfill other capital needs for at least the next 12 months, although we may enter into borrowing arrangements in the future.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we do not require debt to fund our operations, our goal continues to be to position the Company to take advantage of the many opportunities that we may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 to fund investments and strategies related to growth initiatives, including supply chain and technology improvements. Our needs and uses of capital may change in the future due to changes in our business or new opportunities that we choose to pursue. As of March 31, 2026, we have no material off-balance sheet arrangements.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February 29, 2024, the Board of Directors of the Company declared a special cash dividend on the Company’s Class A and Class B common stock of $0.50 per share, payable April 4, 2024, to shareholders of record at the close of business on March 21, 2024. The Company paid $0.1 million and $0.2 million of the aforementioned special cash dividend on its Class A common stock related to dividend equivalents on equity awards that vested during the three months ended March 31, 2026 and March 31, 2025,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February 17, 2026, the Board of Directors of the Company declared a special cash dividend on the Company’s Class A and Class B common stock of $0.35 per share, payable March 31, 2026, to shareholders of record at the close of business on March 18, 2026. The Company paid $49.4 million of the aforementioned dividend on its Class A and Class B common stock to shareholders as of the Record Date during the three months ended March 31,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begun a multi-year transformation that will replace certain of our existing systems with a modern and integrated platform encompassing a new enterprise resource planning system (“ERP”), an order management system and a transportation management system. The total incremental investment in connection with these technology upgrades is expected to be approximately $30 million, including implementation and project staffing costs as well as licensing fees through 2030. Cash outflows were approximately $3 million during the three months ended March 31, 2026, and we anticipate approximately $12 million in 2026 and $10 million in 2027, with cash outflows tapering in early 2028 as we transition to annual licensing and maintenance costs of approximately $2 million per year through 2030.</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November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maximum rent-adjusted total leverage ratio and a minimum fixed charge ratio. The 2021 Credit Facility initially bore variable interest rates at the prevailing Bloomberg Short-Term Bank Yield index rate plus the applicable margin, whereas the applicable margin is adjusted quarterly based on the Company’s consolidated rent-adjusted total leverage ratio.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2022, the Company amended the 2021 Credit Facility to increase the revolving credit commitment thereunder by $25.0 million. After giving effect to such increase, the aggregate amount of all commitments under the 2021 Credit Facility was $75.0 million. </w:t>
      </w:r>
    </w:p>
    <w:p>
      <w:pPr>
        <w:pStyle w:val="TextBody"/>
        <w:bidi w:val="0"/>
        <w:spacing w:lineRule="auto" w:line="288" w:before="200" w:after="283"/>
        <w:jc w:val="left"/>
        <w:rPr/>
      </w:pPr>
      <w:r>
        <w:rPr>
          <w:rFonts w:ascii="Times New Roman;serif" w:hAnsi="Times New Roman;serif"/>
          <w:b w:val="false"/>
          <w:color w:val="000000"/>
          <w:sz w:val="20"/>
        </w:rPr>
        <w:t xml:space="preserve">In August 2024, the Company amended the 2021 Credit Facility to adjust the index rate from the Bloomberg Short-Term Bank Yield Index to Term Secured Overnight Financing Rate. The 2021 Credit Facility bears variable interest rates at the prevailing Term Secured Overnight Financing Rate plus the applicable margin (1.75% at </w:t>
      </w:r>
      <w:r>
        <w:rPr>
          <w:rFonts w:ascii="Times New Roman;serif" w:hAnsi="Times New Roman;serif"/>
          <w:b w:val="false"/>
          <w:color w:val="000000"/>
          <w:sz w:val="20"/>
          <w:shd w:fill="FFFFFF" w:val="clear"/>
        </w:rPr>
        <w:t>March 31, 2025</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the Company issued an irrevocable standby letter of credit under the 2021 Credit Facility in the amount of $5.1 million in connection with a lease, which remained outstanding at March 31, 2026.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October 2025, the Company entered into the Third Amendment to Credit Agreement and Amendment to Security and Pledge Agreement (the “Amendment”). The Amendment further amends the 2021 Credit Facility to, among other things, (1) extend the maturity date of the revolving credit facility from November 8, 2026 to October 17, 2030, and (2) increase the letter of credit commitment to an amount equal to the lesser of (a) $15 million, and (b) the amount of the revolving credit facility as of such date. After giving effect to the Amendment, the aggregate amount of revolving credit commitments under the Credit Agreement remains $75 million. The Company has the option to increase the revolving credit commitment thereunder by an additional $25 million. In connection with the Amendment, the Company has incurred approximately $0.2 million in debt issuance costs. The 2021 Credit Facility bears variable interest rates at the prevailing Term Secured Overnight Financing Rate plus the applicable margin (1.75% at March 31, 2026). At March 31, 2026 and December 31, 2025, we had no borrowings on the 2021 Credit Facility and the available borrowing capacity was $69.9 million and $69.9 million, respectively.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Refer to Note 4 —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to our condensed consolidated financial statements for further information on our 2021 Credit Facility.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Flow Analysis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cash provided by operating, investing and financing activities (amounts in thousands):</w:t>
      </w:r>
    </w:p>
    <w:tbl>
      <w:tblPr>
        <w:tblW w:w="8421" w:type="dxa"/>
        <w:jc w:val="left"/>
        <w:tblInd w:w="0" w:type="dxa"/>
        <w:tblLayout w:type="fixed"/>
        <w:tblCellMar>
          <w:top w:w="28" w:type="dxa"/>
          <w:left w:w="28" w:type="dxa"/>
          <w:bottom w:w="28" w:type="dxa"/>
          <w:right w:w="28" w:type="dxa"/>
        </w:tblCellMar>
      </w:tblPr>
      <w:tblGrid>
        <w:gridCol w:w="2014"/>
        <w:gridCol w:w="1772"/>
        <w:gridCol w:w="1779"/>
        <w:gridCol w:w="109"/>
        <w:gridCol w:w="109"/>
        <w:gridCol w:w="109"/>
        <w:gridCol w:w="211"/>
        <w:gridCol w:w="796"/>
        <w:gridCol w:w="109"/>
        <w:gridCol w:w="109"/>
        <w:gridCol w:w="109"/>
        <w:gridCol w:w="109"/>
        <w:gridCol w:w="211"/>
        <w:gridCol w:w="721"/>
        <w:gridCol w:w="154"/>
      </w:tblGrid>
      <w:tr>
        <w:trPr/>
        <w:tc>
          <w:tcPr>
            <w:tcW w:w="2014"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cash (used in) provided by operating activities</w:t>
      </w:r>
    </w:p>
    <w:p>
      <w:pPr>
        <w:pStyle w:val="TextBody"/>
        <w:bidi w:val="0"/>
        <w:spacing w:lineRule="auto" w:line="288" w:before="200" w:after="283"/>
        <w:jc w:val="left"/>
        <w:rPr/>
      </w:pPr>
      <w:r>
        <w:rPr>
          <w:rFonts w:ascii="Times New Roman;serif" w:hAnsi="Times New Roman;serif"/>
          <w:b w:val="false"/>
          <w:i/>
          <w:color w:val="000000"/>
          <w:sz w:val="20"/>
        </w:rPr>
        <w:t xml:space="preserve">Comparison of the three months ended March 31, 2026 and </w:t>
      </w:r>
      <w:r>
        <w:rPr>
          <w:rFonts w:ascii="Times New Roman;serif" w:hAnsi="Times New Roman;serif"/>
          <w:b w:val="false"/>
          <w:i/>
          <w:color w:val="000000"/>
          <w:sz w:val="20"/>
          <w:shd w:fill="FFFFFF" w:val="clear"/>
        </w:rPr>
        <w:t>March 31,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 consist primarily of net income adjusted for non-cash items including depreciation and amortization, operating lease amortization, deferred income taxes, equity based compensation and the effect of changes in working capital and other activities.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three months ended March 31, 2026, net cash used in operating activities was $9.7 million and consisted of net income of $2.2 million adjusted for non-cash items of $35.7 million, which were partially offset by a decrease in working capital and other activities of $47.6 million. The use of cash from working capital was primarily driven by an increase in merchandise inventory of $30.7 million, a decrease in operating lease liabilities of $17.9 million primarily due to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made under the related lease agreements, a decrease in accrued expenses of $16.1 million, a decrease in accounts payable $11.9 million, and an increase in prepaid and other current assets of $7.2 million, which was partially offset by an increase in client deposits of $35.3 million in the three months ended March 31, 2026.</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March 31, 2025, n</w:t>
      </w:r>
      <w:r>
        <w:rPr>
          <w:rFonts w:ascii="Times New Roman;serif" w:hAnsi="Times New Roman;serif"/>
          <w:b w:val="false"/>
          <w:color w:val="000000"/>
          <w:sz w:val="20"/>
          <w:shd w:fill="FFFFFF" w:val="clear"/>
        </w:rPr>
        <w:t xml:space="preserve">et cash provided by operating activities was $46.5 million and consisted of net income of $4.9 million an increase of non-cash items of $30.1 million and an increase in working capital and other activities of $11.5 million. The change in working capital was primarily driven by an increase in client deposits of $42.3 million, which was partially offset by a decrease in operating lease liabilities of $13.9 million primarily due to payments made under the related lease agreements, a decrease in accounts payable of $8.7 million, an increase in merchandise inventory of $4.4 million and a decrease in accrued expenses of $3.2 million in the </w:t>
      </w:r>
      <w:r>
        <w:rPr>
          <w:rFonts w:ascii="Times New Roman;serif" w:hAnsi="Times New Roman;serif"/>
          <w:b w:val="false"/>
          <w:color w:val="000000"/>
          <w:sz w:val="20"/>
        </w:rPr>
        <w:t>three months ended March 31, 2025.</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cash used in investing activities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Comparison of the three months ended March 31, 2026 and March 31,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 consist primarily of capital expenditures related to investments in Showrooms, vehicles, information technology and systems infrastructure, as well as supply chain investments.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net cash used in investing activities was $15.9 million primarily due to investments in Showrooms, investments in our supply chain, and information technology and systems infrastructure, which was partially offset by insurance proceeds for property, furniture, and equipment.</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March 31, 2025</w:t>
      </w:r>
      <w:r>
        <w:rPr>
          <w:rFonts w:ascii="Times New Roman;serif" w:hAnsi="Times New Roman;serif"/>
          <w:b w:val="false"/>
          <w:color w:val="000000"/>
          <w:sz w:val="20"/>
          <w:shd w:fill="FFFFFF" w:val="clear"/>
        </w:rPr>
        <w:t xml:space="preserve">, net cash used in investing activities was $27.6 million </w:t>
      </w:r>
      <w:r>
        <w:rPr>
          <w:rFonts w:ascii="Times New Roman;serif" w:hAnsi="Times New Roman;serif"/>
          <w:b w:val="false"/>
          <w:color w:val="000000"/>
          <w:sz w:val="20"/>
        </w:rPr>
        <w:t>primarily due to investments in Showrooms, vehicles, and information technology and systems infrastructure.</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Capital Expenditures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Historically, we have invested significant capital expenditures in opening new Showrooms. These capital expenditures have increased in the past and may continue to increase in future periods as we open additional Showrooms. Our capital expenditures include expenditures related to investing activities and outflows of capital related to construction activities to design and build leasehold improvement assets. Certain lease arrangements require the landlord to fund a portion of the construction related costs through tenant improvement allowance payments directly to us. New Showrooms may require different levels of company-funded capital investment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Historical capital expenditures are summarized as follows (amounts in thousands):</w:t>
      </w:r>
    </w:p>
    <w:tbl>
      <w:tblPr>
        <w:tblW w:w="7461" w:type="dxa"/>
        <w:jc w:val="left"/>
        <w:tblInd w:w="0" w:type="dxa"/>
        <w:tblLayout w:type="fixed"/>
        <w:tblCellMar>
          <w:top w:w="28" w:type="dxa"/>
          <w:left w:w="28" w:type="dxa"/>
          <w:bottom w:w="28" w:type="dxa"/>
          <w:right w:w="28" w:type="dxa"/>
        </w:tblCellMar>
      </w:tblPr>
      <w:tblGrid>
        <w:gridCol w:w="1696"/>
        <w:gridCol w:w="1490"/>
        <w:gridCol w:w="1494"/>
        <w:gridCol w:w="109"/>
        <w:gridCol w:w="109"/>
        <w:gridCol w:w="109"/>
        <w:gridCol w:w="211"/>
        <w:gridCol w:w="721"/>
        <w:gridCol w:w="109"/>
        <w:gridCol w:w="109"/>
        <w:gridCol w:w="109"/>
        <w:gridCol w:w="109"/>
        <w:gridCol w:w="211"/>
        <w:gridCol w:w="721"/>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468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Landlord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 expenditures, net of landlord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Total capital expenditures, net of landlord contributions</w:t>
      </w:r>
      <w:r>
        <w:rPr>
          <w:color w:val="000000"/>
        </w:rPr>
        <w:t xml:space="preserve"> </w:t>
      </w:r>
      <w:r>
        <w:rPr>
          <w:rFonts w:ascii="Times New Roman;serif" w:hAnsi="Times New Roman;serif"/>
          <w:b w:val="false"/>
          <w:color w:val="000000"/>
          <w:sz w:val="20"/>
        </w:rPr>
        <w:t>decreased by $9.3 million in the three months ended March 31, 2026 compared to the three months ended March 31, 2025.</w:t>
      </w:r>
    </w:p>
    <w:p>
      <w:pPr>
        <w:pStyle w:val="TextBody"/>
        <w:bidi w:val="0"/>
        <w:spacing w:lineRule="auto" w:line="288" w:before="200" w:after="283"/>
        <w:jc w:val="left"/>
        <w:rPr/>
      </w:pPr>
      <w:r>
        <w:rPr>
          <w:rFonts w:ascii="Times New Roman;serif" w:hAnsi="Times New Roman;serif"/>
          <w:b w:val="false"/>
          <w:color w:val="000000"/>
          <w:sz w:val="20"/>
        </w:rPr>
        <w:t>We anticipate our total capital expenditures, net of landlord contributions to be between $70 million and $90 million</w:t>
      </w:r>
      <w:r>
        <w:rPr>
          <w:color w:val="000000"/>
        </w:rPr>
        <w:t xml:space="preserve"> </w:t>
      </w:r>
      <w:r>
        <w:rPr>
          <w:rFonts w:ascii="Times New Roman;serif" w:hAnsi="Times New Roman;serif"/>
          <w:b w:val="false"/>
          <w:color w:val="000000"/>
          <w:sz w:val="20"/>
        </w:rPr>
        <w:t>in fiscal year 2026, primarily related to new Showrooms and information technology and systems infrastructure.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cash used in financing activities</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Comparison of the </w:t>
      </w:r>
      <w:r>
        <w:rPr>
          <w:rFonts w:ascii="Times New Roman;serif" w:hAnsi="Times New Roman;serif"/>
          <w:b w:val="false"/>
          <w:i/>
          <w:color w:val="000000"/>
          <w:sz w:val="20"/>
        </w:rPr>
        <w:t xml:space="preserve">three months ended March 31, 2026 and </w:t>
      </w:r>
      <w:r>
        <w:rPr>
          <w:rFonts w:ascii="Times New Roman;serif" w:hAnsi="Times New Roman;serif"/>
          <w:b w:val="false"/>
          <w:i/>
          <w:color w:val="000000"/>
          <w:sz w:val="20"/>
          <w:shd w:fill="FFFFFF" w:val="clear"/>
        </w:rPr>
        <w:t>March 31, 2025</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March 31, 2026</w:t>
      </w:r>
      <w:r>
        <w:rPr>
          <w:rFonts w:ascii="Times New Roman;serif" w:hAnsi="Times New Roman;serif"/>
          <w:b w:val="false"/>
          <w:color w:val="000000"/>
          <w:sz w:val="20"/>
          <w:shd w:fill="FFFFFF" w:val="clear"/>
        </w:rPr>
        <w:t>, net cash used in financing activities wa</w:t>
      </w:r>
      <w:r>
        <w:rPr>
          <w:rFonts w:ascii="Times New Roman;serif" w:hAnsi="Times New Roman;serif"/>
          <w:b w:val="false"/>
          <w:color w:val="000000"/>
          <w:sz w:val="20"/>
        </w:rPr>
        <w:t>s $50.6 million primarily due to the payment of the special dividend on our Class A and Class B common stock.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rPr>
        <w:t>For the three months ended March 31, 2025, net cash used in financing activities was $1.9 million primarily due to the repurchase of shares for payment of withholding taxes for equity based compensation</w:t>
      </w:r>
      <w:r>
        <w:rPr>
          <w:rFonts w:ascii="Times New Roman;serif" w:hAnsi="Times New Roman;serif"/>
          <w:b w:val="false"/>
          <w:color w:val="000000"/>
          <w:sz w:val="20"/>
          <w:shd w:fill="FFFFFF" w:val="clear"/>
        </w:rPr>
        <w:t>. These shares were not repurchased in connection with any publicly announced share repurchase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Policies and Estimates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Part II, Item 7 “Management’s Discussion and Analysis of Financial Condition and Results of Operations — Critical Accounting Policies and Estimates”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See Note </w:t>
      </w:r>
      <w:r>
        <w:rPr>
          <w:rFonts w:ascii="Times New Roman;serif" w:hAnsi="Times New Roman;serif"/>
          <w:b w:val="false"/>
          <w:color w:val="000000"/>
          <w:sz w:val="20"/>
        </w:rPr>
        <w:t>2</w:t>
      </w:r>
      <w:r>
        <w:rPr>
          <w:color w:val="000000"/>
          <w:shd w:fill="FFFFFF" w:val="clear"/>
        </w:rPr>
        <w:t xml:space="preserve"> — </w:t>
      </w:r>
      <w:r>
        <w:rPr>
          <w:rFonts w:ascii="Times New Roman;serif" w:hAnsi="Times New Roman;serif"/>
          <w:b w:val="false"/>
          <w:i/>
          <w:color w:val="000000"/>
          <w:sz w:val="20"/>
          <w:shd w:fill="FFFFFF" w:val="clear"/>
        </w:rPr>
        <w:t xml:space="preserve">Recently Issued Accounting Standards </w:t>
      </w:r>
      <w:r>
        <w:rPr>
          <w:rFonts w:ascii="Times New Roman;serif" w:hAnsi="Times New Roman;serif"/>
          <w:b w:val="false"/>
          <w:color w:val="000000"/>
          <w:sz w:val="20"/>
          <w:shd w:fill="FFFFFF" w:val="clear"/>
        </w:rPr>
        <w:t>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Quantitative and Qualitative Disclosures About Market Risk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exposed to market risks, which include changes in United States interest rates, foreign currency exchange rate fluctuations and the effects of economic uncertainty, which may affect the prices we pay our vendors in the foreign countries in which we do business. We do not engage in financial transactions for trading or speculative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Foreign Currency Exchange Risk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three months ended March 31, 2026 and March 31, 2025, respectively.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Rate Risk</w:t>
      </w:r>
    </w:p>
    <w:p>
      <w:pPr>
        <w:pStyle w:val="TextBody"/>
        <w:bidi w:val="0"/>
        <w:spacing w:lineRule="auto" w:line="288" w:before="200" w:after="283"/>
        <w:jc w:val="left"/>
        <w:rPr/>
      </w:pPr>
      <w:r>
        <w:rPr>
          <w:rFonts w:ascii="Times New Roman;serif" w:hAnsi="Times New Roman;serif"/>
          <w:b w:val="false"/>
          <w:color w:val="000000"/>
          <w:sz w:val="20"/>
        </w:rPr>
        <w:t xml:space="preserve">We are primarily exposed to interest rate risk with respect to borrowing under our 2021 Credit Facility. Except for the $5.1 million irrevocable standby letter of credit issued in May 2025 as discussed in Note 4 —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to our condensed consolidated financial statements, we have no borrowings under the 2021 Credit Facility as of March 31, 2026.</w:t>
      </w:r>
      <w:r>
        <w:rPr>
          <w:color w:val="000000"/>
          <w:shd w:fill="FFFFFF" w:val="clear"/>
        </w:rPr>
        <w:t xml:space="preserve"> </w:t>
      </w:r>
      <w:r>
        <w:rPr>
          <w:rFonts w:ascii="Times New Roman;serif" w:hAnsi="Times New Roman;serif"/>
          <w:b w:val="false"/>
          <w:color w:val="000000"/>
          <w:sz w:val="20"/>
          <w:shd w:fill="FFFFFF" w:val="clear"/>
        </w:rPr>
        <w:t>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Impact of Inflation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Inflation generally affects us by increasing our cost of labor, material, transportation, and our general costs. We have historically been able to recover these cost increases through price increases. However, we cannot reasonably estimate our ability to successfully recover any impact of inflation through price increases in the future. We currently do not use derivative instruments to manage this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Management, with the participation of our CEO and Chief Financial Officer (“CFO”), evaluated the effectiveness of the design and operation of our disclosure controls and procedures (as defined in Rules 13a-15(e) and 15d-15(e) of the Securities Exchange Act of 1934 (“Exchange Act”)) as of March 31, 2026. Based upon that evaluation as of March 31, 2026, our CEO and CFO have concluded that our disclosure controls and procedures were not effective at the reasonable assurance level because of the material weaknesses in our internal control over financial reporting described below.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Despite these material weaknesses, our CEO and CFO concluded the financial statements were prepared in accordance with U.S.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jc w:val="left"/>
        <w:rPr/>
      </w:pPr>
      <w:hyperlink w:anchor="i98024a62c19043d5a636a81a5d62d5e9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Material Weaknesses in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(“ICFR”), such that there is a reasonable possibility that a material misstatement of a company’s annual or interim financial statements will not be prevented or detected on a timely basis. We identified the following material weaknesses in our ICFR.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did not design and maintain an effective control environment due to a lack of an appropriate level of experience and training related to internal control over financial reporting. Additionally, the lack of experience and training resulted in an inability to consistently establish appropriate authorities and responsibilities in pursuit of our financial reporting objectives, as demonstrated by, amongst other things, insufficient segregation of duties across our significant business processes. This material weakness contributed to the following additional material weakness.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did not design and maintain sufficient accounting policies, procedures and controls, or maintain adequate documentary evidence of existing control activities over significant accounts and disclosures to achieve complete, accurate and timely financial accounting, reporting and disclosures, including adequate controls over the period-end financial reporting process and the preparation and review of journal entries, including assessing the reliability of reports and spreadsheets used in controls.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prior to the issuance of the consolidated financial statements as of and for the year ended December 31, 2021 principally related to property, furniture and equipment, net; selling, general and administrative expenses and misclassifications in the balance sheet and statement of cash flows.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preparation of the December 31, 2023 consolidated financial statements and in preparation of the March 31, 2024 condensed consolidated financial statements, these material weaknesses resulted in restatements as of and for the interim period ended September 30, 2023 and revisions as of and for the annual periods ended December 31, 2023, 2022 and 2021, and as of and for the interim periods ended June 30, 2023, March 31, 2023, December 31, 2022, September 30, 2022, June 30, 2022 and March 31, 2022, principally related to prepaid and other current assets, property, furniture and equipment, net and operating lease liabilities, which resulted in misclassifications in the balance sheets and statements of cash flows and the timely recording of liabilities, operating right-of-use assets and operating lease liabilities. There were also immaterial misstatements.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Lastly, we did not design and maintain effective controls over information technology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Remediation Activities</w:t>
      </w:r>
    </w:p>
    <w:p>
      <w:pPr>
        <w:pStyle w:val="TextBody"/>
        <w:bidi w:val="0"/>
        <w:spacing w:lineRule="auto" w:line="288" w:before="200" w:after="200"/>
        <w:jc w:val="left"/>
        <w:rPr/>
      </w:pPr>
      <w:r>
        <w:rPr>
          <w:rFonts w:ascii="Times New Roman;serif" w:hAnsi="Times New Roman;serif"/>
          <w:b w:val="false"/>
          <w:color w:val="000000"/>
          <w:sz w:val="20"/>
        </w:rPr>
        <w:t xml:space="preserve">As of March 31, 2026, </w:t>
      </w:r>
      <w:r>
        <w:rPr>
          <w:rFonts w:ascii="Times New Roman;serif" w:hAnsi="Times New Roman;serif"/>
          <w:b w:val="false"/>
          <w:color w:val="000000"/>
          <w:sz w:val="20"/>
          <w:shd w:fill="FFFFFF" w:val="clear"/>
        </w:rPr>
        <w:t>the previously disclosed material weakness related to not designing and maintaining effective controls to address the identification of and accounting for certain non-routine or complex transactions, including the proper application of U.S. GAAP of such transactions was r</w:t>
      </w:r>
      <w:r>
        <w:rPr>
          <w:rFonts w:ascii="Times New Roman;serif" w:hAnsi="Times New Roman;serif"/>
          <w:b w:val="false"/>
          <w:color w:val="000000"/>
          <w:sz w:val="20"/>
        </w:rPr>
        <w:t>emediated through</w:t>
      </w:r>
      <w:r>
        <w:rPr>
          <w:color w:val="000000"/>
          <w:shd w:fill="FFFFFF" w:val="clear"/>
        </w:rPr>
        <w:t xml:space="preserve"> </w:t>
      </w:r>
      <w:r>
        <w:rPr>
          <w:rFonts w:ascii="Times New Roman;serif" w:hAnsi="Times New Roman;serif"/>
          <w:b w:val="false"/>
          <w:color w:val="000000"/>
          <w:sz w:val="20"/>
          <w:shd w:fill="FFFFFF" w:val="clear"/>
        </w:rPr>
        <w:t>the following</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20"/>
        <w:jc w:val="left"/>
        <w:rPr/>
      </w:pPr>
      <w:hyperlink w:anchor="i98024a62c19043d5a636a81a5d62d5e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Hired and retained personnel with the knowledge and experience to identify and account for non-routine or </w:t>
      </w:r>
      <w:r>
        <w:rPr>
          <w:rFonts w:ascii="Times New Roman;serif" w:hAnsi="Times New Roman;serif"/>
          <w:b w:val="false"/>
          <w:color w:val="000000"/>
          <w:sz w:val="20"/>
        </w:rPr>
        <w:t>complex transactions, including the proper application of U.S. GAAP to such transactions.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Enhanced company policies related to review of significant contracts prior to execution for critical accounting terms.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Enhanced controls over non-routine or complex transactions to ensure a complete and accurate population of transactions to validate proper application of U.S. GAAP for such transactions.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With the oversight of senior management and our Audit Committee, we continue to assess, implement and redesign our ICFR. Although the material weaknesses existing as of </w:t>
      </w:r>
      <w:r>
        <w:rPr>
          <w:rFonts w:ascii="Times New Roman;serif" w:hAnsi="Times New Roman;serif"/>
          <w:b w:val="false"/>
          <w:color w:val="000000"/>
          <w:sz w:val="20"/>
        </w:rPr>
        <w:t xml:space="preserve">March 31, 2026 cannot be </w:t>
      </w:r>
      <w:r>
        <w:rPr>
          <w:rFonts w:ascii="Times New Roman;serif" w:hAnsi="Times New Roman;serif"/>
          <w:b w:val="false"/>
          <w:color w:val="000000"/>
          <w:sz w:val="20"/>
          <w:shd w:fill="FFFFFF" w:val="clear"/>
        </w:rPr>
        <w:t>considered remediated until the related controls have operated effectively for a sufficient period of time and have been tested, we have made meaningful progress and continue to execute our remediation plan, including:</w:t>
      </w:r>
    </w:p>
    <w:p>
      <w:pPr>
        <w:pStyle w:val="TextBody"/>
        <w:bidi w:val="0"/>
        <w:spacing w:before="200" w:after="283"/>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Established a cross functional taskforce of senior leaders with expertise in designing and implementing internal controls to oversee remediation activities. The taskforce is responsible for the oversight of our remediation plan including development of actions plans for individual control deficiencies.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Established regular meetings between senior management and members of the Audit Committee to discuss and report on remediation progress and objectives. Additionally, progress updates are regularly provided to the Board of Directors.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Outsourced our internal audit department to a third-party service firm and transitioned our former internal audit department to our business process improvement function, which is assisting with control design, implementation, and remediation execution.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Evaluated and enhanced the accounting organization by assessing personnel competency and capacity, hired additional qualified technical accounting, financial reporting, and lease accounting experts (including senior level leaders), and strengthened training, oversight, and the internal review processes to ensure the team possesses the appropriate knowledge and experience to design, execute, and oversee ICFR related activities.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Assessed and continue to evaluate the IT function to ensure that it is adequately staffed with personnel possessing the necessary ICFR related knowledge and competencies. Significant personnel additions have been made within our IT department and across the organization, including executive and senior level hires.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Hired and continue to hire additional personnel to enhance the segregation of duties in the IT department, particularly between IT development and IT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multi-year company-wide initiative has begun to modernize the Company’s IT infrastructure to be capable of streamlining many of our manual financial reporting processes, enhancing our information technology control environment and mitigating the underlying internal control gaps and limitations that cannot be remediated within current systems.</w:t>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0"/>
        </w:rPr>
        <w:t>Conducting and continuing to conduct trainings for control owners and performers on key ICFR topics including, but not limited to:</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user access review completion;</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 xml:space="preserve">review and conclusions around Systems and Organization Control I (“SOC1”) reports; </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 xml:space="preserve">software used in accounting; </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 xml:space="preserve">validation of the system generated data used in the execution of a control; </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 xml:space="preserve">account reconciliation formats and required support; </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 xml:space="preserve">journal entry review and support; and </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maintaining evidence of control support.</w:t>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0"/>
        </w:rPr>
        <w:t>Enhanced communications to employees regarding our internal control environment and related expectations. We continue to take steps to ensure personnel both existing and newly hired are adequately trained with the appropriate level of knowledge and understanding of ICFR and its importance.</w:t>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Updated our policies and procedures to establish and maintain effective segregation of duties for our accounting staff in relation to journal entries, reconciliations </w:t>
      </w:r>
      <w:r>
        <w:rPr>
          <w:rFonts w:ascii="Times New Roman;serif" w:hAnsi="Times New Roman;serif"/>
          <w:b w:val="false"/>
          <w:color w:val="000000"/>
          <w:sz w:val="20"/>
        </w:rPr>
        <w:t>and other applicable processes. To supplement existing procedures, management implemented an account reconciliation software tool which increased the reliability around the monthly financial statement close procedures through utilization of period-end closing task checklists and standardized reconciliation processes.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Designed and implemented formal processes, policies and procedures to support our financial close process, including but not limited to:</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formalized procedures over the review of our financial statements;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implemented period-end closing task checklists;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standardized reconciliation process.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Management will continue to evaluate and refine its financial statement close process to enhance processes around the preparation and review of journal entries, including assessing the reliability of reports and spreadsheets used in controls. Enhanced the design of the control activities over the review of our consolidated balance sheet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20"/>
        <w:jc w:val="left"/>
        <w:rPr/>
      </w:pPr>
      <w:hyperlink w:anchor="i98024a62c19043d5a636a81a5d62d5e9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statement of cash flows to help ensure that the classification of operating and investing activities is appropriately presented in the statement of cash flows.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Designed and implemented policies and procedures, including but not limited to:</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lease accounting;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revenue recognition;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inventory;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goodwill and other long-lived assets;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fixed assets and software capitalization;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merchandise warranties; and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income taxes.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Continued to enhance the design and operation of user access control activities and procedures to help ensure access to IT applications and data is adequately restricted to appropriate personnel, including the implementation of user and privileged access reviews, password policy enforcement and user provisioning and deprovisioning.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Continued designing and implementing additional program change management policies and procedures, control activities, and tools to help ensure that changes affecting key financial systems related to IT applications and underlying accounting records are identified, authorized, tested, and implemented appropriately.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Designed and implemented a formal systems development lifecycle methodology and related program development controls to help ensure that significant IT change events are appropriately tested and approved. These controls will need to operate for a period of time and be tested for operating effectiveness.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Continued to enhance the design and operation of control activities and procedures within the computer operations domain to help ensure that key batch jobs and interfaces are monitored, processing failures are adequately resolved, and recovery capability is tested.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Continued to enhance data backup procedures to help ensure that systems are adequately backed up and maintained and recovery of data from backups is tested.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Continued identifying, evaluating and began testing key IT dependencies including key reports, automated application controls, interfaces and end user computer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developed and will continue to evaluate our plan, we are in the process of implementing internal controls to remediate the material weaknesses and believe, based on our evaluation to date, that the material weaknesses will be remediated as soon as is practicable,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to our internal control over financial reporting during the quarter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jc w:val="left"/>
        <w:rPr/>
      </w:pPr>
      <w:hyperlink w:anchor="i98024a62c19043d5a636a81a5d62d5e9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burdens on management and employees. Further, we could receive unfavorable preliminary or interim rulings in the course of litigation, and there can be no assurance that favorable final outcomes will be obtained.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currently not a party to any legal proceedings, the outcome of which, if determined adversely to us, would individually or in the aggregate have a material adverse effect on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jc w:val="both"/>
        <w:rPr/>
      </w:pPr>
      <w:r>
        <w:rPr>
          <w:rFonts w:ascii="Times New Roman;serif" w:hAnsi="Times New Roman;serif"/>
          <w:b w:val="false"/>
          <w:color w:val="000000"/>
          <w:sz w:val="20"/>
          <w:shd w:fill="FFFFFF" w:val="clear"/>
        </w:rPr>
        <w:t>There have been no material changes from the risk factors disclosed in Part I, Item 1A “Risk Factors” in our Annual Report on Form 10-K for the year ended December 31, 2025</w:t>
      </w:r>
      <w:r>
        <w:rPr>
          <w:rFonts w:ascii="Times New Roman;serif" w:hAnsi="Times New Roman;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Unregistered Sales of Equity Securities and Use of Proceeds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following table contains information with respect to repurchases of shares made by the Company during the </w:t>
      </w:r>
      <w:r>
        <w:rPr>
          <w:rFonts w:ascii="Times New Roman;serif" w:hAnsi="Times New Roman;serif"/>
          <w:b w:val="false"/>
          <w:color w:val="000000"/>
          <w:sz w:val="20"/>
        </w:rPr>
        <w:t>three months ended March 31, 2026</w:t>
      </w:r>
      <w:r>
        <w:rPr>
          <w:rFonts w:ascii="Times New Roman;serif" w:hAnsi="Times New Roman;serif"/>
          <w:b w:val="false"/>
          <w:color w:val="000000"/>
          <w:sz w:val="20"/>
          <w:shd w:fill="FFFFFF" w:val="clear"/>
        </w:rPr>
        <w:t>. The table reflects shares delivered to the Company by employees to satisfy tax withholding obligations due upon the vesting of performance stock units and restricted stock units. These shares were not repurchased in connection with any publicly announced share repurchase programs.</w:t>
      </w:r>
    </w:p>
    <w:tbl>
      <w:tblPr>
        <w:tblW w:w="10205" w:type="dxa"/>
        <w:jc w:val="left"/>
        <w:tblInd w:w="0" w:type="dxa"/>
        <w:tblLayout w:type="fixed"/>
        <w:tblCellMar>
          <w:top w:w="28" w:type="dxa"/>
          <w:left w:w="28" w:type="dxa"/>
          <w:bottom w:w="28" w:type="dxa"/>
          <w:right w:w="28" w:type="dxa"/>
        </w:tblCellMar>
      </w:tblPr>
      <w:tblGrid>
        <w:gridCol w:w="385"/>
        <w:gridCol w:w="277"/>
        <w:gridCol w:w="280"/>
        <w:gridCol w:w="109"/>
        <w:gridCol w:w="109"/>
        <w:gridCol w:w="109"/>
        <w:gridCol w:w="610"/>
        <w:gridCol w:w="472"/>
        <w:gridCol w:w="474"/>
        <w:gridCol w:w="109"/>
        <w:gridCol w:w="109"/>
        <w:gridCol w:w="109"/>
        <w:gridCol w:w="333"/>
        <w:gridCol w:w="973"/>
        <w:gridCol w:w="172"/>
        <w:gridCol w:w="109"/>
        <w:gridCol w:w="109"/>
        <w:gridCol w:w="109"/>
        <w:gridCol w:w="707"/>
        <w:gridCol w:w="707"/>
        <w:gridCol w:w="709"/>
        <w:gridCol w:w="109"/>
        <w:gridCol w:w="109"/>
        <w:gridCol w:w="109"/>
        <w:gridCol w:w="763"/>
        <w:gridCol w:w="1468"/>
        <w:gridCol w:w="567"/>
      </w:tblGrid>
      <w:tr>
        <w:trPr/>
        <w:tc>
          <w:tcPr>
            <w:tcW w:w="38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Approximate dollar value of shares that may yet be purchased under publicly announced plans</w:t>
            </w:r>
          </w:p>
        </w:tc>
      </w:tr>
      <w:tr>
        <w:trPr/>
        <w:tc>
          <w:tcPr>
            <w:tcW w:w="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19,929 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89,744 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109,673 </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Defaults Upon Senior Securities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4. Mine Safety Disclosures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8024a62c19043d5a636a81a5d62d5e9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bookmarkStart w:id="1" w:name="i2dc8fbbb625248468872d1c365958110_343"/>
      <w:bookmarkEnd w:id="1"/>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3"/>
        <w:gridCol w:w="249"/>
        <w:gridCol w:w="250"/>
        <w:gridCol w:w="109"/>
        <w:gridCol w:w="109"/>
        <w:gridCol w:w="109"/>
        <w:gridCol w:w="1854"/>
        <w:gridCol w:w="1735"/>
        <w:gridCol w:w="1752"/>
        <w:gridCol w:w="109"/>
        <w:gridCol w:w="109"/>
        <w:gridCol w:w="109"/>
        <w:gridCol w:w="1001"/>
        <w:gridCol w:w="1001"/>
        <w:gridCol w:w="1426"/>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7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Filings Referenced for Incorporation by Reference</w:t>
            </w:r>
          </w:p>
        </w:tc>
      </w:tr>
      <w:tr>
        <w:trPr/>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Amended and Restated Certificate of Incorporation of Arhaus,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 3.1 to the Company’s Current Report on Form 8-K filed November 10, 2021.</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of Arhaus,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 3.2 to the Company’s Current Report on Form 8-K filed November 10, 2021.</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80"/>
                  <w:sz w:val="20"/>
                  <w:u w:val="single"/>
                </w:rPr>
                <w:t>1</w:t>
              </w:r>
            </w:hyperlink>
            <w:hyperlink r:id="rId5">
              <w:r>
                <w:rPr>
                  <w:rStyle w:val="InternetLink"/>
                  <w:rFonts w:ascii="Times New Roman;serif" w:hAnsi="Times New Roman;serif"/>
                  <w:b w:val="false"/>
                  <w:color w:val="000080"/>
                  <w:sz w:val="20"/>
                  <w:u w:val="single"/>
                </w:rPr>
                <w:t>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Letter (Michael Rengel).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 10.14 to the Company’s Annual Report on Form 10-K for the fiscal year ended December 31, 2025.</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8" w:type="dxa"/>
            <w:gridSpan w:val="3"/>
            <w:tcBorders/>
            <w:vAlign w:val="center"/>
          </w:tcPr>
          <w:p>
            <w:pPr>
              <w:pStyle w:val="TableContents"/>
              <w:bidi w:val="0"/>
              <w:spacing w:before="0" w:after="283"/>
              <w:jc w:val="left"/>
              <w:rPr>
                <w:sz w:val="4"/>
                <w:szCs w:val="4"/>
              </w:rPr>
            </w:pPr>
            <w:r>
              <w:rPr>
                <w:sz w:val="4"/>
                <w:szCs w:val="4"/>
              </w:rPr>
            </w:r>
          </w:p>
        </w:tc>
      </w:tr>
      <w:tr>
        <w:trPr/>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8" w:type="dxa"/>
            <w:gridSpan w:val="3"/>
            <w:tcBorders/>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1-certificateofchiefexe.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of Chief Executive Officer Pursuant to Rules 13a-14(a) and 15d-14(a) of the Securities Exchange Act of 1934,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2-certificateofchieffin.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of Chief Financial Officer Pursuant to Rules 13a-14(a) and 15d-14(a) of the Securities Exchange Act of 1934,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1-certificationsofchief.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18 U.S.C. Section 1350, as Adopted Pursuant to Section 906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2-certificationsofchief.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18 U.S.C. Section 1350, as Adopted Pursuant to Section 906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XBRL Instance Document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with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50"/>
        <w:jc w:val="left"/>
        <w:rPr/>
      </w:pPr>
      <w:r>
        <w:rPr/>
      </w:r>
    </w:p>
    <w:p>
      <w:pPr>
        <w:pStyle w:val="TextBody"/>
        <w:bidi w:val="0"/>
        <w:spacing w:lineRule="auto" w:line="288" w:before="0" w:after="0"/>
        <w:ind w:left="0" w:right="0" w:hanging="360"/>
        <w:jc w:val="left"/>
        <w:rPr>
          <w:rFonts w:ascii="Times New Roman;serif" w:hAnsi="Times New Roman;serif"/>
          <w:b w:val="false"/>
          <w:color w:val="231F20"/>
          <w:sz w:val="16"/>
        </w:rPr>
      </w:pPr>
      <w:r>
        <w:rPr>
          <w:rFonts w:ascii="Times New Roman;serif" w:hAnsi="Times New Roman;serif"/>
          <w:b w:val="false"/>
          <w:color w:val="231F20"/>
          <w:sz w:val="16"/>
        </w:rPr>
        <w:t>#     Indicates management contract or compensatory plan.</w:t>
      </w:r>
    </w:p>
    <w:p>
      <w:pPr>
        <w:pStyle w:val="TextBody"/>
        <w:bidi w:val="0"/>
        <w:spacing w:lineRule="auto" w:line="288" w:before="0" w:after="0"/>
        <w:ind w:left="0" w:right="0" w:hanging="450"/>
        <w:jc w:val="left"/>
        <w:rPr/>
      </w:pPr>
      <w:r>
        <w:rPr>
          <w:rFonts w:ascii="Times New Roman;serif" w:hAnsi="Times New Roman;serif"/>
          <w:b w:val="false"/>
          <w:i/>
          <w:color w:val="000000"/>
          <w:sz w:val="16"/>
        </w:rPr>
        <w:t>*    </w:t>
      </w:r>
      <w:r>
        <w:rPr>
          <w:rFonts w:ascii="Times New Roman;serif" w:hAnsi="Times New Roman;serif"/>
          <w:b w:val="false"/>
          <w:color w:val="000000"/>
          <w:sz w:val="16"/>
        </w:rPr>
        <w:t>The certifications furnished in Exhibit 32.1 and 32.2 hereto are deemed to accompany this Quarterly Report on Form 10-Q and will not be deemed “filed” for purposes of Section 18 of the Securities Exchange Act of 1934, as amended, except to the extent that the registrant specifically incorporates them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jc w:val="left"/>
        <w:rPr/>
      </w:pPr>
      <w:hyperlink w:anchor="i98024a62c19043d5a636a81a5d62d5e9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SIGNATURES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 on this 7th day of May, 2026.</w:t>
      </w:r>
    </w:p>
    <w:tbl>
      <w:tblPr>
        <w:tblW w:w="353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21"/>
        <w:gridCol w:w="221"/>
        <w:gridCol w:w="221"/>
        <w:gridCol w:w="641"/>
        <w:gridCol w:w="641"/>
        <w:gridCol w:w="9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ARHAUS, INC.</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Lee</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Lee</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 Sedor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Sedor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1F4742"/>
          <w:sz w:val="20"/>
        </w:rPr>
      </w:pPr>
      <w:r>
        <w:rPr>
          <w:rFonts w:ascii="Times New Roman;serif" w:hAnsi="Times New Roman;serif"/>
          <w:b/>
          <w:color w:val="1F4742"/>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PERIODIC REPORT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100" w:after="100"/>
        <w:jc w:val="left"/>
        <w:rPr>
          <w:rFonts w:ascii="Times New Roman;serif" w:hAnsi="Times New Roman;serif"/>
          <w:b w:val="false"/>
          <w:color w:val="000000"/>
          <w:sz w:val="20"/>
        </w:rPr>
      </w:pPr>
      <w:r>
        <w:rPr>
          <w:rFonts w:ascii="Times New Roman;serif" w:hAnsi="Times New Roman;serif"/>
          <w:b w:val="false"/>
          <w:color w:val="000000"/>
          <w:sz w:val="20"/>
        </w:rPr>
        <w:t>I, John Reed, certify that:</w:t>
      </w:r>
    </w:p>
    <w:p>
      <w:pPr>
        <w:pStyle w:val="TextBody"/>
        <w:bidi w:val="0"/>
        <w:spacing w:lineRule="auto" w:line="336" w:before="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Arhaus, Inc.;</w:t>
      </w:r>
    </w:p>
    <w:p>
      <w:pPr>
        <w:pStyle w:val="TextBody"/>
        <w:bidi w:val="0"/>
        <w:spacing w:lineRule="auto" w:line="336" w:before="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6" w:before="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6" w:before="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6" w:before="0" w:after="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490" w:type="dxa"/>
        <w:jc w:val="left"/>
        <w:tblInd w:w="0" w:type="dxa"/>
        <w:tblLayout w:type="fixed"/>
        <w:tblCellMar>
          <w:top w:w="28" w:type="dxa"/>
          <w:left w:w="28" w:type="dxa"/>
          <w:bottom w:w="28" w:type="dxa"/>
          <w:right w:w="28" w:type="dxa"/>
        </w:tblCellMar>
      </w:tblPr>
      <w:tblGrid>
        <w:gridCol w:w="795"/>
        <w:gridCol w:w="700"/>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Reed</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Reed</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6"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PERIODIC REPORT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100" w:after="100"/>
        <w:jc w:val="left"/>
        <w:rPr>
          <w:rFonts w:ascii="Times New Roman;serif" w:hAnsi="Times New Roman;serif"/>
          <w:b w:val="false"/>
          <w:color w:val="000000"/>
          <w:sz w:val="20"/>
        </w:rPr>
      </w:pPr>
      <w:r>
        <w:rPr>
          <w:rFonts w:ascii="Times New Roman;serif" w:hAnsi="Times New Roman;serif"/>
          <w:b w:val="false"/>
          <w:color w:val="000000"/>
          <w:sz w:val="20"/>
        </w:rPr>
        <w:t>I, Michael Lee, certify that:</w:t>
      </w:r>
    </w:p>
    <w:p>
      <w:pPr>
        <w:pStyle w:val="TextBody"/>
        <w:bidi w:val="0"/>
        <w:spacing w:lineRule="auto" w:line="336" w:before="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Arhaus, Inc.;</w:t>
      </w:r>
    </w:p>
    <w:p>
      <w:pPr>
        <w:pStyle w:val="TextBody"/>
        <w:bidi w:val="0"/>
        <w:spacing w:lineRule="auto" w:line="336" w:before="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6" w:before="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6" w:before="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6" w:before="0" w:after="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430" w:type="dxa"/>
        <w:jc w:val="left"/>
        <w:tblInd w:w="0" w:type="dxa"/>
        <w:tblLayout w:type="fixed"/>
        <w:tblCellMar>
          <w:top w:w="28" w:type="dxa"/>
          <w:left w:w="28" w:type="dxa"/>
          <w:bottom w:w="28" w:type="dxa"/>
          <w:right w:w="28" w:type="dxa"/>
        </w:tblCellMar>
      </w:tblPr>
      <w:tblGrid>
        <w:gridCol w:w="776"/>
        <w:gridCol w:w="683"/>
        <w:gridCol w:w="97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Michael Lee</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Lee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Arhaus, Inc. (the “Company”) on Form 10-Q for the quarter ended March 31, 2026 as filed with the Securities and Exchange Commission on the date hereof (the “Report”), I, John Reed, Chief Executive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dates and periods covered by the Report.</w:t>
      </w:r>
    </w:p>
    <w:p>
      <w:pPr>
        <w:pStyle w:val="TextBody"/>
        <w:bidi w:val="0"/>
        <w:spacing w:before="0" w:after="0"/>
        <w:ind w:left="0" w:right="0" w:hanging="360"/>
        <w:jc w:val="both"/>
        <w:rPr/>
      </w:pPr>
      <w:r>
        <w:rPr/>
      </w:r>
    </w:p>
    <w:p>
      <w:pPr>
        <w:pStyle w:val="TextBody"/>
        <w:bidi w:val="0"/>
        <w:spacing w:before="0" w:after="0"/>
        <w:jc w:val="both"/>
        <w:rPr/>
      </w:pPr>
      <w:r>
        <w:rPr/>
      </w:r>
    </w:p>
    <w:tbl>
      <w:tblPr>
        <w:tblW w:w="2816" w:type="dxa"/>
        <w:jc w:val="left"/>
        <w:tblInd w:w="0" w:type="dxa"/>
        <w:tblLayout w:type="fixed"/>
        <w:tblCellMar>
          <w:top w:w="28" w:type="dxa"/>
          <w:left w:w="28" w:type="dxa"/>
          <w:bottom w:w="28" w:type="dxa"/>
          <w:right w:w="28" w:type="dxa"/>
        </w:tblCellMar>
      </w:tblPr>
      <w:tblGrid>
        <w:gridCol w:w="886"/>
        <w:gridCol w:w="777"/>
        <w:gridCol w:w="781"/>
        <w:gridCol w:w="109"/>
        <w:gridCol w:w="109"/>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John Reed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John Reed</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May 7, 2026</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and will be retained by, Arhaus, Inc. and furnished to the Securities and Exchange Commission or its staff upon request.</w:t>
      </w:r>
    </w:p>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Arhaus, Inc. (the “Company”) on Form 10-Q for the quarter ended March 31, 2026 as filed with the Securities and Exchange Commission on the date hereof (the “Report”), I, Michael Lee, Chief Financial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dates and periods covered by the Report.</w:t>
      </w:r>
    </w:p>
    <w:p>
      <w:pPr>
        <w:pStyle w:val="TextBody"/>
        <w:bidi w:val="0"/>
        <w:spacing w:before="0" w:after="0"/>
        <w:jc w:val="both"/>
        <w:rPr/>
      </w:pPr>
      <w:r>
        <w:rPr/>
      </w:r>
    </w:p>
    <w:p>
      <w:pPr>
        <w:pStyle w:val="TextBody"/>
        <w:bidi w:val="0"/>
        <w:spacing w:before="0" w:after="0"/>
        <w:ind w:left="0" w:right="0" w:hanging="360"/>
        <w:jc w:val="both"/>
        <w:rPr/>
      </w:pPr>
      <w:r>
        <w:rPr/>
      </w:r>
    </w:p>
    <w:tbl>
      <w:tblPr>
        <w:tblW w:w="2756" w:type="dxa"/>
        <w:jc w:val="left"/>
        <w:tblInd w:w="0" w:type="dxa"/>
        <w:tblLayout w:type="fixed"/>
        <w:tblCellMar>
          <w:top w:w="28" w:type="dxa"/>
          <w:left w:w="28" w:type="dxa"/>
          <w:bottom w:w="28" w:type="dxa"/>
          <w:right w:w="28" w:type="dxa"/>
        </w:tblCellMar>
      </w:tblPr>
      <w:tblGrid>
        <w:gridCol w:w="861"/>
        <w:gridCol w:w="759"/>
        <w:gridCol w:w="764"/>
        <w:gridCol w:w="109"/>
        <w:gridCol w:w="109"/>
        <w:gridCol w:w="154"/>
      </w:tblGrid>
      <w:tr>
        <w:trPr/>
        <w:tc>
          <w:tcPr>
            <w:tcW w:w="86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Michael Lee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Lee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May 7, 2026</w:t>
      </w:r>
    </w:p>
    <w:p>
      <w:pPr>
        <w:pStyle w:val="TextBody"/>
        <w:bidi w:val="0"/>
        <w:spacing w:before="0" w:after="0"/>
        <w:jc w:val="both"/>
        <w:rPr/>
      </w:pPr>
      <w:r>
        <w:rPr/>
      </w:r>
    </w:p>
    <w:p>
      <w:pPr>
        <w:pStyle w:val="TextBody"/>
        <w:bidi w:val="0"/>
        <w:spacing w:lineRule="auto" w:line="24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and will be retained by, Arhaus,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75444/000187544421000004/exhibit31-arcertificateo.htm" TargetMode="External"/><Relationship Id="rId3" Type="http://schemas.openxmlformats.org/officeDocument/2006/relationships/hyperlink" Target="https://www.sec.gov/Archives/edgar/data/1875444/000187544421000004/exhibit32-arbylawsofarha.htm" TargetMode="External"/><Relationship Id="rId4" Type="http://schemas.openxmlformats.org/officeDocument/2006/relationships/hyperlink" Target="https://www.sec.gov/Archives/edgar/data/1875444/000187544426000010/a1014-employmentlettermi.htm" TargetMode="External"/><Relationship Id="rId5" Type="http://schemas.openxmlformats.org/officeDocument/2006/relationships/hyperlink" Target="https://www.sec.gov/Archives/edgar/data/1875444/000187544426000010/a1014-employmentlettermi.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18081</Words>
  <Characters>102063</Characters>
  <CharactersWithSpaces>119114</CharactersWithSpaces>
  <Paragraphs>1712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