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200" w:after="40"/>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40" w:after="4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40" w:after="40"/>
              <w:jc w:val="center"/>
              <w:rPr>
                <w:color w:val="000000"/>
              </w:rPr>
            </w:pPr>
            <w:r>
              <w:rPr>
                <w:color w:val="000000"/>
              </w:rPr>
              <w:t>☐</w:t>
            </w:r>
          </w:p>
          <w:p>
            <w:pPr>
              <w:pStyle w:val="TableContents"/>
              <w:spacing w:before="0" w:after="0"/>
              <w:jc w:val="center"/>
              <w:rPr/>
            </w:pPr>
            <w:r>
              <w:rPr/>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40" w:after="4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200" w:after="283"/>
        <w:rPr/>
      </w:pPr>
      <w:r>
        <w:rPr>
          <w:rFonts w:ascii="Times New Roman;sans-serif" w:hAnsi="Times New Roman;sans-serif"/>
          <w:b/>
          <w:color w:val="000000"/>
          <w:sz w:val="20"/>
        </w:rPr>
        <w:t xml:space="preserve">For the transition period from </w:t>
      </w:r>
      <w:r>
        <w:rPr>
          <w:rFonts w:ascii="Times New Roman;sans-serif" w:hAnsi="Times New Roman;sans-serif"/>
          <w:b/>
          <w:color w:val="000000"/>
          <w:sz w:val="20"/>
          <w:highlight w:val="white"/>
        </w:rPr>
        <w:t>to</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001-41009</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Arhaus,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4556" w:type="dxa"/>
        <w:jc w:val="left"/>
        <w:tblInd w:w="0" w:type="dxa"/>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87-1729256</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88" w:before="4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4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51 E. Hines Hill Road, Boston Heights, Ohio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44236</w:t>
      </w:r>
    </w:p>
    <w:p>
      <w:pPr>
        <w:pStyle w:val="TextBody"/>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(440) 439-7700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03" w:type="dxa"/>
        <w:jc w:val="left"/>
        <w:tblInd w:w="0" w:type="dxa"/>
        <w:tblCellMar>
          <w:top w:w="28" w:type="dxa"/>
          <w:left w:w="28" w:type="dxa"/>
          <w:bottom w:w="28" w:type="dxa"/>
          <w:right w:w="28" w:type="dxa"/>
        </w:tblCellMar>
      </w:tblPr>
      <w:tblGrid>
        <w:gridCol w:w="1512"/>
        <w:gridCol w:w="1328"/>
        <w:gridCol w:w="1344"/>
        <w:gridCol w:w="564"/>
        <w:gridCol w:w="564"/>
        <w:gridCol w:w="566"/>
        <w:gridCol w:w="1118"/>
        <w:gridCol w:w="1118"/>
        <w:gridCol w:w="1589"/>
      </w:tblGrid>
      <w:tr>
        <w:trPr/>
        <w:tc>
          <w:tcPr>
            <w:tcW w:w="151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ARHS</w:t>
            </w:r>
          </w:p>
        </w:tc>
        <w:tc>
          <w:tcPr>
            <w:tcW w:w="382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200" w:after="283"/>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lineRule="auto" w:line="288" w:before="20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200" w:after="283"/>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200" w:after="283"/>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lineRule="auto" w:line="288" w:before="200" w:after="283"/>
        <w:rPr/>
      </w:pPr>
      <w:r>
        <w:rPr>
          <w:rFonts w:ascii="Times New Roman;sans-serif" w:hAnsi="Times New Roman;sans-serif"/>
          <w:b w:val="false"/>
          <w:color w:val="000000"/>
          <w:sz w:val="20"/>
        </w:rPr>
        <w:t xml:space="preserve">As of April 28, 2023 the registrant had </w:t>
      </w:r>
      <w:r>
        <w:rPr>
          <w:rFonts w:ascii="Times New Roman;sans-serif" w:hAnsi="Times New Roman;sans-serif"/>
          <w:b w:val="false"/>
          <w:color w:val="000000"/>
          <w:sz w:val="20"/>
          <w:highlight w:val="white"/>
        </w:rPr>
        <w:t>52,923,110</w:t>
      </w:r>
      <w:r>
        <w:rPr>
          <w:color w:val="000000"/>
        </w:rPr>
        <w:t xml:space="preserve"> </w:t>
      </w:r>
      <w:r>
        <w:rPr>
          <w:rFonts w:ascii="Times New Roman;sans-serif" w:hAnsi="Times New Roman;sans-serif"/>
          <w:b w:val="false"/>
          <w:color w:val="000000"/>
          <w:sz w:val="20"/>
        </w:rPr>
        <w:t>shares of Class A common stock and 87,115,600 shares of Class B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88" w:type="dxa"/>
        <w:jc w:val="left"/>
        <w:tblInd w:w="0" w:type="dxa"/>
        <w:tblCellMar>
          <w:top w:w="28" w:type="dxa"/>
          <w:left w:w="28" w:type="dxa"/>
          <w:bottom w:w="28" w:type="dxa"/>
          <w:right w:w="28" w:type="dxa"/>
        </w:tblCellMar>
      </w:tblPr>
      <w:tblGrid>
        <w:gridCol w:w="491"/>
        <w:gridCol w:w="431"/>
        <w:gridCol w:w="431"/>
        <w:gridCol w:w="2445"/>
        <w:gridCol w:w="2445"/>
        <w:gridCol w:w="2474"/>
        <w:gridCol w:w="167"/>
        <w:gridCol w:w="167"/>
        <w:gridCol w:w="237"/>
      </w:tblGrid>
      <w:tr>
        <w:trPr/>
        <w:tc>
          <w:tcPr>
            <w:tcW w:w="49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445" w:type="dxa"/>
            <w:tcBorders/>
            <w:shd w:fill="auto" w:val="clear"/>
            <w:vAlign w:val="center"/>
          </w:tcPr>
          <w:p>
            <w:pPr>
              <w:pStyle w:val="TableContents"/>
              <w:spacing w:before="0" w:after="283"/>
              <w:rPr>
                <w:sz w:val="4"/>
                <w:szCs w:val="4"/>
              </w:rPr>
            </w:pPr>
            <w:r>
              <w:rPr>
                <w:sz w:val="4"/>
                <w:szCs w:val="4"/>
              </w:rPr>
            </w:r>
          </w:p>
        </w:tc>
        <w:tc>
          <w:tcPr>
            <w:tcW w:w="2445"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717" w:type="dxa"/>
            <w:gridSpan w:val="6"/>
            <w:tcBorders/>
            <w:shd w:fill="CCEEFF" w:val="clear"/>
            <w:tcMar>
              <w:top w:w="0" w:type="dxa"/>
              <w:left w:w="0" w:type="dxa"/>
              <w:bottom w:w="0" w:type="dxa"/>
              <w:right w:w="0" w:type="dxa"/>
            </w:tcMar>
            <w:vAlign w:val="center"/>
          </w:tcPr>
          <w:p>
            <w:pPr>
              <w:pStyle w:val="TableContents"/>
              <w:spacing w:lineRule="auto" w:line="240" w:before="200" w:after="283"/>
              <w:jc w:val="left"/>
              <w:rPr/>
            </w:pPr>
            <w:hyperlink w:anchor="i8809076163ce40d99802a89f606d5ec6_10">
              <w:r>
                <w:rPr>
                  <w:rStyle w:val="InternetLink"/>
                  <w:rFonts w:ascii="Times New Roman;sans-serif" w:hAnsi="Times New Roman;sans-serif"/>
                  <w:b/>
                  <w:color w:val="0000FF"/>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hyperlink w:anchor="i8809076163ce40d99802a89f606d5ec6_10">
              <w:r>
                <w:rPr>
                  <w:rStyle w:val="InternetLink"/>
                  <w:rFonts w:ascii="Times New Roman;sans-serif" w:hAnsi="Times New Roman;sans-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
              <w:r>
                <w:rPr>
                  <w:rStyle w:val="InternetLink"/>
                  <w:rFonts w:ascii="Times New Roman;sans-serif" w:hAnsi="Times New Roman;sans-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
              <w:r>
                <w:rPr>
                  <w:rStyle w:val="InternetLink"/>
                  <w:rFonts w:ascii="Times New Roman;sans-serif" w:hAnsi="Times New Roman;sans-serif"/>
                  <w:b w:val="false"/>
                  <w:color w:val="0000FF"/>
                  <w:sz w:val="20"/>
                  <w:u w:val="single"/>
                </w:rPr>
                <w:t>Financial Statements of Arhaus, Inc. and Subsidiaries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3">
              <w:r>
                <w:rPr>
                  <w:rStyle w:val="InternetLink"/>
                  <w:rFonts w:ascii="Times New Roman;sans-serif" w:hAnsi="Times New Roman;sans-serif"/>
                  <w:b w:val="false"/>
                  <w:strike w:val="false"/>
                  <w:dstrike w:val="false"/>
                  <w:color w:val="000000"/>
                  <w:sz w:val="20"/>
                  <w:u w:val="none"/>
                  <w:effect w:val="none"/>
                </w:rPr>
                <w:t>2</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6">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6">
              <w:r>
                <w:rPr>
                  <w:rStyle w:val="InternetLink"/>
                  <w:rFonts w:ascii="Times New Roman;sans-serif" w:hAnsi="Times New Roman;sans-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9">
              <w:r>
                <w:rPr>
                  <w:rStyle w:val="InternetLink"/>
                  <w:rFonts w:ascii="Times New Roman;sans-serif" w:hAnsi="Times New Roman;sans-serif"/>
                  <w:b w:val="false"/>
                  <w:color w:val="0000FF"/>
                  <w:sz w:val="20"/>
                  <w:u w:val="single"/>
                </w:rPr>
                <w:t>Condensed Consolidated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9">
              <w:r>
                <w:rPr>
                  <w:rStyle w:val="InternetLink"/>
                  <w:rFonts w:ascii="Times New Roman;sans-serif" w:hAnsi="Times New Roman;sans-serif"/>
                  <w:b w:val="false"/>
                  <w:strike w:val="false"/>
                  <w:dstrike w:val="false"/>
                  <w:color w:val="000000"/>
                  <w:sz w:val="20"/>
                  <w:u w:val="none"/>
                  <w:effect w:val="none"/>
                </w:rPr>
                <w:t>3</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22">
              <w:r>
                <w:rPr>
                  <w:rStyle w:val="InternetLink"/>
                </w:rPr>
                <w:t>Condensed Consolidated Statements of Changes in Stockholders’ Equity</w:t>
              </w:r>
            </w:hyperlink>
            <w:hyperlink w:anchor="i8809076163ce40d99802a89f606d5ec6_22">
              <w:r>
                <w:rPr>
                  <w:rStyle w:val="InternetLink"/>
                </w:rPr>
                <w:t xml:space="preserve">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22">
              <w:r>
                <w:rPr>
                  <w:rStyle w:val="InternetLink"/>
                  <w:rFonts w:ascii="Times New Roman;sans-serif" w:hAnsi="Times New Roman;sans-serif"/>
                  <w:b w:val="false"/>
                  <w:strike w:val="false"/>
                  <w:dstrike w:val="false"/>
                  <w:color w:val="000000"/>
                  <w:sz w:val="20"/>
                  <w:u w:val="none"/>
                  <w:effect w:val="non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25">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25">
              <w:r>
                <w:rPr>
                  <w:rStyle w:val="InternetLink"/>
                  <w:rFonts w:ascii="Times New Roman;sans-serif" w:hAnsi="Times New Roman;sans-serif"/>
                  <w:b w:val="false"/>
                  <w:strike w:val="false"/>
                  <w:dstrike w:val="false"/>
                  <w:color w:val="000000"/>
                  <w:sz w:val="20"/>
                  <w:u w:val="none"/>
                  <w:effect w:val="non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28">
              <w:r>
                <w:rPr>
                  <w:rStyle w:val="InternetLink"/>
                  <w:rFonts w:ascii="Times New Roman;sans-serif" w:hAnsi="Times New Roman;sans-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28">
              <w:r>
                <w:rPr>
                  <w:rStyle w:val="InternetLink"/>
                  <w:rFonts w:ascii="Times New Roman;sans-serif" w:hAnsi="Times New Roman;sans-serif"/>
                  <w:b w:val="false"/>
                  <w:strike w:val="false"/>
                  <w:dstrike w:val="false"/>
                  <w:color w:val="000000"/>
                  <w:sz w:val="20"/>
                  <w:u w:val="none"/>
                  <w:effect w:val="none"/>
                </w:rPr>
                <w:t>6</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67">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67">
              <w:r>
                <w:rPr>
                  <w:rStyle w:val="InternetLink"/>
                  <w:rFonts w:ascii="Times New Roman;sans-serif" w:hAnsi="Times New Roman;sans-serif"/>
                  <w:b w:val="false"/>
                  <w:strike w:val="false"/>
                  <w:dstrike w:val="false"/>
                  <w:color w:val="000000"/>
                  <w:sz w:val="20"/>
                  <w:u w:val="none"/>
                  <w:effect w:val="none"/>
                </w:rPr>
                <w:t>15</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09">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09">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09">
              <w:r>
                <w:rPr>
                  <w:rStyle w:val="InternetLink"/>
                  <w:rFonts w:ascii="Times New Roman;sans-serif" w:hAnsi="Times New Roman;sans-serif"/>
                  <w:b w:val="false"/>
                  <w:strike w:val="false"/>
                  <w:dstrike w:val="false"/>
                  <w:color w:val="000000"/>
                  <w:sz w:val="20"/>
                  <w:u w:val="none"/>
                  <w:effect w:val="none"/>
                </w:rPr>
                <w:t>23</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24">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24">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24">
              <w:r>
                <w:rPr>
                  <w:rStyle w:val="InternetLink"/>
                  <w:rFonts w:ascii="Times New Roman;sans-serif" w:hAnsi="Times New Roman;sans-serif"/>
                  <w:b w:val="false"/>
                  <w:strike w:val="false"/>
                  <w:dstrike w:val="false"/>
                  <w:color w:val="000000"/>
                  <w:sz w:val="20"/>
                  <w:u w:val="none"/>
                  <w:effect w:val="none"/>
                </w:rPr>
                <w:t>24</w:t>
              </w:r>
            </w:hyperlink>
          </w:p>
        </w:tc>
      </w:tr>
      <w:tr>
        <w:trPr/>
        <w:tc>
          <w:tcPr>
            <w:tcW w:w="8717"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27">
              <w:r>
                <w:rPr>
                  <w:rStyle w:val="InternetLink"/>
                  <w:rFonts w:ascii="Times New Roman;sans-serif" w:hAnsi="Times New Roman;sans-serif"/>
                  <w:b/>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27">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0">
              <w:r>
                <w:rPr>
                  <w:rStyle w:val="InternetLink"/>
                  <w:rFonts w:ascii="Times New Roman;sans-serif" w:hAnsi="Times New Roman;sans-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0">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30">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3">
              <w:r>
                <w:rPr>
                  <w:rStyle w:val="InternetLink"/>
                  <w:rFonts w:ascii="Times New Roman;sans-serif" w:hAnsi="Times New Roman;sans-serif"/>
                  <w:b w:val="false"/>
                  <w:color w:val="0000FF"/>
                  <w:sz w:val="20"/>
                  <w:u w:val="single"/>
                </w:rPr>
                <w:t xml:space="preserve">Item 1A. </w:t>
              </w:r>
            </w:hyperlink>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3">
              <w:r>
                <w:rPr>
                  <w:rStyle w:val="InternetLink"/>
                  <w:rFonts w:ascii="Times New Roman;sans-serif" w:hAnsi="Times New Roman;sans-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33">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6">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6">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36">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9">
              <w:r>
                <w:rPr>
                  <w:rStyle w:val="InternetLink"/>
                  <w:rFonts w:ascii="Times New Roman;sans-serif" w:hAnsi="Times New Roman;sans-serif"/>
                  <w:b w:val="false"/>
                  <w:color w:val="0000FF"/>
                  <w:sz w:val="20"/>
                  <w:u w:val="single"/>
                </w:rPr>
                <w:t xml:space="preserve">Item 3. </w:t>
              </w:r>
            </w:hyperlink>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39">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39">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2">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2">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42">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5">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5">
              <w:r>
                <w:rPr>
                  <w:rStyle w:val="InternetLink"/>
                  <w:rFonts w:ascii="Times New Roman;sans-serif" w:hAnsi="Times New Roman;sans-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45">
              <w:r>
                <w:rPr>
                  <w:rStyle w:val="InternetLink"/>
                  <w:rFonts w:ascii="Times New Roman;sans-serif" w:hAnsi="Times New Roman;sans-serif"/>
                  <w:b w:val="false"/>
                  <w:strike w:val="false"/>
                  <w:dstrike w:val="false"/>
                  <w:color w:val="000000"/>
                  <w:sz w:val="20"/>
                  <w:u w:val="none"/>
                  <w:effect w:val="none"/>
                </w:rPr>
                <w:t>26</w:t>
              </w:r>
            </w:hyperlink>
          </w:p>
        </w:tc>
      </w:tr>
      <w:tr>
        <w:trPr/>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8">
              <w:r>
                <w:rPr>
                  <w:rStyle w:val="InternetLink"/>
                  <w:rFonts w:ascii="Times New Roman;sans-serif" w:hAnsi="Times New Roman;sans-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48">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48">
              <w:r>
                <w:rPr>
                  <w:rStyle w:val="InternetLink"/>
                  <w:rFonts w:ascii="Times New Roman;sans-serif" w:hAnsi="Times New Roman;sans-serif"/>
                  <w:b w:val="false"/>
                  <w:strike w:val="false"/>
                  <w:dstrike w:val="false"/>
                  <w:color w:val="000000"/>
                  <w:sz w:val="20"/>
                  <w:u w:val="none"/>
                  <w:effect w:val="none"/>
                </w:rPr>
                <w:t>27</w:t>
              </w:r>
            </w:hyperlink>
          </w:p>
        </w:tc>
      </w:tr>
      <w:tr>
        <w:trPr/>
        <w:tc>
          <w:tcPr>
            <w:tcW w:w="8717"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809076163ce40d99802a89f606d5ec6_151">
              <w:r>
                <w:rPr>
                  <w:rStyle w:val="InternetLink"/>
                  <w:rFonts w:ascii="Times New Roman;sans-serif" w:hAnsi="Times New Roman;sans-serif"/>
                  <w:b/>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8809076163ce40d99802a89f606d5ec6_151">
              <w:r>
                <w:rPr>
                  <w:rStyle w:val="InternetLink"/>
                  <w:rFonts w:ascii="Times New Roman;sans-serif" w:hAnsi="Times New Roman;sans-serif"/>
                  <w:b w:val="false"/>
                  <w:strike w:val="false"/>
                  <w:dstrike w:val="false"/>
                  <w:color w:val="000000"/>
                  <w:sz w:val="20"/>
                  <w:u w:val="none"/>
                  <w:effect w:val="none"/>
                </w:rPr>
                <w:t>28</w:t>
              </w:r>
            </w:hyperlink>
          </w:p>
        </w:tc>
      </w:tr>
    </w:tbl>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Financial Statements of Arhaus, Inc. and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815" w:type="dxa"/>
        <w:jc w:val="left"/>
        <w:tblInd w:w="0" w:type="dxa"/>
        <w:tblCellMar>
          <w:top w:w="28" w:type="dxa"/>
          <w:left w:w="28" w:type="dxa"/>
          <w:bottom w:w="28" w:type="dxa"/>
          <w:right w:w="28" w:type="dxa"/>
        </w:tblCellMar>
      </w:tblPr>
      <w:tblGrid>
        <w:gridCol w:w="688"/>
        <w:gridCol w:w="606"/>
        <w:gridCol w:w="606"/>
        <w:gridCol w:w="606"/>
        <w:gridCol w:w="606"/>
        <w:gridCol w:w="606"/>
        <w:gridCol w:w="606"/>
        <w:gridCol w:w="606"/>
        <w:gridCol w:w="885"/>
      </w:tblGrid>
      <w:tr>
        <w:trPr/>
        <w:tc>
          <w:tcPr>
            <w:tcW w:w="688"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581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br/>
              <w:t>Condensed Consolidated Balance Sheets</w:t>
              <w:br/>
              <w:t>(Unaudited, amounts in thousands, except share and per share data)</w:t>
            </w:r>
          </w:p>
        </w:tc>
      </w:tr>
    </w:tbl>
    <w:tbl>
      <w:tblPr>
        <w:tblW w:w="10205" w:type="dxa"/>
        <w:jc w:val="left"/>
        <w:tblInd w:w="0" w:type="dxa"/>
        <w:tblCellMar>
          <w:top w:w="28" w:type="dxa"/>
          <w:left w:w="28" w:type="dxa"/>
          <w:bottom w:w="28" w:type="dxa"/>
          <w:right w:w="28" w:type="dxa"/>
        </w:tblCellMar>
      </w:tblPr>
      <w:tblGrid>
        <w:gridCol w:w="2829"/>
        <w:gridCol w:w="2368"/>
        <w:gridCol w:w="2302"/>
        <w:gridCol w:w="211"/>
        <w:gridCol w:w="826"/>
        <w:gridCol w:w="109"/>
        <w:gridCol w:w="109"/>
        <w:gridCol w:w="109"/>
        <w:gridCol w:w="109"/>
        <w:gridCol w:w="218"/>
        <w:gridCol w:w="854"/>
        <w:gridCol w:w="161"/>
      </w:tblGrid>
      <w:tr>
        <w:trPr/>
        <w:tc>
          <w:tcPr>
            <w:tcW w:w="282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Restricted 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Merchandise inventory,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Prepaid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Financing 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Property, furniture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tax asset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wages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other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Client deposits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portion of financing lease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 long-term</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rent and lease incentives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Commitments and contingencies (Note 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shares, par value $0.001 per share (600,000,000 shares authorized, 52,241,567 issued and 52,217,060 outstanding and 51,437,348 shares issued and outstanding as of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shares, par value $0.001 per share (100,000,000 shares authorized, 87,115,600 shares issued and outstanding as of March 31, 2023 and December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3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Arhaus, Inc.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2580"/>
                <wp:effectExtent l="0" t="0" r="0" b="0"/>
                <wp:wrapNone/>
                <wp:docPr id="3" name="Frame3"/>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 except share and per share data)</w:t>
      </w:r>
    </w:p>
    <w:tbl>
      <w:tblPr>
        <w:tblW w:w="8444" w:type="dxa"/>
        <w:jc w:val="left"/>
        <w:tblInd w:w="0" w:type="dxa"/>
        <w:tblCellMar>
          <w:top w:w="28" w:type="dxa"/>
          <w:left w:w="28" w:type="dxa"/>
          <w:bottom w:w="28" w:type="dxa"/>
          <w:right w:w="28" w:type="dxa"/>
        </w:tblCellMar>
      </w:tblPr>
      <w:tblGrid>
        <w:gridCol w:w="1976"/>
        <w:gridCol w:w="1740"/>
        <w:gridCol w:w="1744"/>
        <w:gridCol w:w="241"/>
        <w:gridCol w:w="945"/>
        <w:gridCol w:w="113"/>
        <w:gridCol w:w="113"/>
        <w:gridCol w:w="113"/>
        <w:gridCol w:w="113"/>
        <w:gridCol w:w="241"/>
        <w:gridCol w:w="945"/>
        <w:gridCol w:w="160"/>
      </w:tblGrid>
      <w:tr>
        <w:trPr/>
        <w:tc>
          <w:tcPr>
            <w:tcW w:w="1976"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Net and comprehensive income per share, basic</w:t>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139,072,756 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137,482,533 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per share, basic</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Net and comprehensive income per share, diluted</w:t>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diluted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139,939,543 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138,708,468 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per share, diluted</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980"/>
                <wp:effectExtent l="0" t="0" r="0" b="0"/>
                <wp:wrapNone/>
                <wp:docPr id="4" name="Frame4"/>
                <a:graphic xmlns:a="http://schemas.openxmlformats.org/drawingml/2006/main">
                  <a:graphicData uri="http://schemas.microsoft.com/office/word/2010/wordprocessingShape">
                    <wps:wsp>
                      <wps:cNvSpPr txBox="1"/>
                      <wps:spPr>
                        <a:xfrm>
                          <a:off x="0" y="0"/>
                          <a:ext cx="6480175" cy="474980"/>
                        </a:xfrm>
                        <a:prstGeom prst="rect"/>
                      </wps:spPr>
                      <wps:txb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tbl>
      <w:tblPr>
        <w:tblW w:w="6193" w:type="dxa"/>
        <w:jc w:val="left"/>
        <w:tblInd w:w="0" w:type="dxa"/>
        <w:tblCellMar>
          <w:top w:w="28" w:type="dxa"/>
          <w:left w:w="28" w:type="dxa"/>
          <w:bottom w:w="28" w:type="dxa"/>
          <w:right w:w="28" w:type="dxa"/>
        </w:tblCellMar>
      </w:tblPr>
      <w:tblGrid>
        <w:gridCol w:w="736"/>
        <w:gridCol w:w="647"/>
        <w:gridCol w:w="647"/>
        <w:gridCol w:w="647"/>
        <w:gridCol w:w="647"/>
        <w:gridCol w:w="647"/>
        <w:gridCol w:w="647"/>
        <w:gridCol w:w="647"/>
        <w:gridCol w:w="928"/>
      </w:tblGrid>
      <w:tr>
        <w:trPr/>
        <w:tc>
          <w:tcPr>
            <w:tcW w:w="73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r>
      <w:tr>
        <w:trPr/>
        <w:tc>
          <w:tcPr>
            <w:tcW w:w="619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tc>
      </w:tr>
    </w:tbl>
    <w:tbl>
      <w:tblPr>
        <w:tblW w:w="11726" w:type="dxa"/>
        <w:jc w:val="left"/>
        <w:tblInd w:w="0" w:type="dxa"/>
        <w:tblCellMar>
          <w:top w:w="28" w:type="dxa"/>
          <w:left w:w="28" w:type="dxa"/>
          <w:bottom w:w="28" w:type="dxa"/>
          <w:right w:w="28" w:type="dxa"/>
        </w:tblCellMar>
      </w:tblPr>
      <w:tblGrid>
        <w:gridCol w:w="544"/>
        <w:gridCol w:w="268"/>
        <w:gridCol w:w="269"/>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03"/>
        <w:gridCol w:w="203"/>
        <w:gridCol w:w="196"/>
        <w:gridCol w:w="109"/>
        <w:gridCol w:w="109"/>
        <w:gridCol w:w="109"/>
        <w:gridCol w:w="196"/>
        <w:gridCol w:w="406"/>
        <w:gridCol w:w="109"/>
        <w:gridCol w:w="109"/>
        <w:gridCol w:w="109"/>
        <w:gridCol w:w="109"/>
        <w:gridCol w:w="251"/>
        <w:gridCol w:w="751"/>
        <w:gridCol w:w="109"/>
        <w:gridCol w:w="109"/>
        <w:gridCol w:w="109"/>
        <w:gridCol w:w="109"/>
        <w:gridCol w:w="196"/>
        <w:gridCol w:w="751"/>
        <w:gridCol w:w="109"/>
        <w:gridCol w:w="109"/>
        <w:gridCol w:w="109"/>
        <w:gridCol w:w="109"/>
        <w:gridCol w:w="200"/>
        <w:gridCol w:w="768"/>
        <w:gridCol w:w="113"/>
        <w:gridCol w:w="109"/>
        <w:gridCol w:w="109"/>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3" w:type="dxa"/>
            <w:gridSpan w:val="5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7"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ind w:left="0" w:right="0" w:firstLine="220"/>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Earnings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December 31,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51,437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189,504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209,695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March 31,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52,216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52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87,116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25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54,152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190,803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245,094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3" w:type="dxa"/>
            <w:gridSpan w:val="5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7"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ind w:left="0" w:right="0" w:firstLine="220"/>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December 31, 2021</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50,428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86,519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(116,581)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186,209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69,765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March 31,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51,232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51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86,519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color w:val="000000"/>
                <w:sz w:val="16"/>
              </w:rPr>
            </w:pPr>
            <w:r>
              <w:rPr>
                <w:rFonts w:ascii="Times New Roman;sans-serif" w:hAnsi="Times New Roman;sans-serif"/>
                <w:b/>
                <w:color w:val="000000"/>
                <w:sz w:val="16"/>
              </w:rPr>
              <w:t>(100,523)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186,929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pPr>
            <w:r>
              <w:rPr>
                <w:rFonts w:ascii="Times New Roman;sans-serif" w:hAnsi="Times New Roman;sans-serif"/>
                <w:b/>
                <w:color w:val="000000"/>
                <w:sz w:val="16"/>
              </w:rPr>
              <w:t>86,544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wps:spPr>
                      <wps:txb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Arhaus,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Cash Flows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 amounts in thousands)</w:t>
      </w:r>
    </w:p>
    <w:tbl>
      <w:tblPr>
        <w:tblW w:w="10205" w:type="dxa"/>
        <w:jc w:val="left"/>
        <w:tblInd w:w="0" w:type="dxa"/>
        <w:tblCellMar>
          <w:top w:w="28" w:type="dxa"/>
          <w:left w:w="28" w:type="dxa"/>
          <w:bottom w:w="28" w:type="dxa"/>
          <w:right w:w="28" w:type="dxa"/>
        </w:tblCellMar>
      </w:tblPr>
      <w:tblGrid>
        <w:gridCol w:w="2660"/>
        <w:gridCol w:w="2283"/>
        <w:gridCol w:w="2308"/>
        <w:gridCol w:w="215"/>
        <w:gridCol w:w="812"/>
        <w:gridCol w:w="120"/>
        <w:gridCol w:w="202"/>
        <w:gridCol w:w="202"/>
        <w:gridCol w:w="202"/>
        <w:gridCol w:w="215"/>
        <w:gridCol w:w="812"/>
        <w:gridCol w:w="174"/>
      </w:tblGrid>
      <w:tr>
        <w:trPr/>
        <w:tc>
          <w:tcPr>
            <w:tcW w:w="2660" w:type="dxa"/>
            <w:tcBorders/>
            <w:shd w:fill="auto" w:val="clear"/>
            <w:vAlign w:val="center"/>
          </w:tcPr>
          <w:p>
            <w:pPr>
              <w:pStyle w:val="TableContents"/>
              <w:spacing w:before="0" w:after="283"/>
              <w:rPr>
                <w:sz w:val="4"/>
                <w:szCs w:val="4"/>
              </w:rPr>
            </w:pPr>
            <w:r>
              <w:rPr>
                <w:sz w:val="4"/>
                <w:szCs w:val="4"/>
              </w:rPr>
            </w:r>
          </w:p>
        </w:tc>
        <w:tc>
          <w:tcPr>
            <w:tcW w:w="2283"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2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251" w:type="dxa"/>
            <w:gridSpan w:val="3"/>
            <w:tcBorders/>
            <w:shd w:fill="auto" w:val="clear"/>
            <w:tcMar>
              <w:top w:w="0" w:type="dxa"/>
              <w:left w:w="0" w:type="dxa"/>
              <w:bottom w:w="0" w:type="dxa"/>
              <w:right w:w="0" w:type="dxa"/>
            </w:tcMar>
            <w:vAlign w:val="center"/>
          </w:tcPr>
          <w:p>
            <w:pPr>
              <w:pStyle w:val="TableContents"/>
              <w:spacing w:before="0" w:after="283"/>
              <w:ind w:left="0" w:right="0" w:firstLine="540"/>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firstLine="520"/>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7,009 </w:t>
            </w:r>
          </w:p>
        </w:tc>
        <w:tc>
          <w:tcPr>
            <w:tcW w:w="17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fees, interest on finance lease in excess of principal paid and interest on operating leases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compensation</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write-off of lease incentives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proceeds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inventory</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(38,199)</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(13,346)</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Client deposits</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furniture and equipment</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Insurance proceeds </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under finance leases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shares for payment of withholding taxes for equity based compensation</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 equivalents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equivalents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130,908 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155,975 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in cash</w:t>
            </w:r>
          </w:p>
        </w:tc>
        <w:tc>
          <w:tcPr>
            <w:tcW w:w="215"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received in cash</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in cash</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activities: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incentives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furniture and equipment in accounts payable</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Derecognition of build-to-suit assets as a result of ASC 842 adoption</w:t>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(31,017)</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contributions</w:t>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725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wps:spPr>
                      <wps:txb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Arial;sans-serif" w:hAnsi="Arial;sans-serif"/>
          <w:b w:val="false"/>
          <w:color w:val="000000"/>
          <w:sz w:val="2"/>
        </w:rPr>
      </w:pPr>
      <w:r>
        <w:rPr>
          <w:rFonts w:ascii="Arial;sans-serif" w:hAnsi="Arial;sans-serif"/>
          <w:b w:val="false"/>
          <w:color w:val="000000"/>
          <w:sz w:val="2"/>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 Nature of Business and Basis of Presentation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spacing w:lineRule="auto" w:line="288" w:before="200" w:after="283"/>
        <w:rPr/>
      </w:pPr>
      <w:r>
        <w:rPr>
          <w:rFonts w:ascii="Times New Roman;sans-serif" w:hAnsi="Times New Roman;sans-serif"/>
          <w:b w:val="false"/>
          <w:color w:val="000000"/>
          <w:sz w:val="20"/>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w:t>
      </w:r>
      <w:r>
        <w:rPr>
          <w:color w:val="000000"/>
          <w:highlight w:val="white"/>
        </w:rPr>
        <w:t xml:space="preserve"> </w:t>
      </w:r>
      <w:r>
        <w:rPr>
          <w:rFonts w:ascii="Times New Roman;sans-serif" w:hAnsi="Times New Roman;sans-serif"/>
          <w:b w:val="false"/>
          <w:color w:val="000000"/>
          <w:sz w:val="20"/>
          <w:highlight w:val="white"/>
        </w:rPr>
        <w:t xml:space="preserve">82 </w:t>
      </w:r>
      <w:r>
        <w:rPr>
          <w:rFonts w:ascii="Times New Roman;sans-serif" w:hAnsi="Times New Roman;sans-serif"/>
          <w:b w:val="false"/>
          <w:color w:val="000000"/>
          <w:sz w:val="20"/>
        </w:rPr>
        <w:t>Showrooms at March 31, 2023.</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accompanying condensed consolidated balance sheets at March 31, 2023 and December 31, 2022, the condensed consolidated statements of comprehensive income, cash flows and changes in stockholders’equity for the three months ended March 31, 2023 and 2022,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 </w:t>
      </w:r>
    </w:p>
    <w:p>
      <w:pPr>
        <w:pStyle w:val="TextBody"/>
        <w:spacing w:lineRule="auto" w:line="288" w:before="200" w:after="283"/>
        <w:rPr/>
      </w:pPr>
      <w:r>
        <w:rPr>
          <w:rFonts w:ascii="Times New Roman;sans-serif" w:hAnsi="Times New Roman;sans-serif"/>
          <w:b w:val="false"/>
          <w:color w:val="000000"/>
          <w:sz w:val="20"/>
          <w:highlight w:val="white"/>
        </w:rPr>
        <w:t>In management’s opinion, the accompanying condensed consolidated financial statements contain all adjustments, consisting of normal recurring adjustments, necessary for a fair statement of the Company’s financial position at March 31, 2023 and the results of operations, cash flows and changes in stockholders’equity for the three months ended March 31, 2023 and 2022. The condensed consolidated balance sheet as of December 31, 2022 included herein was derived from audited financial statements,</w:t>
      </w:r>
      <w:r>
        <w:rPr>
          <w:color w:val="000000"/>
        </w:rPr>
        <w:t xml:space="preserve"> </w:t>
      </w:r>
      <w:r>
        <w:rPr>
          <w:rFonts w:ascii="Times New Roman;sans-serif" w:hAnsi="Times New Roman;sans-serif"/>
          <w:b w:val="false"/>
          <w:color w:val="000000"/>
          <w:sz w:val="20"/>
        </w:rPr>
        <w:t xml:space="preserve">but does not include all disclosures required by U.S. GAAP.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results for the three months ended March 31, 2023 and 2022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2022.</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200" w:after="283"/>
        <w:rPr/>
      </w:pPr>
      <w:r>
        <w:rPr>
          <w:rFonts w:ascii="Times New Roman;sans-serif" w:hAnsi="Times New Roman;sans-serif"/>
          <w:b w:val="false"/>
          <w:color w:val="000000"/>
          <w:sz w:val="20"/>
        </w:rPr>
        <w:t xml:space="preserve">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The accounting estimates and other matters included within our condensed consolidated financial statements and notes to the condensed consolidated financial statements are revenue recognition, including a reserve for merchandise returns, goodwill and fair value of financial instruments which include, but are not limited to, </w:t>
      </w:r>
      <w:r>
        <w:rPr>
          <w:rFonts w:ascii="Times New Roman;sans-serif" w:hAnsi="Times New Roman;sans-serif"/>
          <w:b w:val="false"/>
          <w:color w:val="000000"/>
          <w:sz w:val="20"/>
          <w:highlight w:val="white"/>
        </w:rPr>
        <w:t>accounts receivable, payables and lease obligations.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Client Deposits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March 31, 2023 will be recognized as net revenue within the next 12 months as the performance obligations are satisfied.</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Gift Cards</w:t>
      </w:r>
    </w:p>
    <w:p>
      <w:pPr>
        <w:pStyle w:val="TextBody"/>
        <w:spacing w:lineRule="auto" w:line="288" w:before="200" w:after="283"/>
        <w:rPr/>
      </w:pPr>
      <w:r>
        <w:rPr>
          <w:rFonts w:ascii="Times New Roman;sans-serif" w:hAnsi="Times New Roman;sans-serif"/>
          <w:b w:val="false"/>
          <w:color w:val="000000"/>
          <w:sz w:val="20"/>
        </w:rPr>
        <w:t xml:space="preserve">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March 31, 2023 and December 31, 2022 of </w:t>
      </w:r>
      <w:r>
        <w:rPr>
          <w:rFonts w:ascii="Times New Roman;sans-serif" w:hAnsi="Times New Roman;sans-serif"/>
          <w:b w:val="false"/>
          <w:color w:val="000000"/>
          <w:sz w:val="20"/>
          <w:highlight w:val="white"/>
        </w:rPr>
        <w:t>$1.0 million</w:t>
      </w:r>
      <w:r>
        <w:rPr>
          <w:color w:val="000000"/>
        </w:rPr>
        <w:t xml:space="preserve"> </w:t>
      </w:r>
      <w:r>
        <w:rPr>
          <w:rFonts w:ascii="Times New Roman;sans-serif" w:hAnsi="Times New Roman;sans-serif"/>
          <w:b w:val="false"/>
          <w:color w:val="000000"/>
          <w:sz w:val="20"/>
        </w:rPr>
        <w:t>and $1.0 million, respectively, is recorded in the accrued other expenses line item of the condensed consolidated balance sheets. The Company recognizes income associated with breakage proportional to actual gift card redemptions. For the three months ended March 31, 2023 and 2022, breakage was minimal.</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Fair Values of Financial Instruments</w:t>
      </w:r>
    </w:p>
    <w:p>
      <w:pPr>
        <w:pStyle w:val="TextBody"/>
        <w:spacing w:lineRule="auto" w:line="256" w:before="0" w:after="0"/>
        <w:rPr/>
      </w:pPr>
      <w:r>
        <w:rPr>
          <w:rFonts w:ascii="Times New Roman;sans-serif" w:hAnsi="Times New Roman;sans-serif"/>
          <w:b w:val="false"/>
          <w:color w:val="000000"/>
          <w:sz w:val="20"/>
        </w:rPr>
        <w:t>The Company’s primary financial ins</w:t>
      </w:r>
      <w:r>
        <w:rPr>
          <w:rFonts w:ascii="Times New Roman;sans-serif" w:hAnsi="Times New Roman;sans-serif"/>
          <w:b w:val="false"/>
          <w:color w:val="000000"/>
          <w:sz w:val="20"/>
          <w:highlight w:val="white"/>
        </w:rPr>
        <w:t>truments are cash and cash equivalent investments, accounts receivable, payables, lease obligations and equity based compensation instruments. Due to the shor</w:t>
      </w:r>
      <w:r>
        <w:rPr>
          <w:rFonts w:ascii="Times New Roman;sans-serif" w:hAnsi="Times New Roman;sans-serif"/>
          <w:b w:val="false"/>
          <w:color w:val="000000"/>
          <w:sz w:val="20"/>
        </w:rPr>
        <w:t xml:space="preserve">t-term maturities of cash and cash equivalent investments, accounts receivable and payables, the Company believes the fair values of these instruments approximate their respective carrying values at March 31, 2023 and December 31, 2022. See Note 5 </w:t>
      </w:r>
      <w:r>
        <w:rPr>
          <w:color w:val="000000"/>
          <w:highlight w:val="white"/>
        </w:rPr>
        <w:t>—</w:t>
      </w:r>
      <w:r>
        <w:rPr>
          <w:color w:val="000000"/>
        </w:rPr>
        <w:t xml:space="preserve">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for discussion of our lease obligations and Note 6 </w:t>
      </w:r>
      <w:r>
        <w:rPr>
          <w:color w:val="000000"/>
          <w:highlight w:val="white"/>
        </w:rPr>
        <w:t>—</w:t>
      </w:r>
      <w:r>
        <w:rPr>
          <w:color w:val="000000"/>
        </w:rPr>
        <w:t xml:space="preserve"> </w:t>
      </w:r>
      <w:r>
        <w:rPr>
          <w:rFonts w:ascii="Times New Roman;sans-serif" w:hAnsi="Times New Roman;sans-serif"/>
          <w:b w:val="false"/>
          <w:i/>
          <w:color w:val="000000"/>
          <w:sz w:val="20"/>
        </w:rPr>
        <w:t>Equity Based Compensation</w:t>
      </w:r>
      <w:r>
        <w:rPr>
          <w:color w:val="000000"/>
        </w:rPr>
        <w:t xml:space="preserve"> </w:t>
      </w:r>
      <w:r>
        <w:rPr>
          <w:rFonts w:ascii="Times New Roman;sans-serif" w:hAnsi="Times New Roman;sans-serif"/>
          <w:b w:val="false"/>
          <w:color w:val="000000"/>
          <w:sz w:val="20"/>
        </w:rPr>
        <w:t>for discussion of our equity based compensation instruments.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pStyle w:val="TextBody"/>
        <w:spacing w:lineRule="auto" w:line="288" w:before="20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Level 1Unadjusted quoted prices in active markets for identical, unrestricted assets and liabilities that the reporting entity has the ability to access at the measurement date.</w:t>
      </w:r>
    </w:p>
    <w:p>
      <w:pPr>
        <w:pStyle w:val="TextBody"/>
        <w:spacing w:lineRule="auto" w:line="288" w:before="20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Level 2Inputs other than quoted prices included within Level 1 that are observable for the asset and liability or can be corroborated with observable market data for substantially the entire contractual term of the asset or liability.</w:t>
      </w:r>
    </w:p>
    <w:p>
      <w:pPr>
        <w:pStyle w:val="TextBody"/>
        <w:spacing w:lineRule="auto" w:line="288" w:before="200" w:after="283"/>
        <w:ind w:left="0" w:right="0" w:hanging="1080"/>
        <w:rPr/>
      </w:pPr>
      <w:r>
        <w:rPr>
          <w:rFonts w:ascii="Times New Roman;sans-serif" w:hAnsi="Times New Roman;sans-serif"/>
          <w:b w:val="false"/>
          <w:color w:val="000000"/>
          <w:sz w:val="20"/>
        </w:rPr>
        <w:t xml:space="preserve">Level 3Unobservable inputs that reflect the entity’s own assumptions about the assumptions market participants would use in the pricing of the asset or liability and are consequently not based on </w:t>
      </w:r>
      <w:r>
        <w:rPr>
          <w:rFonts w:ascii="Times New Roman;sans-serif" w:hAnsi="Times New Roman;sans-serif"/>
          <w:b w:val="false"/>
          <w:color w:val="000000"/>
          <w:sz w:val="20"/>
          <w:highlight w:val="white"/>
        </w:rPr>
        <w:t>market activity but rather through particular valuation techniques.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the Company invests in money market funds and other Level 1 cash and cash equivalent investments. For the three months ended March 31, 2023, the Company earned $1.5 million in interest income. The Company did not have cash and cash equivalent investments for the three months ended March 31, 2022. Interest income is included within interest expense (income), net on our condensed consolidated statements of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Recently Issued Accounting Standards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New Accounting Standards Adopted in Fiscal 2023</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We did not adopt any Accounting Standards Updates (“ASU”) in the three months ended March 31, 2023 that had a material impact on our accounting policies or our condensed consolidated financial statements.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Accounting Standards Not Yet Adopted</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accounting pronouncements which we have not yet adopted but will be adopted in the upcoming fiscal year. ASU 2023-01 is effective for annual periods beginning after December 15, 2023. We believe the adoption will not have a material impact on our accounting policies or our consolidated financial statements and related disclosures.</w:t>
      </w:r>
    </w:p>
    <w:tbl>
      <w:tblPr>
        <w:tblW w:w="7718" w:type="dxa"/>
        <w:jc w:val="left"/>
        <w:tblInd w:w="0" w:type="dxa"/>
        <w:tblCellMar>
          <w:top w:w="28" w:type="dxa"/>
          <w:left w:w="28" w:type="dxa"/>
          <w:bottom w:w="28" w:type="dxa"/>
          <w:right w:w="28" w:type="dxa"/>
        </w:tblCellMar>
      </w:tblPr>
      <w:tblGrid>
        <w:gridCol w:w="442"/>
        <w:gridCol w:w="391"/>
        <w:gridCol w:w="397"/>
        <w:gridCol w:w="109"/>
        <w:gridCol w:w="109"/>
        <w:gridCol w:w="109"/>
        <w:gridCol w:w="1445"/>
        <w:gridCol w:w="1445"/>
        <w:gridCol w:w="1459"/>
        <w:gridCol w:w="109"/>
        <w:gridCol w:w="109"/>
        <w:gridCol w:w="109"/>
        <w:gridCol w:w="434"/>
        <w:gridCol w:w="434"/>
        <w:gridCol w:w="617"/>
      </w:tblGrid>
      <w:tr>
        <w:trPr/>
        <w:tc>
          <w:tcPr>
            <w:tcW w:w="44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Adoption Date</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(Topic 842): Common Control Arrangements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2024</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3. Merchandise Warranties</w:t>
      </w:r>
    </w:p>
    <w:p>
      <w:pPr>
        <w:pStyle w:val="TextBody"/>
        <w:spacing w:lineRule="auto" w:line="288" w:before="200" w:after="283"/>
        <w:rPr/>
      </w:pPr>
      <w:r>
        <w:rPr>
          <w:rFonts w:ascii="Times New Roman;sans-serif" w:hAnsi="Times New Roman;sans-serif"/>
          <w:b w:val="false"/>
          <w:color w:val="000000"/>
          <w:sz w:val="20"/>
          <w:highlight w:val="white"/>
        </w:rPr>
        <w:t>The Co</w:t>
      </w:r>
      <w:r>
        <w:rPr>
          <w:rFonts w:ascii="Times New Roman;sans-serif" w:hAnsi="Times New Roman;sans-serif"/>
          <w:b w:val="false"/>
          <w:color w:val="000000"/>
          <w:sz w:val="20"/>
        </w:rPr>
        <w:t>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changes in our limited merchandise warranty liability is as follows (amounts in thousands): </w:t>
      </w:r>
    </w:p>
    <w:tbl>
      <w:tblPr>
        <w:tblW w:w="5965" w:type="dxa"/>
        <w:jc w:val="left"/>
        <w:tblInd w:w="0" w:type="dxa"/>
        <w:tblCellMar>
          <w:top w:w="28" w:type="dxa"/>
          <w:left w:w="28" w:type="dxa"/>
          <w:bottom w:w="28" w:type="dxa"/>
          <w:right w:w="28" w:type="dxa"/>
        </w:tblCellMar>
      </w:tblPr>
      <w:tblGrid>
        <w:gridCol w:w="1037"/>
        <w:gridCol w:w="912"/>
        <w:gridCol w:w="915"/>
        <w:gridCol w:w="262"/>
        <w:gridCol w:w="765"/>
        <w:gridCol w:w="135"/>
        <w:gridCol w:w="135"/>
        <w:gridCol w:w="135"/>
        <w:gridCol w:w="135"/>
        <w:gridCol w:w="262"/>
        <w:gridCol w:w="765"/>
        <w:gridCol w:w="135"/>
        <w:gridCol w:w="109"/>
        <w:gridCol w:w="109"/>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period</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during the period</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during the period</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Balance as of end of the period</w:t>
            </w:r>
            <w:r>
              <w:rPr>
                <w:rFonts w:ascii="Times New Roman;sans-serif" w:hAnsi="Times New Roman;sans-serif"/>
                <w:b w:val="false"/>
                <w:color w:val="000000"/>
                <w:sz w:val="13"/>
              </w:rPr>
              <w:t>(1)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$3.7 million and $3.7 million were recorded in accrued other expenses at March 31, 2023 and December 31, 2022, respectively. The remainder is recorded in other long-term liabilities on our </w:t>
      </w:r>
      <w:r>
        <w:rPr>
          <w:rFonts w:ascii="Times New Roman;sans-serif" w:hAnsi="Times New Roman;sans-serif"/>
          <w:b w:val="false"/>
          <w:color w:val="000000"/>
          <w:sz w:val="16"/>
          <w:highlight w:val="white"/>
        </w:rPr>
        <w:t>condensed consolidated balance sheets.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We recorded accruals during the periods presented in the table above, primarily to reflect charges that relate to limited merchandise warranties issued during the respective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4. Long-Term Debt</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March 31, 2023 and 2022), whereas the applicable margin is adjusted quarterly based on the Company’s consolidated rent-adjusted total leverage ratio.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pStyle w:val="TextBody"/>
        <w:spacing w:lineRule="auto" w:line="288" w:before="200" w:after="283"/>
        <w:rPr/>
      </w:pPr>
      <w:r>
        <w:rPr>
          <w:rFonts w:ascii="Times New Roman;sans-serif" w:hAnsi="Times New Roman;sans-serif"/>
          <w:b w:val="false"/>
          <w:color w:val="000000"/>
          <w:sz w:val="20"/>
          <w:highlight w:val="white"/>
        </w:rPr>
        <w:t xml:space="preserve">At March 31, 2023 and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we had no borrowings on the 2021 Credit Facility. Deferred financing costs related to the 2021 Credit Facility of $0.4 million are recorded in other noncurrent assets on the consolidated balance sheets and will be amortized over the term of the 2021 Credit Facility on a straight-line basis. Accumulated amortization related to deferred financing costs for the 2021 Credit Facility was $0.1 million as of March 31, 2023 and</w:t>
      </w:r>
      <w:r>
        <w:rPr>
          <w:color w:val="000000"/>
        </w:rPr>
        <w:t xml:space="preserve">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applicable debt covenants at March 31, 2023 and December 31, 2022, and expects to remain in compliance over the next 12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spacing w:lineRule="auto" w:line="288" w:before="200" w:after="283"/>
        <w:rPr/>
      </w:pPr>
      <w:r>
        <w:rPr>
          <w:rFonts w:ascii="Times New Roman;sans-serif" w:hAnsi="Times New Roman;sans-serif"/>
          <w:b w:val="false"/>
          <w:color w:val="000000"/>
          <w:sz w:val="20"/>
          <w:highlight w:val="white"/>
        </w:rPr>
        <w:t>The Company</w:t>
      </w:r>
      <w:r>
        <w:rPr>
          <w:color w:val="000000"/>
        </w:rPr>
        <w:t xml:space="preserve"> </w:t>
      </w:r>
      <w:r>
        <w:rPr>
          <w:rFonts w:ascii="Times New Roman;sans-serif" w:hAnsi="Times New Roman;sans-serif"/>
          <w:b w:val="false"/>
          <w:color w:val="000000"/>
          <w:sz w:val="20"/>
        </w:rPr>
        <w:t xml:space="preserve">leases real estate and equipment under operating and finance leases, some of which are from related parties as discussed in Note </w:t>
      </w:r>
      <w:r>
        <w:rPr>
          <w:rFonts w:ascii="Times New Roman;sans-serif" w:hAnsi="Times New Roman;sans-serif"/>
          <w:b w:val="false"/>
          <w:color w:val="000000"/>
          <w:sz w:val="20"/>
          <w:highlight w:val="white"/>
        </w:rPr>
        <w:t>10</w:t>
      </w:r>
      <w:r>
        <w:rPr>
          <w:color w:val="000000"/>
          <w:highlight w:val="white"/>
        </w:rPr>
        <w:t xml:space="preserve"> —</w:t>
      </w:r>
      <w:r>
        <w:rPr>
          <w:color w:val="000000"/>
        </w:rPr>
        <w:t xml:space="preserve">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The most significant obligati</w:t>
      </w:r>
      <w:r>
        <w:rPr>
          <w:rFonts w:ascii="Times New Roman;sans-serif" w:hAnsi="Times New Roman;sans-serif"/>
          <w:b w:val="false"/>
          <w:color w:val="000000"/>
          <w:sz w:val="20"/>
          <w:highlight w:val="white"/>
        </w:rPr>
        <w:t>ons under these lease agreements require the payments of periodic rentals, real estate taxes, insurance and maintenance costs. Depending on particular Showroom leases, the Company can also owe a percentage rent payment if particular Showrooms meet certain sales figures.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recognized in our condensed consolidated balance sheets related to leases as of March 31, 2023 and December 31, 2022, respectively (amounts in thousands):</w:t>
      </w:r>
    </w:p>
    <w:tbl>
      <w:tblPr>
        <w:tblW w:w="10205" w:type="dxa"/>
        <w:jc w:val="left"/>
        <w:tblInd w:w="0" w:type="dxa"/>
        <w:tblCellMar>
          <w:top w:w="28" w:type="dxa"/>
          <w:left w:w="28" w:type="dxa"/>
          <w:bottom w:w="28" w:type="dxa"/>
          <w:right w:w="28" w:type="dxa"/>
        </w:tblCellMar>
      </w:tblPr>
      <w:tblGrid>
        <w:gridCol w:w="859"/>
        <w:gridCol w:w="726"/>
        <w:gridCol w:w="732"/>
        <w:gridCol w:w="109"/>
        <w:gridCol w:w="109"/>
        <w:gridCol w:w="109"/>
        <w:gridCol w:w="1293"/>
        <w:gridCol w:w="1293"/>
        <w:gridCol w:w="1296"/>
        <w:gridCol w:w="109"/>
        <w:gridCol w:w="109"/>
        <w:gridCol w:w="109"/>
        <w:gridCol w:w="253"/>
        <w:gridCol w:w="992"/>
        <w:gridCol w:w="130"/>
        <w:gridCol w:w="109"/>
        <w:gridCol w:w="109"/>
        <w:gridCol w:w="109"/>
        <w:gridCol w:w="291"/>
        <w:gridCol w:w="1141"/>
        <w:gridCol w:w="218"/>
      </w:tblGrid>
      <w:tr>
        <w:trPr/>
        <w:tc>
          <w:tcPr>
            <w:tcW w:w="85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278,522 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38,522 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290,577 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289,871 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329,615 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 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381,981 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recognized within our condensed consolidated statements of comprehensive income for the three months ended March 31, 2023 and 2022, respectively are as follows (amounts in thousands):</w:t>
      </w:r>
    </w:p>
    <w:tbl>
      <w:tblPr>
        <w:tblW w:w="10205" w:type="dxa"/>
        <w:jc w:val="left"/>
        <w:tblInd w:w="0" w:type="dxa"/>
        <w:tblCellMar>
          <w:top w:w="28" w:type="dxa"/>
          <w:left w:w="28" w:type="dxa"/>
          <w:bottom w:w="28" w:type="dxa"/>
          <w:right w:w="28" w:type="dxa"/>
        </w:tblCellMar>
      </w:tblPr>
      <w:tblGrid>
        <w:gridCol w:w="909"/>
        <w:gridCol w:w="705"/>
        <w:gridCol w:w="651"/>
        <w:gridCol w:w="109"/>
        <w:gridCol w:w="109"/>
        <w:gridCol w:w="109"/>
        <w:gridCol w:w="1170"/>
        <w:gridCol w:w="1164"/>
        <w:gridCol w:w="1166"/>
        <w:gridCol w:w="109"/>
        <w:gridCol w:w="109"/>
        <w:gridCol w:w="109"/>
        <w:gridCol w:w="360"/>
        <w:gridCol w:w="1232"/>
        <w:gridCol w:w="186"/>
        <w:gridCol w:w="186"/>
        <w:gridCol w:w="186"/>
        <w:gridCol w:w="109"/>
        <w:gridCol w:w="109"/>
        <w:gridCol w:w="109"/>
        <w:gridCol w:w="211"/>
        <w:gridCol w:w="721"/>
        <w:gridCol w:w="109"/>
        <w:gridCol w:w="109"/>
        <w:gridCol w:w="159"/>
      </w:tblGrid>
      <w:tr>
        <w:trPr/>
        <w:tc>
          <w:tcPr>
            <w:tcW w:w="9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Income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Variable lease costs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$0.3 million of month-to-month lease costs for the three months ended March 31, 2023. T</w:t>
      </w:r>
      <w:r>
        <w:rPr>
          <w:rFonts w:ascii="Times New Roman;sans-serif" w:hAnsi="Times New Roman;sans-serif"/>
          <w:b w:val="false"/>
          <w:color w:val="000000"/>
          <w:sz w:val="16"/>
          <w:highlight w:val="white"/>
        </w:rPr>
        <w:t>he Company did not have month-to-month lease costs for the three months ended March 31, 2022.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we are reasonably certain to exercise the option on the basis of economic factors. The table below summarizes the weighted average remaining lease terms as of March 31, 2023 and 2022, respectively.</w:t>
      </w:r>
    </w:p>
    <w:tbl>
      <w:tblPr>
        <w:tblW w:w="8197" w:type="dxa"/>
        <w:jc w:val="left"/>
        <w:tblInd w:w="0" w:type="dxa"/>
        <w:tblCellMar>
          <w:top w:w="28" w:type="dxa"/>
          <w:left w:w="28" w:type="dxa"/>
          <w:bottom w:w="28" w:type="dxa"/>
          <w:right w:w="28" w:type="dxa"/>
        </w:tblCellMar>
      </w:tblPr>
      <w:tblGrid>
        <w:gridCol w:w="1675"/>
        <w:gridCol w:w="1468"/>
        <w:gridCol w:w="1477"/>
        <w:gridCol w:w="109"/>
        <w:gridCol w:w="109"/>
        <w:gridCol w:w="109"/>
        <w:gridCol w:w="479"/>
        <w:gridCol w:w="479"/>
        <w:gridCol w:w="481"/>
        <w:gridCol w:w="109"/>
        <w:gridCol w:w="109"/>
        <w:gridCol w:w="109"/>
        <w:gridCol w:w="434"/>
        <w:gridCol w:w="434"/>
        <w:gridCol w:w="616"/>
      </w:tblGrid>
      <w:tr>
        <w:trPr/>
        <w:tc>
          <w:tcPr>
            <w:tcW w:w="1675"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w:t>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March 31, 2023 and 2022, respectively.</w:t>
      </w:r>
    </w:p>
    <w:tbl>
      <w:tblPr>
        <w:tblW w:w="6486" w:type="dxa"/>
        <w:jc w:val="left"/>
        <w:tblInd w:w="0" w:type="dxa"/>
        <w:tblCellMar>
          <w:top w:w="28" w:type="dxa"/>
          <w:left w:w="28" w:type="dxa"/>
          <w:bottom w:w="28" w:type="dxa"/>
          <w:right w:w="28" w:type="dxa"/>
        </w:tblCellMar>
      </w:tblPr>
      <w:tblGrid>
        <w:gridCol w:w="1053"/>
        <w:gridCol w:w="925"/>
        <w:gridCol w:w="931"/>
        <w:gridCol w:w="109"/>
        <w:gridCol w:w="109"/>
        <w:gridCol w:w="109"/>
        <w:gridCol w:w="319"/>
        <w:gridCol w:w="319"/>
        <w:gridCol w:w="801"/>
        <w:gridCol w:w="109"/>
        <w:gridCol w:w="109"/>
        <w:gridCol w:w="109"/>
        <w:gridCol w:w="302"/>
        <w:gridCol w:w="302"/>
        <w:gridCol w:w="880"/>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Future lease liabilities at March 31, 2023 are as follows (amounts in thousands):</w:t>
      </w:r>
    </w:p>
    <w:tbl>
      <w:tblPr>
        <w:tblW w:w="10205" w:type="dxa"/>
        <w:jc w:val="left"/>
        <w:tblInd w:w="0" w:type="dxa"/>
        <w:tblCellMar>
          <w:top w:w="28" w:type="dxa"/>
          <w:left w:w="28" w:type="dxa"/>
          <w:bottom w:w="28" w:type="dxa"/>
          <w:right w:w="28" w:type="dxa"/>
        </w:tblCellMar>
      </w:tblPr>
      <w:tblGrid>
        <w:gridCol w:w="1001"/>
        <w:gridCol w:w="880"/>
        <w:gridCol w:w="883"/>
        <w:gridCol w:w="109"/>
        <w:gridCol w:w="109"/>
        <w:gridCol w:w="109"/>
        <w:gridCol w:w="450"/>
        <w:gridCol w:w="1761"/>
        <w:gridCol w:w="232"/>
        <w:gridCol w:w="109"/>
        <w:gridCol w:w="109"/>
        <w:gridCol w:w="109"/>
        <w:gridCol w:w="419"/>
        <w:gridCol w:w="1432"/>
        <w:gridCol w:w="216"/>
        <w:gridCol w:w="109"/>
        <w:gridCol w:w="109"/>
        <w:gridCol w:w="109"/>
        <w:gridCol w:w="344"/>
        <w:gridCol w:w="1350"/>
        <w:gridCol w:w="256"/>
      </w:tblGrid>
      <w:tr>
        <w:trPr/>
        <w:tc>
          <w:tcPr>
            <w:tcW w:w="100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Operating Lease Liabilities</w:t>
            </w:r>
            <w:r>
              <w:rPr>
                <w:color w:val="000000"/>
              </w:rPr>
              <w:t xml:space="preserve">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Lease Liabilities</w:t>
            </w:r>
          </w:p>
        </w:tc>
      </w:tr>
      <w:tr>
        <w:trPr/>
        <w:tc>
          <w:tcPr>
            <w:tcW w:w="27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48,925 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39,775 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472,039 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(116,112)</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(88,208)</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(204,320)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Includes leases with related parties. See Note </w:t>
      </w:r>
      <w:r>
        <w:rPr>
          <w:rFonts w:ascii="Times New Roman;sans-serif" w:hAnsi="Times New Roman;sans-serif"/>
          <w:b w:val="false"/>
          <w:color w:val="000000"/>
          <w:sz w:val="16"/>
          <w:highlight w:val="white"/>
        </w:rPr>
        <w:t>10</w:t>
      </w:r>
      <w:r>
        <w:rPr>
          <w:color w:val="000000"/>
        </w:rPr>
        <w:t xml:space="preserve"> </w:t>
      </w:r>
      <w:r>
        <w:rPr>
          <w:color w:val="000000"/>
          <w:highlight w:val="white"/>
        </w:rPr>
        <w:t>—</w:t>
      </w:r>
      <w:r>
        <w:rPr>
          <w:color w:val="000000"/>
        </w:rPr>
        <w:t xml:space="preserve"> </w:t>
      </w:r>
      <w:r>
        <w:rPr>
          <w:rFonts w:ascii="Times New Roman;sans-serif" w:hAnsi="Times New Roman;sans-serif"/>
          <w:b w:val="false"/>
          <w:i/>
          <w:color w:val="000000"/>
          <w:sz w:val="16"/>
        </w:rPr>
        <w:t>Related Party Transactions</w:t>
      </w:r>
      <w:r>
        <w:rPr>
          <w:color w:val="000000"/>
        </w:rPr>
        <w:t xml:space="preserve"> </w:t>
      </w:r>
      <w:r>
        <w:rPr>
          <w:rFonts w:ascii="Times New Roman;sans-serif" w:hAnsi="Times New Roman;sans-serif"/>
          <w:b w:val="false"/>
          <w:color w:val="000000"/>
          <w:sz w:val="16"/>
        </w:rPr>
        <w:t>for amounts leased from related parties.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At March 31, 2023, the Company has entered into leases for Showrooms and equipment which have not yet commenced with expected leas</w:t>
      </w:r>
      <w:r>
        <w:rPr>
          <w:rFonts w:ascii="Times New Roman;sans-serif" w:hAnsi="Times New Roman;sans-serif"/>
          <w:b w:val="false"/>
          <w:color w:val="000000"/>
          <w:sz w:val="20"/>
          <w:highlight w:val="white"/>
        </w:rPr>
        <w:t>e terms ranging from 3 to 17 years. The aggregate minimum rental payments over the term of the leases of approximately $121.7 million are not included i</w:t>
      </w:r>
      <w:r>
        <w:rPr>
          <w:rFonts w:ascii="Times New Roman;sans-serif" w:hAnsi="Times New Roman;sans-serif"/>
          <w:b w:val="false"/>
          <w:color w:val="000000"/>
          <w:sz w:val="20"/>
        </w:rPr>
        <w:t>n the above table.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three months ended March 31, 2023 and 2022, respectively is as follows (amounts in thousands):</w:t>
      </w:r>
    </w:p>
    <w:tbl>
      <w:tblPr>
        <w:tblW w:w="9159" w:type="dxa"/>
        <w:jc w:val="left"/>
        <w:tblInd w:w="0" w:type="dxa"/>
        <w:tblCellMar>
          <w:top w:w="28" w:type="dxa"/>
          <w:left w:w="28" w:type="dxa"/>
          <w:bottom w:w="28" w:type="dxa"/>
          <w:right w:w="28" w:type="dxa"/>
        </w:tblCellMar>
      </w:tblPr>
      <w:tblGrid>
        <w:gridCol w:w="2196"/>
        <w:gridCol w:w="1927"/>
        <w:gridCol w:w="1937"/>
        <w:gridCol w:w="109"/>
        <w:gridCol w:w="109"/>
        <w:gridCol w:w="109"/>
        <w:gridCol w:w="238"/>
        <w:gridCol w:w="815"/>
        <w:gridCol w:w="123"/>
        <w:gridCol w:w="123"/>
        <w:gridCol w:w="123"/>
        <w:gridCol w:w="123"/>
        <w:gridCol w:w="238"/>
        <w:gridCol w:w="815"/>
        <w:gridCol w:w="174"/>
      </w:tblGrid>
      <w:tr>
        <w:trPr/>
        <w:tc>
          <w:tcPr>
            <w:tcW w:w="2196"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6. Equity Based Compensation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activity of the Company’s Restricted Stock for the three months ended March 31, 2023 and the equity based compensation expense for the three months ended March 31, 2023 and 2022, respectively (amounts in thousands):</w:t>
      </w:r>
    </w:p>
    <w:tbl>
      <w:tblPr>
        <w:tblW w:w="8070" w:type="dxa"/>
        <w:jc w:val="left"/>
        <w:tblInd w:w="0" w:type="dxa"/>
        <w:tblCellMar>
          <w:top w:w="28" w:type="dxa"/>
          <w:left w:w="28" w:type="dxa"/>
          <w:bottom w:w="28" w:type="dxa"/>
          <w:right w:w="28" w:type="dxa"/>
        </w:tblCellMar>
      </w:tblPr>
      <w:tblGrid>
        <w:gridCol w:w="977"/>
        <w:gridCol w:w="858"/>
        <w:gridCol w:w="864"/>
        <w:gridCol w:w="488"/>
        <w:gridCol w:w="488"/>
        <w:gridCol w:w="261"/>
        <w:gridCol w:w="153"/>
        <w:gridCol w:w="153"/>
        <w:gridCol w:w="153"/>
        <w:gridCol w:w="790"/>
        <w:gridCol w:w="2309"/>
        <w:gridCol w:w="576"/>
      </w:tblGrid>
      <w:tr>
        <w:trPr/>
        <w:tc>
          <w:tcPr>
            <w:tcW w:w="97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 Class A</w:t>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(804,217)</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5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706,052 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tbl>
      <w:tblPr>
        <w:tblW w:w="7495" w:type="dxa"/>
        <w:jc w:val="left"/>
        <w:tblInd w:w="0" w:type="dxa"/>
        <w:tblCellMar>
          <w:top w:w="28" w:type="dxa"/>
          <w:left w:w="28" w:type="dxa"/>
          <w:bottom w:w="28" w:type="dxa"/>
          <w:right w:w="28" w:type="dxa"/>
        </w:tblCellMar>
      </w:tblPr>
      <w:tblGrid>
        <w:gridCol w:w="1712"/>
        <w:gridCol w:w="1502"/>
        <w:gridCol w:w="1510"/>
        <w:gridCol w:w="301"/>
        <w:gridCol w:w="665"/>
        <w:gridCol w:w="155"/>
        <w:gridCol w:w="155"/>
        <w:gridCol w:w="155"/>
        <w:gridCol w:w="155"/>
        <w:gridCol w:w="301"/>
        <w:gridCol w:w="665"/>
        <w:gridCol w:w="219"/>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Equity based compensation expense - Restricted Stock</w:t>
            </w:r>
            <w:r>
              <w:rPr>
                <w:rFonts w:ascii="Times New Roman;sans-serif" w:hAnsi="Times New Roman;sans-serif"/>
                <w:b w:val="false"/>
                <w:color w:val="000000"/>
                <w:sz w:val="13"/>
              </w:rPr>
              <w:t>(1)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Total unrecognized equity based compensation to be recognized in future periods is $8.2 million at March 31, 2023, and will be recognized over a weighted average period of 3.14 years. Equity based compensation expense is recorded within selling, general and administrative expenses on our </w:t>
      </w:r>
      <w:r>
        <w:rPr>
          <w:rFonts w:ascii="Times New Roman;sans-serif" w:hAnsi="Times New Roman;sans-serif"/>
          <w:b w:val="false"/>
          <w:color w:val="000000"/>
          <w:sz w:val="16"/>
          <w:highlight w:val="white"/>
        </w:rPr>
        <w:t>condensed consolidated statements of comprehensive income</w:t>
      </w:r>
      <w:r>
        <w:rPr>
          <w:rFonts w:ascii="Times New Roman;sans-serif" w:hAnsi="Times New Roman;sans-serif"/>
          <w:b w:val="false"/>
          <w:color w:val="000000"/>
          <w:sz w:val="16"/>
        </w:rPr>
        <w:t xml:space="preserve">. </w:t>
      </w:r>
    </w:p>
    <w:p>
      <w:pPr>
        <w:pStyle w:val="TextBody"/>
        <w:spacing w:lineRule="auto" w:line="288" w:before="200" w:after="283"/>
        <w:rPr/>
      </w:pPr>
      <w:r>
        <w:rPr>
          <w:rFonts w:ascii="Times New Roman;sans-serif" w:hAnsi="Times New Roman;sans-serif"/>
          <w:b w:val="false"/>
          <w:color w:val="000000"/>
          <w:sz w:val="20"/>
          <w:highlight w:val="white"/>
        </w:rPr>
        <w:t xml:space="preserve">The Arhaus, Inc. 2021 Equity </w:t>
      </w:r>
      <w:r>
        <w:rPr>
          <w:rFonts w:ascii="Times New Roman;sans-serif" w:hAnsi="Times New Roman;sans-serif"/>
          <w:b w:val="false"/>
          <w:color w:val="000000"/>
          <w:sz w:val="20"/>
        </w:rPr>
        <w:t>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has granted RSUs and PSUs to certain named executive officers and other key employees (“Award Recipient”). The Company has also issued RSU awards to certain members of the Board of Directors.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of the Board of Directors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PSU and RSU awards for the three months ended March 31, 2023, and their equity based compensation expense for the three months ended March 31, 2023 and 2022, respectively (amounts in thousands):</w:t>
      </w:r>
    </w:p>
    <w:tbl>
      <w:tblPr>
        <w:tblW w:w="10205" w:type="dxa"/>
        <w:jc w:val="left"/>
        <w:tblInd w:w="0" w:type="dxa"/>
        <w:tblCellMar>
          <w:top w:w="28" w:type="dxa"/>
          <w:left w:w="28" w:type="dxa"/>
          <w:bottom w:w="28" w:type="dxa"/>
          <w:right w:w="28" w:type="dxa"/>
        </w:tblCellMar>
      </w:tblPr>
      <w:tblGrid>
        <w:gridCol w:w="700"/>
        <w:gridCol w:w="615"/>
        <w:gridCol w:w="619"/>
        <w:gridCol w:w="413"/>
        <w:gridCol w:w="413"/>
        <w:gridCol w:w="261"/>
        <w:gridCol w:w="109"/>
        <w:gridCol w:w="109"/>
        <w:gridCol w:w="109"/>
        <w:gridCol w:w="622"/>
        <w:gridCol w:w="1511"/>
        <w:gridCol w:w="324"/>
        <w:gridCol w:w="109"/>
        <w:gridCol w:w="109"/>
        <w:gridCol w:w="109"/>
        <w:gridCol w:w="488"/>
        <w:gridCol w:w="488"/>
        <w:gridCol w:w="261"/>
        <w:gridCol w:w="109"/>
        <w:gridCol w:w="109"/>
        <w:gridCol w:w="109"/>
        <w:gridCol w:w="601"/>
        <w:gridCol w:w="1459"/>
        <w:gridCol w:w="449"/>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 Awards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513,125 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731,661 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271,138 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356,468 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4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768,013 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1,067,379 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10" w:type="dxa"/>
        <w:jc w:val="left"/>
        <w:tblInd w:w="0" w:type="dxa"/>
        <w:tblCellMar>
          <w:top w:w="28" w:type="dxa"/>
          <w:left w:w="28" w:type="dxa"/>
          <w:bottom w:w="28" w:type="dxa"/>
          <w:right w:w="28" w:type="dxa"/>
        </w:tblCellMar>
      </w:tblPr>
      <w:tblGrid>
        <w:gridCol w:w="1392"/>
        <w:gridCol w:w="1221"/>
        <w:gridCol w:w="1227"/>
        <w:gridCol w:w="310"/>
        <w:gridCol w:w="686"/>
        <w:gridCol w:w="160"/>
        <w:gridCol w:w="160"/>
        <w:gridCol w:w="160"/>
        <w:gridCol w:w="160"/>
        <w:gridCol w:w="310"/>
        <w:gridCol w:w="598"/>
        <w:gridCol w:w="226"/>
      </w:tblGrid>
      <w:tr>
        <w:trPr/>
        <w:tc>
          <w:tcPr>
            <w:tcW w:w="1392"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2022</w:t>
            </w:r>
            <w:r>
              <w:rPr>
                <w:rFonts w:ascii="Times New Roman;sans-serif" w:hAnsi="Times New Roman;sans-serif"/>
                <w:b/>
                <w:color w:val="000000"/>
                <w:sz w:val="13"/>
              </w:rPr>
              <w:t>(1)</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Equity based compensation expense - PSUs</w:t>
            </w:r>
            <w:r>
              <w:rPr>
                <w:rFonts w:ascii="Times New Roman;sans-serif" w:hAnsi="Times New Roman;sans-serif"/>
                <w:b w:val="false"/>
                <w:color w:val="000000"/>
                <w:sz w:val="13"/>
              </w:rPr>
              <w:t>(2)</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Equity based compensation expense - RSUs</w:t>
            </w:r>
            <w:r>
              <w:rPr>
                <w:rFonts w:ascii="Times New Roman;sans-serif" w:hAnsi="Times New Roman;sans-serif"/>
                <w:b w:val="false"/>
                <w:color w:val="000000"/>
                <w:sz w:val="13"/>
              </w:rPr>
              <w:t>(3)</w:t>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0"/>
        </w:rPr>
        <w:t>(1)</w:t>
      </w:r>
      <w:r>
        <w:rPr>
          <w:rFonts w:ascii="Times New Roman;sans-serif" w:hAnsi="Times New Roman;sans-serif"/>
          <w:b w:val="false"/>
          <w:color w:val="000000"/>
          <w:sz w:val="16"/>
        </w:rPr>
        <w:t>At the three months ended March 31, 2022 there were no PSUs or RSUs yet granted under the 2021 Plan.</w:t>
      </w:r>
    </w:p>
    <w:p>
      <w:pPr>
        <w:pStyle w:val="TextBody"/>
        <w:spacing w:lineRule="auto" w:line="288" w:before="0" w:after="0"/>
        <w:rPr/>
      </w:pPr>
      <w:r>
        <w:rPr>
          <w:rFonts w:ascii="Times New Roman;sans-serif" w:hAnsi="Times New Roman;sans-serif"/>
          <w:b/>
          <w:color w:val="000000"/>
          <w:sz w:val="10"/>
        </w:rPr>
        <w:t xml:space="preserve">(2) </w:t>
      </w:r>
      <w:r>
        <w:rPr>
          <w:rFonts w:ascii="Times New Roman;sans-serif" w:hAnsi="Times New Roman;sans-serif"/>
          <w:b w:val="false"/>
          <w:color w:val="000000"/>
          <w:sz w:val="16"/>
        </w:rPr>
        <w:t>Total unrecognized equity based compensation for the PSUs to be recognized in future periods is $5.5 million at March 31, 2023, and will be recognized over a weighted average period of 2.15 years. Equity based compensation expense is recorded within selling, general and administrative expenses on our condensed consolidated statements of comprehensive income.</w:t>
      </w:r>
    </w:p>
    <w:p>
      <w:pPr>
        <w:pStyle w:val="TextBody"/>
        <w:spacing w:lineRule="auto" w:line="288" w:before="0" w:after="0"/>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Total unrecognized equity based compensation for the RSUs to be recognized in future periods is $6.3 million at March 31, 2023, and will be recognized over a weighted average period of 2.63 years. Equity based compensation expense is recorded within selling, general and administrative expenses on our condensed consolidated statements of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7. Segment Reporting</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net revenue is generated through sales to clients in the United States. Sales to clients outside of the United States are not significant. Further, no single client represents more than ten percent or more of our net revenue.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pPr>
      <w:r>
        <w:rPr>
          <w:rFonts w:ascii="Times New Roman;sans-serif" w:hAnsi="Times New Roman;sans-serif"/>
          <w:b w:val="false"/>
          <w:color w:val="000000"/>
          <w:sz w:val="20"/>
        </w:rPr>
        <w:t>The following table shows net revenue by merchandise sales channel for the</w:t>
      </w:r>
      <w:r>
        <w:rPr>
          <w:color w:val="000000"/>
          <w:highlight w:val="white"/>
        </w:rPr>
        <w:t xml:space="preserve"> </w:t>
      </w:r>
      <w:r>
        <w:rPr>
          <w:rFonts w:ascii="Times New Roman;sans-serif" w:hAnsi="Times New Roman;sans-serif"/>
          <w:b w:val="false"/>
          <w:color w:val="000000"/>
          <w:sz w:val="20"/>
        </w:rPr>
        <w:t>three months ended March 31, 2023 and 2022, respectively (amounts in thousands):</w:t>
      </w:r>
    </w:p>
    <w:tbl>
      <w:tblPr>
        <w:tblW w:w="4315" w:type="dxa"/>
        <w:jc w:val="left"/>
        <w:tblInd w:w="0" w:type="dxa"/>
        <w:tblCellMar>
          <w:top w:w="28" w:type="dxa"/>
          <w:left w:w="28" w:type="dxa"/>
          <w:bottom w:w="28" w:type="dxa"/>
          <w:right w:w="28" w:type="dxa"/>
        </w:tblCellMar>
      </w:tblPr>
      <w:tblGrid>
        <w:gridCol w:w="559"/>
        <w:gridCol w:w="490"/>
        <w:gridCol w:w="496"/>
        <w:gridCol w:w="219"/>
        <w:gridCol w:w="860"/>
        <w:gridCol w:w="113"/>
        <w:gridCol w:w="113"/>
        <w:gridCol w:w="113"/>
        <w:gridCol w:w="113"/>
        <w:gridCol w:w="219"/>
        <w:gridCol w:w="860"/>
        <w:gridCol w:w="160"/>
      </w:tblGrid>
      <w:tr>
        <w:trPr/>
        <w:tc>
          <w:tcPr>
            <w:tcW w:w="55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eCommerce</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8. Net and Comprehensive Income per Share</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Basic and diluted net and comprehensive income per share for the three months ended March 31, 2023 and 2022, was calculated by dividing net and comprehensive income by the number of basic and diluted weighted average common shares outstanding.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Basic and diluted net and comprehensive income per share for the </w:t>
      </w:r>
      <w:r>
        <w:rPr>
          <w:rFonts w:ascii="Times New Roman;sans-serif" w:hAnsi="Times New Roman;sans-serif"/>
          <w:b w:val="false"/>
          <w:color w:val="000000"/>
          <w:sz w:val="20"/>
          <w:highlight w:val="white"/>
        </w:rPr>
        <w:t>three months ended March 31, 2023 and 2022</w:t>
      </w:r>
      <w:r>
        <w:rPr>
          <w:rFonts w:ascii="Times New Roman;sans-serif" w:hAnsi="Times New Roman;sans-serif"/>
          <w:b w:val="false"/>
          <w:color w:val="000000"/>
          <w:sz w:val="20"/>
        </w:rPr>
        <w:t>, is as follows (amounts in thousands except share and per share data):</w:t>
      </w:r>
    </w:p>
    <w:tbl>
      <w:tblPr>
        <w:tblW w:w="8498" w:type="dxa"/>
        <w:jc w:val="left"/>
        <w:tblInd w:w="0" w:type="dxa"/>
        <w:tblCellMar>
          <w:top w:w="28" w:type="dxa"/>
          <w:left w:w="28" w:type="dxa"/>
          <w:bottom w:w="28" w:type="dxa"/>
          <w:right w:w="28" w:type="dxa"/>
        </w:tblCellMar>
      </w:tblPr>
      <w:tblGrid>
        <w:gridCol w:w="1976"/>
        <w:gridCol w:w="1734"/>
        <w:gridCol w:w="1750"/>
        <w:gridCol w:w="268"/>
        <w:gridCol w:w="918"/>
        <w:gridCol w:w="123"/>
        <w:gridCol w:w="123"/>
        <w:gridCol w:w="123"/>
        <w:gridCol w:w="123"/>
        <w:gridCol w:w="268"/>
        <w:gridCol w:w="918"/>
        <w:gridCol w:w="174"/>
      </w:tblGrid>
      <w:tr>
        <w:trPr/>
        <w:tc>
          <w:tcPr>
            <w:tcW w:w="1976"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Denominator—Weighted Average Shares Outstanding</w:t>
            </w:r>
          </w:p>
        </w:tc>
        <w:tc>
          <w:tcPr>
            <w:tcW w:w="1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139,072,756 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137,482,533 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Effect of dilutive restricted stock </w:t>
            </w:r>
            <w:r>
              <w:rPr>
                <w:rFonts w:ascii="Times New Roman;sans-serif" w:hAnsi="Times New Roman;sans-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866,787 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1,225,935 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139,939,543 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138,708,468 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and Comprehensive Income Per Share</w:t>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per share, basic</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per share, diluted</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During the three months ended March 31, 2023, 547,370 shares of unvested restricted stock and RSUs were excluded from the computation of diluted earnings per share because their effect would have been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March 31, 2023 and December 31, 2022, we recorded liabilities of $0.3 million and $0.4 million, respectively, in accrued taxes on the condensed consolidated balance sheets for non-income tax matters that were probable and reasonably estimable.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tbl>
      <w:tblPr>
        <w:tblW w:w="4770" w:type="dxa"/>
        <w:jc w:val="left"/>
        <w:tblInd w:w="0" w:type="dxa"/>
        <w:tblCellMar>
          <w:top w:w="28" w:type="dxa"/>
          <w:left w:w="28" w:type="dxa"/>
          <w:bottom w:w="28" w:type="dxa"/>
          <w:right w:w="28" w:type="dxa"/>
        </w:tblCellMar>
      </w:tblPr>
      <w:tblGrid>
        <w:gridCol w:w="1525"/>
        <w:gridCol w:w="1342"/>
        <w:gridCol w:w="1903"/>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Arhaus, Inc. and Subsidiaries</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10. Related Party Transactions</w:t>
      </w: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Leasing transactions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with the ability to extend the lease in 12-month increments thereafter. The monthly rental payments are $0.1 million. Rent expense was $0.3 million and $0.3 million for the three months ended March 31, 2023 and 2022, respectively.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$0.1 million and $0.1 million for the three months ended March 31, 2023 and 2022, respectively.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$1.0 million and $0.9 million for the three months ended March 31, 2023 and 2022, respectively.</w:t>
      </w: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Other transactions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accounts payable due to related parties for state and federal income tax refunds were $1.8 million and $1.8 million at March 31, 2023 and December 31, 2022, respectively, and are included within accounts payable on the 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Income taxes were $12.1 million and $5.9 million in the three months ended March 31, 2023 and 2022, respectively. The effective tax rate was 26.2% and 26.8% for the three months ended March 31, 2023 and 2022, respectively.</w:t>
      </w:r>
    </w:p>
    <w:p>
      <w:pPr>
        <w:pStyle w:val="TextBody"/>
        <w:spacing w:lineRule="auto" w:line="26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no unrecognized tax benefits have been recognized. The Company files income tax returns in the U.S. and various state and local jurisdictions. The tax years after 2018 remain open to examination by the state taxing jurisdictions in which the Company is subject to tax. As of March 31, 2023, the Company was not under examination by the Internal Revenue Service or any state tax jurisdiction.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Management’s Discussion and Analysis of Financial Condition and Results of Operations</w:t>
      </w: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2022.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i/>
          <w:color w:val="000000"/>
          <w:sz w:val="20"/>
        </w:rPr>
        <w:t>Our ability to manage and maintain the growth rate of our business;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ability to obtain quality merchandise in sufficient quantities;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Disruption in our receiving and distribution system, including delays in the integration of our new distribution centers and the possibility that we may not realize the anticipated benefits of multiple distribution centers;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possibility of cyberattacks and our ability to maintain adequate cybersecurity systems and procedures;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Loss, corruption and misappropriation of data and information relating to clients and employees;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Changes in and compliance with applicable data privacy rules and regulations;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as a result of constraints in our supply chain;</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A failure of our vendors to meet our quality standards;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Declines in general economic conditions that affect consumer confidence and consumer spending that could adversely affect our revenue;</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ability to anticipate changes in consumer preferences;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Risks related to maintaining and increasing Showroom traffic and sales;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ability to compete in our market;</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ability to adequately protect our intellectual property;</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Compliance with applicable governmental regulations;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Effectively managing our eCommerce business and digital marketing efforts; </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Our reliance on third-party transportation carriers and risks associated with freight and transportation costs;</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The COVID-19 pandemic and its effect on our business; and</w:t>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Compliance with SEC rules and regulations as a public reporting company.</w:t>
      </w: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2022.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following discussion contains references to the three months ended March 31, 2023 and 2022, which represents the condensed consolidated financial results of Arhaus, Inc. and subsidiaries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Overview</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pStyle w:val="TextBody"/>
        <w:spacing w:lineRule="auto" w:line="288" w:before="200" w:after="283"/>
        <w:rPr/>
      </w:pPr>
      <w:r>
        <w:rPr>
          <w:rFonts w:ascii="Times New Roman;sans-serif" w:hAnsi="Times New Roman;sans-serif"/>
          <w:b w:val="false"/>
          <w:color w:val="000000"/>
          <w:sz w:val="20"/>
          <w:highlight w:val="white"/>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w:t>
      </w:r>
      <w:r>
        <w:rPr>
          <w:rFonts w:ascii="Times New Roman;sans-serif" w:hAnsi="Times New Roman;sans-serif"/>
          <w:b w:val="false"/>
          <w:color w:val="000000"/>
          <w:sz w:val="20"/>
        </w:rPr>
        <w:t>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pStyle w:val="TextBody"/>
        <w:spacing w:lineRule="auto" w:line="288" w:before="200" w:after="283"/>
        <w:rPr/>
      </w:pPr>
      <w:r>
        <w:rPr>
          <w:rFonts w:ascii="Times New Roman;sans-serif" w:hAnsi="Times New Roman;sans-serif"/>
          <w:b w:val="false"/>
          <w:color w:val="000000"/>
          <w:sz w:val="20"/>
        </w:rPr>
        <w:t>We have one reportable segment as of March 31, 2023. At March 31, 2023, we opera</w:t>
      </w:r>
      <w:r>
        <w:rPr>
          <w:rFonts w:ascii="Times New Roman;sans-serif" w:hAnsi="Times New Roman;sans-serif"/>
          <w:b w:val="false"/>
          <w:color w:val="000000"/>
          <w:sz w:val="20"/>
          <w:highlight w:val="white"/>
        </w:rPr>
        <w:t>ted 82 Showrooms, 65 with i</w:t>
      </w:r>
      <w:r>
        <w:rPr>
          <w:rFonts w:ascii="Times New Roman;sans-serif" w:hAnsi="Times New Roman;sans-serif"/>
          <w:b w:val="false"/>
          <w:color w:val="000000"/>
          <w:sz w:val="20"/>
        </w:rPr>
        <w:t>n-home interior designers. At December 31, 2022, we operated 81 Showrooms, 65 with in-home interior designers.</w:t>
      </w:r>
    </w:p>
    <w:tbl>
      <w:tblPr>
        <w:tblW w:w="6054" w:type="dxa"/>
        <w:jc w:val="left"/>
        <w:tblInd w:w="0" w:type="dxa"/>
        <w:tblCellMar>
          <w:top w:w="28" w:type="dxa"/>
          <w:left w:w="28" w:type="dxa"/>
          <w:bottom w:w="28" w:type="dxa"/>
          <w:right w:w="28" w:type="dxa"/>
        </w:tblCellMar>
      </w:tblPr>
      <w:tblGrid>
        <w:gridCol w:w="1081"/>
        <w:gridCol w:w="950"/>
        <w:gridCol w:w="953"/>
        <w:gridCol w:w="479"/>
        <w:gridCol w:w="479"/>
        <w:gridCol w:w="481"/>
        <w:gridCol w:w="109"/>
        <w:gridCol w:w="109"/>
        <w:gridCol w:w="109"/>
        <w:gridCol w:w="381"/>
        <w:gridCol w:w="381"/>
        <w:gridCol w:w="542"/>
      </w:tblGrid>
      <w:tr>
        <w:trPr/>
        <w:tc>
          <w:tcPr>
            <w:tcW w:w="108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20"/>
              </w:rPr>
            </w:pPr>
            <w:r>
              <w:rPr>
                <w:rFonts w:ascii="Times New Roman;sans-serif" w:hAnsi="Times New Roman;sans-serif"/>
                <w:b/>
                <w:color w:val="231F2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20"/>
              </w:rPr>
            </w:pPr>
            <w:r>
              <w:rPr>
                <w:rFonts w:ascii="Times New Roman;sans-serif" w:hAnsi="Times New Roman;sans-serif"/>
                <w:b/>
                <w:color w:val="231F20"/>
                <w:sz w:val="20"/>
              </w:rPr>
              <w:t>December 31,</w:t>
              <w:br/>
              <w:t>2022</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showrooms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5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 Studios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5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Outlets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Showroom locations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square footage (in thousands)</w:t>
            </w:r>
          </w:p>
        </w:tc>
        <w:tc>
          <w:tcPr>
            <w:tcW w:w="95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1,308 </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1,308 </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 xml:space="preserve">three months ended March 31, 2023, we generated </w:t>
      </w:r>
      <w:r>
        <w:rPr>
          <w:rFonts w:ascii="Times New Roman;sans-serif" w:hAnsi="Times New Roman;sans-serif"/>
          <w:b w:val="false"/>
          <w:color w:val="000000"/>
          <w:sz w:val="20"/>
          <w:highlight w:val="white"/>
        </w:rPr>
        <w:t>$304.6 million</w:t>
      </w:r>
      <w:r>
        <w:rPr>
          <w:color w:val="000000"/>
        </w:rPr>
        <w:t xml:space="preserve"> </w:t>
      </w:r>
      <w:r>
        <w:rPr>
          <w:rFonts w:ascii="Times New Roman;sans-serif" w:hAnsi="Times New Roman;sans-serif"/>
          <w:b w:val="false"/>
          <w:color w:val="000000"/>
          <w:sz w:val="20"/>
        </w:rPr>
        <w:t xml:space="preserve">of net revenue, </w:t>
      </w:r>
      <w:r>
        <w:rPr>
          <w:rFonts w:ascii="Times New Roman;sans-serif" w:hAnsi="Times New Roman;sans-serif"/>
          <w:b w:val="false"/>
          <w:color w:val="000000"/>
          <w:sz w:val="20"/>
          <w:highlight w:val="white"/>
        </w:rPr>
        <w:t>$128.2 million of</w:t>
      </w:r>
      <w:r>
        <w:rPr>
          <w:color w:val="000000"/>
        </w:rPr>
        <w:t xml:space="preserve"> </w:t>
      </w:r>
      <w:r>
        <w:rPr>
          <w:rFonts w:ascii="Times New Roman;sans-serif" w:hAnsi="Times New Roman;sans-serif"/>
          <w:b w:val="false"/>
          <w:color w:val="000000"/>
          <w:sz w:val="20"/>
        </w:rPr>
        <w:t xml:space="preserve">gross margin and </w:t>
      </w:r>
      <w:r>
        <w:rPr>
          <w:rFonts w:ascii="Times New Roman;sans-serif" w:hAnsi="Times New Roman;sans-serif"/>
          <w:b w:val="false"/>
          <w:color w:val="000000"/>
          <w:sz w:val="20"/>
          <w:highlight w:val="white"/>
        </w:rPr>
        <w:t>$34.1 million</w:t>
      </w:r>
      <w:r>
        <w:rPr>
          <w:color w:val="000000"/>
        </w:rPr>
        <w:t xml:space="preserve"> </w:t>
      </w:r>
      <w:r>
        <w:rPr>
          <w:rFonts w:ascii="Times New Roman;sans-serif" w:hAnsi="Times New Roman;sans-serif"/>
          <w:b w:val="false"/>
          <w:color w:val="000000"/>
          <w:sz w:val="20"/>
        </w:rPr>
        <w:t>of net and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Effects of COVID-19 on Our Business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While we have been able to serve our clients and operate our business through the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 or our financial results and business performance in future periods.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Various constraints in our merchandise supply chain have resulted in delays in our ability to convert demand into net revenue at normal historical rates. We expect that our supply chain may catch up to demand in the foreseeable future, but business circumstances and operational conditions cannot be predicted with certainty.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Depending on the future course of the pandemic and further outbreaks, we may experience further restrictions and closures of our Showrooms and Outlet stores. Although we experienced strong demand for our products, some of the demand may have been driven by consumers reinvesting in their homes and furnishings as they spent more time at home due to the pandemic. The exact impact that COVID-19 will have on future consumer behavior and related demand for our products cannot be predicted with certainty.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How We Assess the Performance of Our Business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pStyle w:val="TextBody"/>
        <w:spacing w:lineRule="auto" w:line="288" w:before="200" w:after="283"/>
        <w:rPr/>
      </w:pPr>
      <w:r>
        <w:rPr>
          <w:rFonts w:ascii="Times New Roman;sans-serif" w:hAnsi="Times New Roman;sans-serif"/>
          <w:b w:val="false"/>
          <w:i/>
          <w:color w:val="000000"/>
          <w:sz w:val="20"/>
          <w:highlight w:val="white"/>
        </w:rPr>
        <w:t>Net Revenue and Demand</w:t>
      </w:r>
      <w:r>
        <w:rPr>
          <w:rFonts w:ascii="Times New Roman;sans-serif" w:hAnsi="Times New Roman;sans-serif"/>
          <w:b w:val="false"/>
          <w:color w:val="000000"/>
          <w:sz w:val="20"/>
          <w:highlight w:val="white"/>
        </w:rPr>
        <w:t>. Net revenue is recognized when a client obtains control of the merchandise. We also track demand in our business which is a 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pStyle w:val="TextBody"/>
        <w:spacing w:lineRule="auto" w:line="288" w:before="200" w:after="283"/>
        <w:rPr/>
      </w:pPr>
      <w:r>
        <w:rPr>
          <w:rFonts w:ascii="Times New Roman;sans-serif" w:hAnsi="Times New Roman;sans-serif"/>
          <w:b w:val="false"/>
          <w:i/>
          <w:color w:val="000000"/>
          <w:sz w:val="20"/>
          <w:highlight w:val="white"/>
        </w:rPr>
        <w:t>Comparable Growth</w:t>
      </w:r>
      <w:r>
        <w:rPr>
          <w:rFonts w:ascii="Times New Roman;sans-serif" w:hAnsi="Times New Roman;sans-serif"/>
          <w:b w:val="false"/>
          <w:color w:val="000000"/>
          <w:sz w:val="20"/>
          <w:highlight w:val="white"/>
        </w:rPr>
        <w:t>. Comparable growth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pStyle w:val="TextBody"/>
        <w:spacing w:lineRule="auto" w:line="288" w:before="200" w:after="283"/>
        <w:rPr/>
      </w:pPr>
      <w:r>
        <w:rPr>
          <w:rFonts w:ascii="Times New Roman;sans-serif" w:hAnsi="Times New Roman;sans-serif"/>
          <w:b w:val="false"/>
          <w:i/>
          <w:color w:val="000000"/>
          <w:sz w:val="20"/>
          <w:highlight w:val="white"/>
        </w:rPr>
        <w:t>Demand Comparable Growth</w:t>
      </w:r>
      <w:r>
        <w:rPr>
          <w:rFonts w:ascii="Times New Roman;sans-serif" w:hAnsi="Times New Roman;sans-serif"/>
          <w:b w:val="false"/>
          <w:color w:val="000000"/>
          <w:sz w:val="20"/>
          <w:highlight w:val="white"/>
        </w:rPr>
        <w:t xml:space="preserve">. Demand comparable growth is the year-over-year percentage change of demand from our comparable Showrooms and 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highlight w:val="white"/>
        </w:rPr>
        <w:t xml:space="preserve">Gross Margin. </w:t>
      </w:r>
      <w:r>
        <w:rPr>
          <w:rFonts w:ascii="Times New Roman;sans-serif" w:hAnsi="Times New Roman;sans-serif"/>
          <w:b w:val="false"/>
          <w:color w:val="000000"/>
          <w:sz w:val="20"/>
        </w:rPr>
        <w:t>Gross margin is equal to our net revenue less cost of goods sold. Cost of goods sold includes the direct cost of purchased merchandise, 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 xml:space="preserve">Selling, general and administrative, or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pStyle w:val="TextBody"/>
        <w:spacing w:lineRule="auto" w:line="288" w:before="200" w:after="283"/>
        <w:rPr/>
      </w:pPr>
      <w:r>
        <w:rPr>
          <w:rFonts w:ascii="Times New Roman;sans-serif" w:hAnsi="Times New Roman;sans-serif"/>
          <w:b w:val="false"/>
          <w:i/>
          <w:color w:val="000000"/>
          <w:sz w:val="20"/>
        </w:rPr>
        <w:t xml:space="preserve">EBITDA. </w:t>
      </w:r>
      <w:r>
        <w:rPr>
          <w:rFonts w:ascii="Times New Roman;sans-serif" w:hAnsi="Times New Roman;sans-serif"/>
          <w:b w:val="false"/>
          <w:color w:val="000000"/>
          <w:sz w:val="20"/>
        </w:rPr>
        <w:t>We define EBITDA as consolidated net income before depreciation and amortization, interest expense (income), net and income tax expense.</w:t>
      </w:r>
    </w:p>
    <w:p>
      <w:pPr>
        <w:pStyle w:val="TextBody"/>
        <w:spacing w:lineRule="auto" w:line="288" w:before="200" w:after="283"/>
        <w:rPr/>
      </w:pPr>
      <w:r>
        <w:rPr>
          <w:rFonts w:ascii="Times New Roman;sans-serif" w:hAnsi="Times New Roman;sans-serif"/>
          <w:b w:val="false"/>
          <w:i/>
          <w:color w:val="000000"/>
          <w:sz w:val="20"/>
        </w:rPr>
        <w:t xml:space="preserve">Adjusted EBITDA. </w:t>
      </w:r>
      <w:r>
        <w:rPr>
          <w:rFonts w:ascii="Times New Roman;sans-serif" w:hAnsi="Times New Roman;sans-serif"/>
          <w:b w:val="false"/>
          <w:color w:val="000000"/>
          <w:sz w:val="20"/>
        </w:rPr>
        <w:t>We believe that adjusted EBITDA is a useful measure of operating performance as the adjustments eliminate items that we believe are 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and comprehensive income to EBITDA and adjusted EBITDA for the periods presented:</w:t>
      </w:r>
    </w:p>
    <w:tbl>
      <w:tblPr>
        <w:tblW w:w="5693" w:type="dxa"/>
        <w:jc w:val="left"/>
        <w:tblInd w:w="0" w:type="dxa"/>
        <w:tblCellMar>
          <w:top w:w="28" w:type="dxa"/>
          <w:left w:w="28" w:type="dxa"/>
          <w:bottom w:w="28" w:type="dxa"/>
          <w:right w:w="28" w:type="dxa"/>
        </w:tblCellMar>
      </w:tblPr>
      <w:tblGrid>
        <w:gridCol w:w="939"/>
        <w:gridCol w:w="826"/>
        <w:gridCol w:w="829"/>
        <w:gridCol w:w="109"/>
        <w:gridCol w:w="109"/>
        <w:gridCol w:w="109"/>
        <w:gridCol w:w="238"/>
        <w:gridCol w:w="815"/>
        <w:gridCol w:w="123"/>
        <w:gridCol w:w="123"/>
        <w:gridCol w:w="123"/>
        <w:gridCol w:w="123"/>
        <w:gridCol w:w="238"/>
        <w:gridCol w:w="815"/>
        <w:gridCol w:w="17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326" w:before="0" w:after="0"/>
              <w:jc w:val="left"/>
              <w:rPr/>
            </w:pPr>
            <w:r>
              <w:rPr>
                <w:rFonts w:ascii="Times New Roman;sans-serif" w:hAnsi="Times New Roman;sans-serif"/>
                <w:b w:val="false"/>
                <w:color w:val="000000"/>
                <w:sz w:val="20"/>
              </w:rPr>
              <w:t>Other expenses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 xml:space="preserve">Other expenses represent costs and investments not indicative of ongoing business performance, such as third-party consulting costs, one-time project start-up costs, severance, signing bonuses, recruiting and project-based strategic initiatives.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Factors Affecting the Comparability of our Results of Operations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Our results over the past two years have been affected by the following events, which must be understood in order to assess the comparability of our period-to-period financial performance and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Showroom Openings and Closings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New Showrooms contribute incremental expense, new Showroom opening expense and net revenue to the Company. In the three months ended March 31, 2023, we opened two Showrooms and closed one Showroom. The one Showroom closure in the three months ended March 31, 2023, was related to a relocation. During the year ended December 31, 2022, we opened four Showrooms and closed two Showrooms. Of the two Showroom closures in 2022, one was related to relocation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for the periods indicated. The following discussion should be read in conjunction with our condensed consolidated financial statements and related notes.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Statement of Condensed Consolidated Comprehensive Income Data:</w:t>
      </w:r>
    </w:p>
    <w:tbl>
      <w:tblPr>
        <w:tblW w:w="6832" w:type="dxa"/>
        <w:jc w:val="left"/>
        <w:tblInd w:w="0" w:type="dxa"/>
        <w:tblCellMar>
          <w:top w:w="28" w:type="dxa"/>
          <w:left w:w="28" w:type="dxa"/>
          <w:bottom w:w="28" w:type="dxa"/>
          <w:right w:w="28" w:type="dxa"/>
        </w:tblCellMar>
      </w:tblPr>
      <w:tblGrid>
        <w:gridCol w:w="1352"/>
        <w:gridCol w:w="1188"/>
        <w:gridCol w:w="1195"/>
        <w:gridCol w:w="109"/>
        <w:gridCol w:w="109"/>
        <w:gridCol w:w="109"/>
        <w:gridCol w:w="219"/>
        <w:gridCol w:w="860"/>
        <w:gridCol w:w="113"/>
        <w:gridCol w:w="113"/>
        <w:gridCol w:w="113"/>
        <w:gridCol w:w="113"/>
        <w:gridCol w:w="219"/>
        <w:gridCol w:w="860"/>
        <w:gridCol w:w="160"/>
      </w:tblGrid>
      <w:tr>
        <w:trPr/>
        <w:tc>
          <w:tcPr>
            <w:tcW w:w="135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Other Operational Data:</w:t>
      </w:r>
    </w:p>
    <w:tbl>
      <w:tblPr>
        <w:tblW w:w="8758" w:type="dxa"/>
        <w:jc w:val="left"/>
        <w:tblInd w:w="0" w:type="dxa"/>
        <w:tblCellMar>
          <w:top w:w="28" w:type="dxa"/>
          <w:left w:w="28" w:type="dxa"/>
          <w:bottom w:w="28" w:type="dxa"/>
          <w:right w:w="28" w:type="dxa"/>
        </w:tblCellMar>
      </w:tblPr>
      <w:tblGrid>
        <w:gridCol w:w="1987"/>
        <w:gridCol w:w="1748"/>
        <w:gridCol w:w="1755"/>
        <w:gridCol w:w="109"/>
        <w:gridCol w:w="109"/>
        <w:gridCol w:w="109"/>
        <w:gridCol w:w="376"/>
        <w:gridCol w:w="224"/>
        <w:gridCol w:w="557"/>
        <w:gridCol w:w="194"/>
        <w:gridCol w:w="194"/>
        <w:gridCol w:w="194"/>
        <w:gridCol w:w="376"/>
        <w:gridCol w:w="211"/>
        <w:gridCol w:w="615"/>
      </w:tblGrid>
      <w:tr>
        <w:trPr/>
        <w:tc>
          <w:tcPr>
            <w:tcW w:w="1987"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4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304,568</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246,300</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comparable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as a %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as a % of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as a %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34,099</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as a %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88" w:before="13" w:after="283"/>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w:t>
            </w:r>
          </w:p>
        </w:tc>
      </w:tr>
      <w:tr>
        <w:trPr/>
        <w:tc>
          <w:tcPr>
            <w:tcW w:w="549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 of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Showrooms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549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See “How We Assess the Performance of Our Business,” for a definition of adjusted EBITDA and a reconciliation of adjusted EBITDA to net and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spacing w:lineRule="auto" w:line="288" w:before="200" w:after="283"/>
        <w:rPr/>
      </w:pPr>
      <w:r>
        <w:rPr>
          <w:rFonts w:ascii="Times New Roman;sans-serif" w:hAnsi="Times New Roman;sans-serif"/>
          <w:b w:val="false"/>
          <w:color w:val="000000"/>
          <w:sz w:val="20"/>
        </w:rPr>
        <w:t>Net revenue increased $58.3 million, or 23.7%, to $304.6 million in the three months ended March 31, 2023 compared to $246.3 million</w:t>
      </w:r>
      <w:r>
        <w:rPr>
          <w:color w:val="000000"/>
          <w:highlight w:val="white"/>
        </w:rPr>
        <w:t xml:space="preserve"> </w:t>
      </w:r>
      <w:r>
        <w:rPr>
          <w:rFonts w:ascii="Times New Roman;sans-serif" w:hAnsi="Times New Roman;sans-serif"/>
          <w:b w:val="false"/>
          <w:color w:val="000000"/>
          <w:sz w:val="20"/>
          <w:highlight w:val="white"/>
        </w:rPr>
        <w:t>in the three months ended March 31, 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The increase was driven primarily by increased demand for our products in both Showrooms and eCommerce, as well as elements of our supply chain continuing to catch up with client demand.</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Comparable growth was 21.0% in the three months ended March 31, 2023 compared to 40.3% in the three months ended March 31, 2022. Demand comparable growth was 5.6% in the three months ended March 31, 2023 compared to 8.3% in the three months ended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spacing w:lineRule="auto" w:line="288" w:before="200" w:after="283"/>
        <w:rPr/>
      </w:pPr>
      <w:r>
        <w:rPr>
          <w:rFonts w:ascii="Times New Roman;sans-serif" w:hAnsi="Times New Roman;sans-serif"/>
          <w:b w:val="false"/>
          <w:color w:val="000000"/>
          <w:sz w:val="20"/>
        </w:rPr>
        <w:t>Gross margin increased $30.5 million, or 31.2%, to $128.2 million in the three months ended March 31, 2023 compared to $97.7 million</w:t>
      </w:r>
      <w:r>
        <w:rPr>
          <w:color w:val="000000"/>
          <w:highlight w:val="white"/>
        </w:rPr>
        <w:t xml:space="preserve"> </w:t>
      </w:r>
      <w:r>
        <w:rPr>
          <w:rFonts w:ascii="Times New Roman;sans-serif" w:hAnsi="Times New Roman;sans-serif"/>
          <w:b w:val="false"/>
          <w:color w:val="000000"/>
          <w:sz w:val="20"/>
          <w:highlight w:val="white"/>
        </w:rPr>
        <w:t xml:space="preserve">in the three months ended March 31, 2022. Gross margin improvement was driven by the increase in net revenue, partially offset by increased variable expense related to the higher revenue, including $15.6 million of increased product costs, $6.9 million of increased transportation costs, $1.7 million of increased variable rent expense, in addition to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 million of increased fixed Showroom costs and $1.1 million of increased credit card fees related to higher interest rates and demand during these time periods.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percentage of net revenue, gross margin increased 240 basis points to 42.1% of net revenue in the three months ended March 31, 2023 compared to 39.7% of net revenue in the three months ended March 31, 2022. The gross margin increase as a percentage of net revenue was primarily the result of favorable product costs and leverage on fixed Showroom costs over higher net revenue, contributing 200 and 80 basis points to the gross margin improvements, respectively. This was partially offset by higher variable Showroom costs and transportation costs, which together increased 50 basis points as a percentage of net revenue.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rPr/>
      </w:pPr>
      <w:r>
        <w:rPr>
          <w:rFonts w:ascii="Times New Roman;sans-serif" w:hAnsi="Times New Roman;sans-serif"/>
          <w:b w:val="false"/>
          <w:color w:val="000000"/>
          <w:sz w:val="20"/>
        </w:rPr>
        <w:t>SG&amp;A expen</w:t>
      </w:r>
      <w:r>
        <w:rPr>
          <w:rFonts w:ascii="Times New Roman;sans-serif" w:hAnsi="Times New Roman;sans-serif"/>
          <w:b w:val="false"/>
          <w:color w:val="000000"/>
          <w:sz w:val="20"/>
          <w:highlight w:val="white"/>
        </w:rPr>
        <w:t>ses increased $7.9 million, or 10.6%, to $82.8 million in the three months ended March 31, 2023 compared to $74.8 million in the three months ended March 31, 2022. The increase in SG&amp;A expenses was primarily driven by a $6.5 million increase in corporate expenses to support the growth of the business and a $2.6 million increase in selling expenses related to new Showrooms and higher demand, partially offset by a $1.1 million decrease in warehouse expenses.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percentage of net revenue, SG&amp;A expenses decreased 320 basis points to 27.2% of net revenue in the three months ended March 31, 2023 compared to 30.4% of net revenue in the three months ended March 31, 2022.</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Interest expense (income), net</w:t>
      </w:r>
    </w:p>
    <w:p>
      <w:pPr>
        <w:pStyle w:val="TextBody"/>
        <w:spacing w:lineRule="auto" w:line="288" w:before="200" w:after="283"/>
        <w:rPr/>
      </w:pPr>
      <w:r>
        <w:rPr>
          <w:rFonts w:ascii="Times New Roman;sans-serif" w:hAnsi="Times New Roman;sans-serif"/>
          <w:b w:val="false"/>
          <w:color w:val="000000"/>
          <w:sz w:val="20"/>
          <w:highlight w:val="white"/>
        </w:rPr>
        <w:t>The $1.5 million decrease in interest expense (income), net for t</w:t>
      </w:r>
      <w:r>
        <w:rPr>
          <w:rFonts w:ascii="Times New Roman;sans-serif" w:hAnsi="Times New Roman;sans-serif"/>
          <w:b w:val="false"/>
          <w:color w:val="000000"/>
          <w:sz w:val="20"/>
        </w:rPr>
        <w:t xml:space="preserve">he three months ended March 31, 2023 compared to </w:t>
      </w:r>
      <w:r>
        <w:rPr>
          <w:rFonts w:ascii="Times New Roman;sans-serif" w:hAnsi="Times New Roman;sans-serif"/>
          <w:b w:val="false"/>
          <w:color w:val="000000"/>
          <w:sz w:val="20"/>
          <w:highlight w:val="white"/>
        </w:rPr>
        <w:t>three months ended March 31, 2022</w:t>
      </w:r>
      <w:r>
        <w:rPr>
          <w:rFonts w:ascii="Times New Roman;sans-serif" w:hAnsi="Times New Roman;sans-serif"/>
          <w:b w:val="false"/>
          <w:color w:val="000000"/>
          <w:sz w:val="20"/>
        </w:rPr>
        <w:t xml:space="preserve">, was primarily due to interest income earned on our money market fund investments of $1.5 million. </w:t>
      </w:r>
      <w:r>
        <w:rPr>
          <w:rFonts w:ascii="Times New Roman;sans-serif" w:hAnsi="Times New Roman;sans-serif"/>
          <w:b w:val="false"/>
          <w:color w:val="000000"/>
          <w:sz w:val="20"/>
          <w:highlight w:val="white"/>
        </w:rPr>
        <w:t>The Company did not have money market fund investments for the three months ended March 31, 2022.</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Income Taxes</w:t>
      </w:r>
    </w:p>
    <w:p>
      <w:pPr>
        <w:pStyle w:val="TextBody"/>
        <w:spacing w:lineRule="auto" w:line="288" w:before="200" w:after="283"/>
        <w:rPr/>
      </w:pPr>
      <w:r>
        <w:rPr>
          <w:rFonts w:ascii="Times New Roman;sans-serif" w:hAnsi="Times New Roman;sans-serif"/>
          <w:b w:val="false"/>
          <w:color w:val="000000"/>
          <w:sz w:val="20"/>
          <w:highlight w:val="white"/>
        </w:rPr>
        <w:t xml:space="preserve">Income tax expense was $12.1 million in the three months ended March 31, 2023 compared to $5.9 million in the three months ended March 31, 2022. Our effective tax rate was </w:t>
      </w:r>
      <w:r>
        <w:rPr>
          <w:rFonts w:ascii="Times New Roman;sans-serif" w:hAnsi="Times New Roman;sans-serif"/>
          <w:b w:val="false"/>
          <w:color w:val="000000"/>
          <w:sz w:val="20"/>
        </w:rPr>
        <w:t>26.2% and 26.8% for the three months ended March 31, 2023 and 2022, respectively.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and Comprehensive Income</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Net and comprehensive income increased $18.0 million to $34.1 million in the three months ended March 31, 2023 compared to $16.1 million in the three months ended March 31, 2022. The increase was driven by the factors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Liquidity and Capital Resources</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Liquidity Outlook</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March 31, 2023, we had cash and cash equivalents of $144.5 million. </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March 31, 2023 and 2022), whereas the applicable margin is adjusted quarterly based on the Company’s consolidated rent-adjusted total leverage ratio.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9, 2022, the Company amended the 2021 Credit Facility to increase the revolving credit commitment thereunder by $25.0 million. After giving effect to such increase, the aggregate amount of all commitments under the 2021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pPr>
      <w:r>
        <w:rPr>
          <w:rFonts w:ascii="Times New Roman;sans-serif" w:hAnsi="Times New Roman;sans-serif"/>
          <w:b w:val="false"/>
          <w:color w:val="000000"/>
          <w:sz w:val="20"/>
        </w:rPr>
        <w:t>Credit Facility is $75.0 million. The 2021 Credit Facility expires on November 8, 2026.</w:t>
      </w:r>
      <w:r>
        <w:rPr>
          <w:color w:val="000000"/>
          <w:highlight w:val="white"/>
        </w:rPr>
        <w:t xml:space="preserve"> </w:t>
      </w:r>
      <w:r>
        <w:rPr>
          <w:rFonts w:ascii="Times New Roman;sans-serif" w:hAnsi="Times New Roman;sans-serif"/>
          <w:b w:val="false"/>
          <w:color w:val="000000"/>
          <w:sz w:val="20"/>
          <w:highlight w:val="white"/>
        </w:rPr>
        <w:t xml:space="preserve">At March 31, 2023, we had </w:t>
      </w:r>
      <w:r>
        <w:rPr>
          <w:rFonts w:ascii="Times New Roman;sans-serif" w:hAnsi="Times New Roman;sans-serif"/>
          <w:b w:val="false"/>
          <w:color w:val="000000"/>
          <w:sz w:val="20"/>
        </w:rPr>
        <w:t>no</w:t>
      </w:r>
      <w:r>
        <w:rPr>
          <w:color w:val="000000"/>
          <w:highlight w:val="white"/>
        </w:rPr>
        <w:t xml:space="preserve"> </w:t>
      </w:r>
      <w:r>
        <w:rPr>
          <w:rFonts w:ascii="Times New Roman;sans-serif" w:hAnsi="Times New Roman;sans-serif"/>
          <w:b w:val="false"/>
          <w:color w:val="000000"/>
          <w:sz w:val="20"/>
          <w:highlight w:val="white"/>
        </w:rPr>
        <w:t>borrowings on the 2021 Credit Facility.</w:t>
      </w:r>
    </w:p>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 </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Capital expenditures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Historically, we have invested significant capital expenditures in opening new Showrooms and expanding our distribution center footprint.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we continue to address the effects of the COVID-19 pandemic on our business with respect to real estate development and the introduction of new Showrooms. A range of factors included in the development of new Showrooms may continue to be affected by the COVID-19 pandemic including delays in construction,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significant ongoing liquidity needs even as we make changes to our planned operations and expansion cadence.</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Credit Facilities</w:t>
      </w:r>
    </w:p>
    <w:p>
      <w:pPr>
        <w:pStyle w:val="TextBody"/>
        <w:spacing w:lineRule="auto" w:line="288" w:before="0" w:after="0"/>
        <w:rPr/>
      </w:pPr>
      <w:r>
        <w:rPr>
          <w:rFonts w:ascii="Times New Roman;sans-serif" w:hAnsi="Times New Roman;sans-serif"/>
          <w:b w:val="false"/>
          <w:color w:val="000000"/>
          <w:sz w:val="20"/>
          <w:highlight w:val="white"/>
        </w:rPr>
        <w:t>Refer to Note 4 —</w:t>
      </w:r>
      <w:r>
        <w:rPr>
          <w:color w:val="000000"/>
          <w:highlight w:val="white"/>
        </w:rPr>
        <w:t xml:space="preserve"> </w:t>
      </w:r>
      <w:r>
        <w:rPr>
          <w:rFonts w:ascii="Times New Roman;sans-serif" w:hAnsi="Times New Roman;sans-serif"/>
          <w:b w:val="false"/>
          <w:i/>
          <w:color w:val="000000"/>
          <w:sz w:val="20"/>
          <w:highlight w:val="white"/>
        </w:rPr>
        <w:t>Long-Term Debt</w:t>
      </w:r>
      <w:r>
        <w:rPr>
          <w:color w:val="000000"/>
          <w:highlight w:val="white"/>
        </w:rPr>
        <w:t xml:space="preserve"> </w:t>
      </w:r>
      <w:r>
        <w:rPr>
          <w:rFonts w:ascii="Times New Roman;sans-serif" w:hAnsi="Times New Roman;sans-serif"/>
          <w:b w:val="false"/>
          <w:color w:val="000000"/>
          <w:sz w:val="20"/>
          <w:highlight w:val="white"/>
        </w:rPr>
        <w:t>to our condensed consolidated financial statements for further information on our 2021 Credit Facility.</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 Analysis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cash provided by operating, investing and financing activities:</w:t>
      </w:r>
    </w:p>
    <w:tbl>
      <w:tblPr>
        <w:tblW w:w="9651" w:type="dxa"/>
        <w:jc w:val="left"/>
        <w:tblInd w:w="0" w:type="dxa"/>
        <w:tblCellMar>
          <w:top w:w="28" w:type="dxa"/>
          <w:left w:w="28" w:type="dxa"/>
          <w:bottom w:w="28" w:type="dxa"/>
          <w:right w:w="28" w:type="dxa"/>
        </w:tblCellMar>
      </w:tblPr>
      <w:tblGrid>
        <w:gridCol w:w="2372"/>
        <w:gridCol w:w="2086"/>
        <w:gridCol w:w="2096"/>
        <w:gridCol w:w="109"/>
        <w:gridCol w:w="109"/>
        <w:gridCol w:w="109"/>
        <w:gridCol w:w="249"/>
        <w:gridCol w:w="727"/>
        <w:gridCol w:w="128"/>
        <w:gridCol w:w="128"/>
        <w:gridCol w:w="128"/>
        <w:gridCol w:w="128"/>
        <w:gridCol w:w="249"/>
        <w:gridCol w:w="852"/>
        <w:gridCol w:w="181"/>
      </w:tblGrid>
      <w:tr>
        <w:trPr/>
        <w:tc>
          <w:tcPr>
            <w:tcW w:w="2372"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cash provided by operating activities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Comparison of the three months ended March 31, 2023 and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pStyle w:val="TextBody"/>
        <w:spacing w:lineRule="auto" w:line="288" w:before="200" w:after="283"/>
        <w:rPr/>
      </w:pPr>
      <w:r>
        <w:rPr>
          <w:rFonts w:ascii="Times New Roman;sans-serif" w:hAnsi="Times New Roman;sans-serif"/>
          <w:b w:val="false"/>
          <w:color w:val="000000"/>
          <w:sz w:val="20"/>
          <w:highlight w:val="white"/>
        </w:rPr>
        <w:t>For the three months ended March 31, 2023</w:t>
      </w:r>
      <w:r>
        <w:rPr>
          <w:rFonts w:ascii="Times New Roman;sans-serif" w:hAnsi="Times New Roman;sans-serif"/>
          <w:b w:val="false"/>
          <w:color w:val="000000"/>
          <w:sz w:val="20"/>
        </w:rPr>
        <w:t>, n</w:t>
      </w:r>
      <w:r>
        <w:rPr>
          <w:rFonts w:ascii="Times New Roman;sans-serif" w:hAnsi="Times New Roman;sans-serif"/>
          <w:b w:val="false"/>
          <w:color w:val="000000"/>
          <w:sz w:val="20"/>
          <w:highlight w:val="white"/>
        </w:rPr>
        <w:t>et cash provided by operating activities was $7.7 million and consisted of net income of $34.1 million and an increase of non-cash items of $25.1 million, which were partially offset by a change in working capital and other activities of $51.6 million. The use of cash from working capital was primarily driven by a decrease in accrued expenses of $13.3 million, a decrease in operating lease liabilities of $12.3 million primarily due to payments made under the related lease agreements, a decrease in accounts payable of $7.9 million, an increase in prepaid and other current assets of $7.5 million, an increase of merchandise inventory of $5.8 million and a decrease in client deposits of $4.7 million primarily due to improved delivery of our backlog orders and lower demand comparable growth in the three months ended March 31, 2023.</w:t>
      </w:r>
    </w:p>
    <w:p>
      <w:pPr>
        <w:pStyle w:val="TextBody"/>
        <w:spacing w:lineRule="auto" w:line="288" w:before="200" w:after="283"/>
        <w:rPr/>
      </w:pPr>
      <w:r>
        <w:rPr>
          <w:rFonts w:ascii="Times New Roman;sans-serif" w:hAnsi="Times New Roman;sans-serif"/>
          <w:b w:val="false"/>
          <w:color w:val="000000"/>
          <w:sz w:val="20"/>
          <w:highlight w:val="white"/>
        </w:rPr>
        <w:t>For the three months ended March 31, 2022</w:t>
      </w:r>
      <w:r>
        <w:rPr>
          <w:rFonts w:ascii="Times New Roman;sans-serif" w:hAnsi="Times New Roman;sans-serif"/>
          <w:b w:val="false"/>
          <w:color w:val="000000"/>
          <w:sz w:val="20"/>
        </w:rPr>
        <w:t>, n</w:t>
      </w:r>
      <w:r>
        <w:rPr>
          <w:rFonts w:ascii="Times New Roman;sans-serif" w:hAnsi="Times New Roman;sans-serif"/>
          <w:b w:val="false"/>
          <w:color w:val="000000"/>
          <w:sz w:val="20"/>
          <w:highlight w:val="white"/>
        </w:rPr>
        <w:t xml:space="preserve">et cash provided by operating activities was $35.2 million and consisted of net income of $16.1 million and increases of non-cash items of $18.5 million and $0.7 million from working capital and other activities. The cash provided by working capital was primarily driven by an increase in client deposits of $41.3 million primarily driven by higher demand comparable growth during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an increase in merchandise inventory of $38.2 million, a decrease in operating lease liabilities of $11.5 million primarily due to payments made under the related lease agreements, an increase in accounts payable of $8.7 million, an increase in accrued expenses of $4.6 million and an increase in accounts receivable of $1.4 million.</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cash used in investing activities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Investing activities consist primarily of capital expenditures related to investments in retail Showrooms, information technology and systems infrastructure, as well as supply chain investments.</w:t>
      </w:r>
    </w:p>
    <w:p>
      <w:pPr>
        <w:pStyle w:val="TextBody"/>
        <w:spacing w:lineRule="auto" w:line="288" w:before="200" w:after="283"/>
        <w:rPr/>
      </w:pPr>
      <w:r>
        <w:rPr>
          <w:rFonts w:ascii="Times New Roman;sans-serif" w:hAnsi="Times New Roman;sans-serif"/>
          <w:b w:val="false"/>
          <w:i/>
          <w:color w:val="000000"/>
          <w:sz w:val="20"/>
          <w:highlight w:val="white"/>
        </w:rPr>
        <w:t xml:space="preserve">Comparison of the </w:t>
      </w:r>
      <w:r>
        <w:rPr>
          <w:rFonts w:ascii="Times New Roman;sans-serif" w:hAnsi="Times New Roman;sans-serif"/>
          <w:b w:val="false"/>
          <w:i/>
          <w:color w:val="000000"/>
          <w:sz w:val="20"/>
        </w:rPr>
        <w:t>three months ended March 31, 2023 and 2022</w:t>
      </w:r>
    </w:p>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xml:space="preserve">, net cash used in investing activities was $8.2 million primarily </w:t>
      </w:r>
      <w:r>
        <w:rPr>
          <w:rFonts w:ascii="Times New Roman;sans-serif" w:hAnsi="Times New Roman;sans-serif"/>
          <w:b w:val="false"/>
          <w:color w:val="000000"/>
          <w:sz w:val="20"/>
        </w:rPr>
        <w:t xml:space="preserve">due to investments in Showrooms, supply chain expansion and information technology and systems infrastructure. </w:t>
      </w:r>
    </w:p>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xml:space="preserve">, net cash used in investing activities was $10.2 million </w:t>
      </w:r>
      <w:r>
        <w:rPr>
          <w:rFonts w:ascii="Times New Roman;sans-serif" w:hAnsi="Times New Roman;sans-serif"/>
          <w:b w:val="false"/>
          <w:color w:val="000000"/>
          <w:sz w:val="20"/>
        </w:rPr>
        <w:t>primarily due to supply chain expansion, investments in Showrooms, along with information technology and systems infrastructure.</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Historical capital expenditures are summarized as follows:</w:t>
      </w:r>
    </w:p>
    <w:tbl>
      <w:tblPr>
        <w:tblW w:w="7450" w:type="dxa"/>
        <w:jc w:val="left"/>
        <w:tblInd w:w="0" w:type="dxa"/>
        <w:tblCellMar>
          <w:top w:w="28" w:type="dxa"/>
          <w:left w:w="28" w:type="dxa"/>
          <w:bottom w:w="28" w:type="dxa"/>
          <w:right w:w="28" w:type="dxa"/>
        </w:tblCellMar>
      </w:tblPr>
      <w:tblGrid>
        <w:gridCol w:w="1694"/>
        <w:gridCol w:w="1489"/>
        <w:gridCol w:w="1497"/>
        <w:gridCol w:w="249"/>
        <w:gridCol w:w="727"/>
        <w:gridCol w:w="128"/>
        <w:gridCol w:w="128"/>
        <w:gridCol w:w="128"/>
        <w:gridCol w:w="128"/>
        <w:gridCol w:w="249"/>
        <w:gridCol w:w="852"/>
        <w:gridCol w:w="181"/>
      </w:tblGrid>
      <w:tr>
        <w:trPr/>
        <w:tc>
          <w:tcPr>
            <w:tcW w:w="1694"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4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Landlord contributions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net of landlord contributions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capital expenditures, net of landlord contributions decreased by $0.8 million in the three months ended March 31, 2023 compared to the three months ended March 31, 2022.</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anticipate our total company funded capital expenditures to be between $75 million and $85 million in fiscal year 2023, primarily related to the opening of new Showrooms.</w:t>
      </w:r>
    </w:p>
    <w:p>
      <w:pPr>
        <w:pStyle w:val="TextBody"/>
        <w:spacing w:lineRule="auto" w:line="288" w:before="2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cash used in financing activities</w:t>
      </w:r>
    </w:p>
    <w:p>
      <w:pPr>
        <w:pStyle w:val="TextBody"/>
        <w:spacing w:lineRule="auto" w:line="288" w:before="200" w:after="283"/>
        <w:rPr/>
      </w:pPr>
      <w:r>
        <w:rPr>
          <w:rFonts w:ascii="Times New Roman;sans-serif" w:hAnsi="Times New Roman;sans-serif"/>
          <w:b w:val="false"/>
          <w:i/>
          <w:color w:val="000000"/>
          <w:sz w:val="20"/>
          <w:highlight w:val="white"/>
        </w:rPr>
        <w:t xml:space="preserve">Comparison of the </w:t>
      </w:r>
      <w:r>
        <w:rPr>
          <w:rFonts w:ascii="Times New Roman;sans-serif" w:hAnsi="Times New Roman;sans-serif"/>
          <w:b w:val="false"/>
          <w:i/>
          <w:color w:val="000000"/>
          <w:sz w:val="20"/>
        </w:rPr>
        <w:t>three months ended March 31, 2023 and 2022</w:t>
      </w:r>
    </w:p>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net cash used in financing activities was $0.4 million due to repurchase of shares for payment of withholding taxes for equity based compensation.</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net cash used in financing activities was $1.0 thousand due to principal payments on finance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Off-Balance Sheet Transactions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March 31, 2023, we have no material off-balance sheet arrangements.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Critical Accounting Policies and Estimates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00" w:after="283"/>
        <w:rPr/>
      </w:pPr>
      <w:r>
        <w:rPr>
          <w:rFonts w:ascii="Times New Roman;sans-serif" w:hAnsi="Times New Roman;sans-serif"/>
          <w:b w:val="false"/>
          <w:color w:val="000000"/>
          <w:sz w:val="20"/>
          <w:highlight w:val="white"/>
        </w:rPr>
        <w:t xml:space="preserve">See Note </w:t>
      </w:r>
      <w:r>
        <w:rPr>
          <w:rFonts w:ascii="Times New Roman;sans-serif" w:hAnsi="Times New Roman;sans-serif"/>
          <w:b w:val="false"/>
          <w:color w:val="000000"/>
          <w:sz w:val="20"/>
        </w:rPr>
        <w:t>2</w:t>
      </w:r>
      <w:r>
        <w:rPr>
          <w:color w:val="000000"/>
          <w:highlight w:val="white"/>
        </w:rPr>
        <w:t xml:space="preserve"> — </w:t>
      </w:r>
      <w:r>
        <w:rPr>
          <w:rFonts w:ascii="Times New Roman;sans-serif" w:hAnsi="Times New Roman;sans-serif"/>
          <w:b w:val="false"/>
          <w:i/>
          <w:color w:val="000000"/>
          <w:sz w:val="20"/>
          <w:highlight w:val="white"/>
        </w:rPr>
        <w:t xml:space="preserve">Recently Issued Accounting Standards </w:t>
      </w:r>
      <w:r>
        <w:rPr>
          <w:rFonts w:ascii="Times New Roman;sans-serif" w:hAnsi="Times New Roman;sans-serif"/>
          <w:b w:val="false"/>
          <w:color w:val="000000"/>
          <w:sz w:val="20"/>
          <w:highlight w:val="white"/>
        </w:rPr>
        <w:t>to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3. Quantitative and Qualitative Disclosures About Market Risk</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Foreign Currency Exchange Risk</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three months ended March 31, 2023 and 2022,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Rate Risk</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primarily exposed to interest rate risk with respect to borrowing under our 2021 Credit Facility and as of March 31,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Impact of Inflation</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Emerging Growth Company Status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2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4. Controls and Procedures</w:t>
      </w: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Evaluation of Disclosure Controls and Procedures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March 31, 2023. Based on their evaluation as of March 31, 2023, the CEO and CFO have concluded that our disclosure controls and procedures were not effective at the reasonable assurance level because of the material weaknesses in our internal control over financial reporting described below.</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Based upon that evaluation, our CEO and CFO identified four material weaknesses in our internal control over financial reporting. </w:t>
      </w: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Material Weaknesses in Internal Control Over Financial Reporting</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color w:val="000000"/>
          <w:sz w:val="20"/>
          <w:highlight w:val="white"/>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color w:val="000000"/>
          <w:sz w:val="20"/>
          <w:highlight w:val="white"/>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2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prevented or detected. Accordingly, management has determined these IT deficiencies in the aggregate constitute a material weakness.</w:t>
      </w: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Remediation Activities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With the oversight of senior management and our Audit Committee, we have designed and begun to implement a remediation plan which includes:</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color w:val="000000"/>
          <w:sz w:val="20"/>
          <w:highlight w:val="white"/>
        </w:rPr>
        <w:t>Updating our policies and procedures to establish and maintain effective segregation of duties for our finance and accounting staff in relation to journal entries, reconciliations and other applicable processes.</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Enhancing the design and operation of user access control activities and procedures to ensure that access to IT applications and data is adequately restricted to appropriate personnel.</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Designing and implementing a formal systems development lifecycle methodology and related program development controls to ensure significant IT change events are appropriately tested and approved.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Enhancing the design and operation of control activities and procedures within the computer operations domain to ensure key batch jobs are monitored, processing failures are adequately resolved, and recovery capability is tested.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Identifying and evaluating key IT dependencies including key reports, automated application controls, interfaces, and end user computer facilities.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 </w:t>
      </w: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in Internal Control over Financial Reporting</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than as described above with respect to ongoing remediation efforts, there were no changes in our internal control over financial reporting as such term is defined in Exchange Act Rule 13a-15(f) during the quarter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2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currently not a party to any legal proceedings, the outcome of which, if determined adversely to us, would individually or in the aggregate have a material adverse effect on our business, financial condition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1A. Risk Factors</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have been no material changes from the risk factors disclosed in Part I, Item 1A “Risk Factors”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Unregistered Sales of Equity Securities and Use of Proceeds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contains information with respect to repurchases of shares made by the Company during the three months ended March 31, 2023. The table reflects shares delivered to the Company by employees to satisfy tax withholding obligations due upon the vesting of restricted stock. These shares were not repurchased in connection with any publicly announced share repurchase programs.</w:t>
      </w:r>
    </w:p>
    <w:tbl>
      <w:tblPr>
        <w:tblW w:w="10205" w:type="dxa"/>
        <w:jc w:val="left"/>
        <w:tblInd w:w="0" w:type="dxa"/>
        <w:tblCellMar>
          <w:top w:w="28" w:type="dxa"/>
          <w:left w:w="28" w:type="dxa"/>
          <w:bottom w:w="28" w:type="dxa"/>
          <w:right w:w="28" w:type="dxa"/>
        </w:tblCellMar>
      </w:tblPr>
      <w:tblGrid>
        <w:gridCol w:w="387"/>
        <w:gridCol w:w="281"/>
        <w:gridCol w:w="283"/>
        <w:gridCol w:w="109"/>
        <w:gridCol w:w="109"/>
        <w:gridCol w:w="109"/>
        <w:gridCol w:w="486"/>
        <w:gridCol w:w="486"/>
        <w:gridCol w:w="487"/>
        <w:gridCol w:w="109"/>
        <w:gridCol w:w="109"/>
        <w:gridCol w:w="109"/>
        <w:gridCol w:w="299"/>
        <w:gridCol w:w="874"/>
        <w:gridCol w:w="154"/>
        <w:gridCol w:w="109"/>
        <w:gridCol w:w="109"/>
        <w:gridCol w:w="109"/>
        <w:gridCol w:w="741"/>
        <w:gridCol w:w="741"/>
        <w:gridCol w:w="743"/>
        <w:gridCol w:w="109"/>
        <w:gridCol w:w="109"/>
        <w:gridCol w:w="109"/>
        <w:gridCol w:w="801"/>
        <w:gridCol w:w="1540"/>
        <w:gridCol w:w="594"/>
      </w:tblGrid>
      <w:tr>
        <w:trPr/>
        <w:tc>
          <w:tcPr>
            <w:tcW w:w="38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publicly announced plans</w:t>
            </w:r>
          </w:p>
        </w:tc>
      </w:tr>
      <w:tr>
        <w:trPr/>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3. Defaults Upon Senior Securities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4. Mine Safety Disclosures</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5. Other Information</w:t>
      </w:r>
    </w:p>
    <w:p>
      <w:pPr>
        <w:pStyle w:val="TextBody"/>
        <w:spacing w:lineRule="auto" w:line="288" w:before="2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87"/>
        <w:gridCol w:w="252"/>
        <w:gridCol w:w="253"/>
        <w:gridCol w:w="109"/>
        <w:gridCol w:w="109"/>
        <w:gridCol w:w="109"/>
        <w:gridCol w:w="2266"/>
        <w:gridCol w:w="2161"/>
        <w:gridCol w:w="2183"/>
        <w:gridCol w:w="722"/>
        <w:gridCol w:w="722"/>
        <w:gridCol w:w="1032"/>
      </w:tblGrid>
      <w:tr>
        <w:trPr/>
        <w:tc>
          <w:tcPr>
            <w:tcW w:w="28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r>
      <w:tr>
        <w:trPr/>
        <w:tc>
          <w:tcPr>
            <w:tcW w:w="7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24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Filings Referenced for Incorporation by Reference</w:t>
            </w:r>
          </w:p>
        </w:tc>
      </w:tr>
      <w:tr>
        <w:trPr/>
        <w:tc>
          <w:tcPr>
            <w:tcW w:w="7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Certificate of Incorporation of Arhaus, Inc. </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10, 2021 Form 8-K, Exhibit 3.1</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Arhaus, Inc.</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10, 2021 Form 8-K, Exhibit 3.2</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tificateofchiefexecutiv.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Rules 13a-14(a) and 15d-14(a) of the Securities Exchange Act of 1934, as Adopted Pursuant to Section 302 of the Sarbanes-Oxley Act of 2002</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tificateofchieffinancia.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Rules 13a-14(a) and 15d-14(a) of the Securities Exchange Act of 1934, as Adopted Pursuant to Section 302 of the Sarbanes-Oxley Act of 2002</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tificationsofchiefexecu.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tificationsofchieffinan.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with Interactive Data File (formatted as Inline XBRL with applicable taxonomy extension information contained in Exhibits 101)</w:t>
            </w:r>
          </w:p>
        </w:tc>
        <w:tc>
          <w:tcPr>
            <w:tcW w:w="2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50"/>
        <w:rPr/>
      </w:pPr>
      <w:r>
        <w:rPr>
          <w:rFonts w:ascii="Times New Roman;sans-serif" w:hAnsi="Times New Roman;sans-serif"/>
          <w:b w:val="false"/>
          <w:i/>
          <w:color w:val="000000"/>
          <w:sz w:val="16"/>
        </w:rPr>
        <w:t>*    </w:t>
      </w:r>
      <w:r>
        <w:rPr>
          <w:rFonts w:ascii="Times New Roman;sans-serif" w:hAnsi="Times New Roman;sans-serif"/>
          <w:b w:val="false"/>
          <w:color w:val="000000"/>
          <w:sz w:val="16"/>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20"/>
        <w:rPr/>
      </w:pPr>
      <w:hyperlink w:anchor="i8809076163ce40d99802a89f606d5ec6_7">
        <w:r>
          <w:rPr>
            <w:rStyle w:val="InternetLink"/>
            <w:rFonts w:ascii="Times New Roman;sans-serif" w:hAnsi="Times New Roman;sans-serif"/>
            <w:b/>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SIGNATURES </w:t>
      </w:r>
    </w:p>
    <w:p>
      <w:pPr>
        <w:pStyle w:val="TextBody"/>
        <w:spacing w:lineRule="auto" w:line="288" w:before="200" w:after="283"/>
        <w:rPr/>
      </w:pPr>
      <w:r>
        <w:rPr>
          <w:rFonts w:ascii="Times New Roman;sans-serif" w:hAnsi="Times New Roman;sans-serif"/>
          <w:b w:val="false"/>
          <w:color w:val="000000"/>
          <w:sz w:val="20"/>
          <w:highlight w:val="white"/>
        </w:rPr>
        <w:t xml:space="preserve">Pursuant to the requirements of the Securities Exchange Act of 1934, the registrant has duly caused this report to be signed on its behalf by the undersigned thereunto duly authorized </w:t>
      </w:r>
      <w:r>
        <w:rPr>
          <w:rFonts w:ascii="Times New Roman;sans-serif" w:hAnsi="Times New Roman;sans-serif"/>
          <w:b w:val="false"/>
          <w:color w:val="000000"/>
          <w:sz w:val="20"/>
        </w:rPr>
        <w:t>on this 4th day of May, 2023</w:t>
      </w:r>
    </w:p>
    <w:tbl>
      <w:tblPr>
        <w:tblW w:w="5096" w:type="dxa"/>
        <w:jc w:val="center"/>
        <w:tblInd w:w="0" w:type="dxa"/>
        <w:tblCellMar>
          <w:top w:w="28" w:type="dxa"/>
          <w:left w:w="28" w:type="dxa"/>
          <w:bottom w:w="28" w:type="dxa"/>
          <w:right w:w="28" w:type="dxa"/>
        </w:tblCellMar>
      </w:tblPr>
      <w:tblGrid>
        <w:gridCol w:w="124"/>
        <w:gridCol w:w="109"/>
        <w:gridCol w:w="109"/>
        <w:gridCol w:w="109"/>
        <w:gridCol w:w="109"/>
        <w:gridCol w:w="109"/>
        <w:gridCol w:w="221"/>
        <w:gridCol w:w="221"/>
        <w:gridCol w:w="221"/>
        <w:gridCol w:w="1092"/>
        <w:gridCol w:w="1092"/>
        <w:gridCol w:w="15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7"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ARHAUS, INC.</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Phillipson</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Phillipson</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right"/>
        <w:rPr>
          <w:rFonts w:ascii="Times New Roman;sans-serif" w:hAnsi="Times New Roman;sans-serif"/>
          <w:b/>
          <w:color w:val="1F4742"/>
          <w:sz w:val="20"/>
        </w:rPr>
      </w:pPr>
      <w:r>
        <w:rPr>
          <w:rFonts w:ascii="Times New Roman;sans-serif" w:hAnsi="Times New Roman;sans-serif"/>
          <w:b/>
          <w:color w:val="1F4742"/>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PERIODIC REPORT UNDER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6" w:before="100" w:after="100"/>
        <w:rPr>
          <w:rFonts w:ascii="Times New Roman;sans-serif" w:hAnsi="Times New Roman;sans-serif"/>
          <w:b w:val="false"/>
          <w:color w:val="000000"/>
          <w:sz w:val="20"/>
        </w:rPr>
      </w:pPr>
      <w:r>
        <w:rPr>
          <w:rFonts w:ascii="Times New Roman;sans-serif" w:hAnsi="Times New Roman;sans-serif"/>
          <w:b w:val="false"/>
          <w:color w:val="000000"/>
          <w:sz w:val="20"/>
        </w:rPr>
        <w:t>I, John Reed, certify that:</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Arhaus, Inc.;</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36" w:before="0" w:after="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488" w:type="dxa"/>
        <w:jc w:val="left"/>
        <w:tblInd w:w="0" w:type="dxa"/>
        <w:tblCellMar>
          <w:top w:w="28" w:type="dxa"/>
          <w:left w:w="28" w:type="dxa"/>
          <w:bottom w:w="28" w:type="dxa"/>
          <w:right w:w="28" w:type="dxa"/>
        </w:tblCellMar>
      </w:tblPr>
      <w:tblGrid>
        <w:gridCol w:w="285"/>
        <w:gridCol w:w="253"/>
        <w:gridCol w:w="254"/>
        <w:gridCol w:w="497"/>
        <w:gridCol w:w="497"/>
        <w:gridCol w:w="702"/>
      </w:tblGrid>
      <w:tr>
        <w:trPr/>
        <w:tc>
          <w:tcPr>
            <w:tcW w:w="2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r>
        <w:trPr/>
        <w:tc>
          <w:tcPr>
            <w:tcW w:w="248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Reed</w:t>
            </w:r>
          </w:p>
        </w:tc>
      </w:tr>
      <w:tr>
        <w:trPr/>
        <w:tc>
          <w:tcPr>
            <w:tcW w:w="248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Reed</w:t>
            </w:r>
          </w:p>
        </w:tc>
      </w:tr>
      <w:tr>
        <w:trPr/>
        <w:tc>
          <w:tcPr>
            <w:tcW w:w="24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8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6"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PERIODIC REPORT UNDER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6" w:before="100" w:after="100"/>
        <w:rPr>
          <w:rFonts w:ascii="Times New Roman;sans-serif" w:hAnsi="Times New Roman;sans-serif"/>
          <w:b w:val="false"/>
          <w:color w:val="000000"/>
          <w:sz w:val="20"/>
        </w:rPr>
      </w:pPr>
      <w:r>
        <w:rPr>
          <w:rFonts w:ascii="Times New Roman;sans-serif" w:hAnsi="Times New Roman;sans-serif"/>
          <w:b w:val="false"/>
          <w:color w:val="000000"/>
          <w:sz w:val="20"/>
        </w:rPr>
        <w:t>I, Dawn Phillipson, certify that:</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Arhaus, Inc.;</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36" w:before="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3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36" w:before="0" w:after="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80" w:type="dxa"/>
        <w:jc w:val="left"/>
        <w:tblInd w:w="0" w:type="dxa"/>
        <w:tblCellMar>
          <w:top w:w="28" w:type="dxa"/>
          <w:left w:w="28" w:type="dxa"/>
          <w:bottom w:w="28" w:type="dxa"/>
          <w:right w:w="28" w:type="dxa"/>
        </w:tblCellMar>
      </w:tblPr>
      <w:tblGrid>
        <w:gridCol w:w="433"/>
        <w:gridCol w:w="383"/>
        <w:gridCol w:w="385"/>
        <w:gridCol w:w="755"/>
        <w:gridCol w:w="755"/>
        <w:gridCol w:w="1069"/>
      </w:tblGrid>
      <w:tr>
        <w:trPr/>
        <w:tc>
          <w:tcPr>
            <w:tcW w:w="43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r>
        <w:trPr/>
        <w:tc>
          <w:tcPr>
            <w:tcW w:w="37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Phillipson</w:t>
            </w:r>
          </w:p>
        </w:tc>
      </w:tr>
      <w:tr>
        <w:trPr/>
        <w:tc>
          <w:tcPr>
            <w:tcW w:w="37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Phillipson</w:t>
            </w:r>
          </w:p>
        </w:tc>
      </w:tr>
      <w:tr>
        <w:trPr/>
        <w:tc>
          <w:tcPr>
            <w:tcW w:w="378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78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 SECTION 906 OF THE SARBANES-OXLEY ACT OF 2002</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Arhaus, Inc. (the “Company”) on Form 10-Q for the quarter ended March 31, 2023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lineRule="auto" w:line="240" w:before="0" w:after="0"/>
        <w:ind w:left="0" w:right="0" w:hanging="360"/>
        <w:jc w:val="both"/>
        <w:rPr/>
      </w:pPr>
      <w:r>
        <w:rPr>
          <w:color w:val="000000"/>
        </w:rPr>
        <w:t>                            </w:t>
      </w:r>
      <w:r>
        <w:rPr>
          <w:rFonts w:ascii="Times New Roman;sans-serif" w:hAnsi="Times New Roman;sans-serif"/>
          <w:b w:val="false"/>
          <w:color w:val="000000"/>
          <w:sz w:val="20"/>
          <w:u w:val="single"/>
        </w:rPr>
        <w:t>/s/ John Reed</w:t>
      </w:r>
    </w:p>
    <w:p>
      <w:pPr>
        <w:pStyle w:val="TextBody"/>
        <w:spacing w:before="0" w:after="0"/>
        <w:ind w:left="0" w:right="0" w:hanging="360"/>
        <w:jc w:val="both"/>
        <w:rPr/>
      </w:pPr>
      <w:r>
        <w:rPr/>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John Reed</w:t>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Chief Executive Officer</w:t>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(Principal Executive Officer)</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spacing w:before="0" w:after="2"/>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 SECTION 906 OF THE SARBANES-OXLEY ACT OF 2002</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Arhaus, Inc. (the “Company”) on Form 10-Q for the quarter ended March 31, 2023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lineRule="auto" w:line="240" w:before="0" w:after="0"/>
        <w:ind w:left="0" w:right="0" w:hanging="360"/>
        <w:jc w:val="both"/>
        <w:rPr/>
      </w:pPr>
      <w:r>
        <w:rPr>
          <w:color w:val="000000"/>
        </w:rPr>
        <w:t>                            </w:t>
      </w:r>
      <w:r>
        <w:rPr>
          <w:rFonts w:ascii="Times New Roman;sans-serif" w:hAnsi="Times New Roman;sans-serif"/>
          <w:b w:val="false"/>
          <w:color w:val="000000"/>
          <w:sz w:val="20"/>
          <w:u w:val="single"/>
        </w:rPr>
        <w:t>/s/ Dawn Phillipson</w:t>
      </w:r>
    </w:p>
    <w:p>
      <w:pPr>
        <w:pStyle w:val="TextBody"/>
        <w:spacing w:before="0" w:after="0"/>
        <w:ind w:left="0" w:right="0" w:hanging="360"/>
        <w:jc w:val="both"/>
        <w:rPr/>
      </w:pPr>
      <w:r>
        <w:rPr/>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Dawn Phillipson</w:t>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Chief Financial Officer</w:t>
      </w:r>
    </w:p>
    <w:p>
      <w:pPr>
        <w:pStyle w:val="TextBody"/>
        <w:spacing w:lineRule="auto" w:line="240" w:before="0" w:after="0"/>
        <w:ind w:left="0" w:right="0" w:hanging="360"/>
        <w:jc w:val="both"/>
        <w:rPr>
          <w:color w:val="000000"/>
        </w:rPr>
      </w:pPr>
      <w:r>
        <w:rPr>
          <w:color w:val="000000"/>
        </w:rPr>
        <w:t>                            </w:t>
      </w:r>
      <w:r>
        <w:rPr>
          <w:rFonts w:ascii="Times New Roman;sans-serif" w:hAnsi="Times New Roman;sans-serif"/>
          <w:b w:val="false"/>
          <w:color w:val="000000"/>
          <w:sz w:val="20"/>
        </w:rPr>
        <w:t>(Principal Financial and Accounting Officer)</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and will be retained by, Arhaus,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5444/000187544421000004/exhibit31-arcertificateo.htm" TargetMode="External"/><Relationship Id="rId3" Type="http://schemas.openxmlformats.org/officeDocument/2006/relationships/hyperlink" Target="https://www.sec.gov/Archives/edgar/data/1875444/000187544421000004/exhibit32-arbylawsofarh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15366</Words>
  <CharactersWithSpaces>100883</CharactersWithSpaces>
  <Paragraphs>1552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