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
        <w:jc w:val="left"/>
        <w:rPr/>
      </w:pPr>
      <w:r>
        <w:rPr/>
      </w:r>
    </w:p>
    <w:p>
      <w:pPr>
        <w:pStyle w:val="TextBody"/>
        <w:bidi w:val="0"/>
        <w:spacing w:lineRule="auto" w:line="288" w:before="0" w:after="0"/>
        <w:jc w:val="left"/>
        <w:rPr>
          <w:rFonts w:ascii="Times New Roman;serif" w:hAnsi="Times New Roman;serif"/>
          <w:b/>
          <w:color w:val="000000"/>
          <w:sz w:val="28"/>
        </w:rPr>
      </w:pPr>
      <w:r>
        <w:rPr>
          <w:rFonts w:ascii="Times New Roman;serif" w:hAnsi="Times New Roman;serif"/>
          <w:b/>
          <w:color w:val="000000"/>
          <w:sz w:val="28"/>
        </w:rPr>
        <w:t>UNITED STATES</w:t>
      </w:r>
    </w:p>
    <w:p>
      <w:pPr>
        <w:pStyle w:val="TextBody"/>
        <w:bidi w:val="0"/>
        <w:spacing w:lineRule="auto" w:line="288" w:before="54" w:after="283"/>
        <w:jc w:val="center"/>
        <w:rPr>
          <w:rFonts w:ascii="Times New Roman;serif" w:hAnsi="Times New Roman;serif"/>
          <w:b/>
          <w:color w:val="000000"/>
          <w:sz w:val="28"/>
        </w:rPr>
      </w:pPr>
      <w:r>
        <w:rPr>
          <w:rFonts w:ascii="Times New Roman;serif" w:hAnsi="Times New Roman;serif"/>
          <w:b/>
          <w:color w:val="000000"/>
          <w:sz w:val="28"/>
        </w:rPr>
        <w:t>SECURITIES AND EXCHANGE COMMISSION</w:t>
      </w:r>
    </w:p>
    <w:p>
      <w:pPr>
        <w:pStyle w:val="TextBody"/>
        <w:bidi w:val="0"/>
        <w:spacing w:lineRule="auto" w:line="288" w:before="54" w:after="283"/>
        <w:jc w:val="center"/>
        <w:rPr>
          <w:rFonts w:ascii="Times New Roman;serif" w:hAnsi="Times New Roman;serif"/>
          <w:b/>
          <w:color w:val="000000"/>
          <w:sz w:val="20"/>
        </w:rPr>
      </w:pPr>
      <w:r>
        <w:rPr>
          <w:rFonts w:ascii="Times New Roman;serif" w:hAnsi="Times New Roman;serif"/>
          <w:b/>
          <w:color w:val="000000"/>
          <w:sz w:val="20"/>
        </w:rPr>
        <w:t>Washington, D.C. 20549</w:t>
      </w:r>
    </w:p>
    <w:p>
      <w:pPr>
        <w:pStyle w:val="TextBody"/>
        <w:bidi w:val="0"/>
        <w:spacing w:lineRule="auto" w:line="288" w:before="54" w:after="283"/>
        <w:jc w:val="center"/>
        <w:rPr>
          <w:rFonts w:ascii="Times New Roman;serif" w:hAnsi="Times New Roman;serif"/>
          <w:b/>
          <w:color w:val="000000"/>
          <w:sz w:val="20"/>
        </w:rPr>
      </w:pPr>
      <w:r>
        <w:rPr>
          <w:rFonts w:ascii="Times New Roman;serif" w:hAnsi="Times New Roman;serif"/>
          <w:b/>
          <w:color w:val="000000"/>
          <w:sz w:val="20"/>
        </w:rPr>
        <w:t>___________________________________</w:t>
      </w:r>
    </w:p>
    <w:p>
      <w:pPr>
        <w:pStyle w:val="TextBody"/>
        <w:bidi w:val="0"/>
        <w:spacing w:lineRule="auto" w:line="288" w:before="120" w:after="283"/>
        <w:jc w:val="center"/>
        <w:rPr>
          <w:rFonts w:ascii="Times New Roman;serif" w:hAnsi="Times New Roman;serif"/>
          <w:b/>
          <w:color w:val="000000"/>
          <w:sz w:val="28"/>
        </w:rPr>
      </w:pPr>
      <w:r>
        <w:rPr>
          <w:rFonts w:ascii="Times New Roman;serif" w:hAnsi="Times New Roman;serif"/>
          <w:b/>
          <w:color w:val="000000"/>
          <w:sz w:val="28"/>
        </w:rPr>
        <w:t>FORM 8-K</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___________________________________</w:t>
      </w:r>
    </w:p>
    <w:p>
      <w:pPr>
        <w:pStyle w:val="TextBody"/>
        <w:bidi w:val="0"/>
        <w:spacing w:lineRule="auto" w:line="288" w:before="54" w:after="283"/>
        <w:jc w:val="center"/>
        <w:rPr>
          <w:rFonts w:ascii="Times New Roman;serif" w:hAnsi="Times New Roman;serif"/>
          <w:b/>
          <w:color w:val="000000"/>
          <w:sz w:val="20"/>
        </w:rPr>
      </w:pPr>
      <w:r>
        <w:rPr>
          <w:rFonts w:ascii="Times New Roman;serif" w:hAnsi="Times New Roman;serif"/>
          <w:b/>
          <w:color w:val="000000"/>
          <w:sz w:val="20"/>
        </w:rPr>
        <w:t>CURRENT REPORT</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Pursuant to Section 13 or 15(d)</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of the Securities Exchange Act of 1934</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Date of Report (date of earliest event reported): July 7, 2026</w:t>
      </w:r>
    </w:p>
    <w:p>
      <w:pPr>
        <w:pStyle w:val="TextBody"/>
        <w:bidi w:val="0"/>
        <w:spacing w:lineRule="auto" w:line="288" w:before="54" w:after="283"/>
        <w:jc w:val="center"/>
        <w:rPr>
          <w:rFonts w:ascii="Times New Roman;serif" w:hAnsi="Times New Roman;serif"/>
          <w:b/>
          <w:color w:val="000000"/>
          <w:sz w:val="20"/>
        </w:rPr>
      </w:pPr>
      <w:r>
        <w:rPr>
          <w:rFonts w:ascii="Times New Roman;serif" w:hAnsi="Times New Roman;serif"/>
          <w:b/>
          <w:color w:val="000000"/>
          <w:sz w:val="20"/>
        </w:rPr>
        <w:t>___________________________________</w:t>
      </w:r>
    </w:p>
    <w:p>
      <w:pPr>
        <w:pStyle w:val="TextBody"/>
        <w:bidi w:val="0"/>
        <w:spacing w:lineRule="auto" w:line="288" w:before="54" w:after="283"/>
        <w:jc w:val="center"/>
        <w:rPr>
          <w:rFonts w:ascii="Times New Roman;serif" w:hAnsi="Times New Roman;serif"/>
          <w:b/>
          <w:color w:val="000000"/>
          <w:sz w:val="32"/>
        </w:rPr>
      </w:pPr>
      <w:r>
        <w:rPr>
          <w:rFonts w:ascii="Times New Roman;serif" w:hAnsi="Times New Roman;serif"/>
          <w:b/>
          <w:color w:val="000000"/>
          <w:sz w:val="32"/>
        </w:rPr>
        <w:t>Arhaus, Inc.</w:t>
      </w:r>
    </w:p>
    <w:p>
      <w:pPr>
        <w:pStyle w:val="TextBody"/>
        <w:bidi w:val="0"/>
        <w:spacing w:lineRule="auto" w:line="288" w:before="54" w:after="283"/>
        <w:jc w:val="center"/>
        <w:rPr>
          <w:rFonts w:ascii="Times New Roman;serif" w:hAnsi="Times New Roman;serif"/>
          <w:b/>
          <w:color w:val="000000"/>
          <w:sz w:val="20"/>
        </w:rPr>
      </w:pPr>
      <w:r>
        <w:rPr>
          <w:rFonts w:ascii="Times New Roman;serif" w:hAnsi="Times New Roman;serif"/>
          <w:b/>
          <w:color w:val="000000"/>
          <w:sz w:val="20"/>
        </w:rPr>
        <w:t>(Exact name of registrant as specified in its charter)</w:t>
      </w:r>
    </w:p>
    <w:p>
      <w:pPr>
        <w:pStyle w:val="TextBody"/>
        <w:bidi w:val="0"/>
        <w:spacing w:lineRule="auto" w:line="288" w:before="54" w:after="283"/>
        <w:jc w:val="center"/>
        <w:rPr>
          <w:rFonts w:ascii="Times New Roman;serif" w:hAnsi="Times New Roman;serif"/>
          <w:b/>
          <w:color w:val="000000"/>
          <w:sz w:val="20"/>
        </w:rPr>
      </w:pPr>
      <w:r>
        <w:rPr>
          <w:rFonts w:ascii="Times New Roman;serif" w:hAnsi="Times New Roman;serif"/>
          <w:b/>
          <w:color w:val="000000"/>
          <w:sz w:val="20"/>
        </w:rPr>
        <w:t>___________________________________</w:t>
      </w:r>
    </w:p>
    <w:p>
      <w:pPr>
        <w:pStyle w:val="TextBody"/>
        <w:bidi w:val="0"/>
        <w:spacing w:before="0" w:after="0"/>
        <w:jc w:val="left"/>
        <w:rPr/>
      </w:pPr>
      <w:r>
        <w:rPr/>
      </w:r>
    </w:p>
    <w:tbl>
      <w:tblPr>
        <w:tblW w:w="8667" w:type="dxa"/>
        <w:jc w:val="left"/>
        <w:tblInd w:w="0" w:type="dxa"/>
        <w:tblLayout w:type="fixed"/>
        <w:tblCellMar>
          <w:top w:w="28" w:type="dxa"/>
          <w:left w:w="28" w:type="dxa"/>
          <w:bottom w:w="28" w:type="dxa"/>
          <w:right w:w="28" w:type="dxa"/>
        </w:tblCellMar>
      </w:tblPr>
      <w:tblGrid>
        <w:gridCol w:w="994"/>
        <w:gridCol w:w="874"/>
        <w:gridCol w:w="876"/>
        <w:gridCol w:w="794"/>
        <w:gridCol w:w="794"/>
        <w:gridCol w:w="796"/>
        <w:gridCol w:w="1036"/>
        <w:gridCol w:w="1036"/>
        <w:gridCol w:w="1467"/>
      </w:tblGrid>
      <w:tr>
        <w:trPr/>
        <w:tc>
          <w:tcPr>
            <w:tcW w:w="994" w:type="dxa"/>
            <w:tcBorders/>
            <w:vAlign w:val="center"/>
          </w:tcPr>
          <w:p>
            <w:pPr>
              <w:pStyle w:val="TableContents"/>
              <w:bidi w:val="0"/>
              <w:spacing w:before="0" w:after="283"/>
              <w:jc w:val="left"/>
              <w:rPr>
                <w:sz w:val="4"/>
                <w:szCs w:val="4"/>
              </w:rPr>
            </w:pPr>
            <w:r>
              <w:rPr>
                <w:sz w:val="4"/>
                <w:szCs w:val="4"/>
              </w:rPr>
            </w:r>
          </w:p>
        </w:tc>
        <w:tc>
          <w:tcPr>
            <w:tcW w:w="874" w:type="dxa"/>
            <w:tcBorders/>
            <w:vAlign w:val="center"/>
          </w:tcPr>
          <w:p>
            <w:pPr>
              <w:pStyle w:val="TableContents"/>
              <w:bidi w:val="0"/>
              <w:spacing w:before="0" w:after="283"/>
              <w:jc w:val="left"/>
              <w:rPr>
                <w:sz w:val="4"/>
                <w:szCs w:val="4"/>
              </w:rPr>
            </w:pPr>
            <w:r>
              <w:rPr>
                <w:sz w:val="4"/>
                <w:szCs w:val="4"/>
              </w:rPr>
            </w:r>
          </w:p>
        </w:tc>
        <w:tc>
          <w:tcPr>
            <w:tcW w:w="876" w:type="dxa"/>
            <w:tcBorders/>
            <w:vAlign w:val="center"/>
          </w:tcPr>
          <w:p>
            <w:pPr>
              <w:pStyle w:val="TableContents"/>
              <w:bidi w:val="0"/>
              <w:spacing w:before="0" w:after="283"/>
              <w:jc w:val="left"/>
              <w:rPr>
                <w:sz w:val="4"/>
                <w:szCs w:val="4"/>
              </w:rPr>
            </w:pPr>
            <w:r>
              <w:rPr>
                <w:sz w:val="4"/>
                <w:szCs w:val="4"/>
              </w:rPr>
            </w:r>
          </w:p>
        </w:tc>
        <w:tc>
          <w:tcPr>
            <w:tcW w:w="794" w:type="dxa"/>
            <w:tcBorders/>
            <w:vAlign w:val="center"/>
          </w:tcPr>
          <w:p>
            <w:pPr>
              <w:pStyle w:val="TableContents"/>
              <w:bidi w:val="0"/>
              <w:spacing w:before="0" w:after="283"/>
              <w:jc w:val="left"/>
              <w:rPr>
                <w:sz w:val="4"/>
                <w:szCs w:val="4"/>
              </w:rPr>
            </w:pPr>
            <w:r>
              <w:rPr>
                <w:sz w:val="4"/>
                <w:szCs w:val="4"/>
              </w:rPr>
            </w:r>
          </w:p>
        </w:tc>
        <w:tc>
          <w:tcPr>
            <w:tcW w:w="794"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467" w:type="dxa"/>
            <w:tcBorders/>
            <w:vAlign w:val="center"/>
          </w:tcPr>
          <w:p>
            <w:pPr>
              <w:pStyle w:val="TableContents"/>
              <w:bidi w:val="0"/>
              <w:spacing w:before="0" w:after="283"/>
              <w:jc w:val="left"/>
              <w:rPr>
                <w:sz w:val="4"/>
                <w:szCs w:val="4"/>
              </w:rPr>
            </w:pPr>
            <w:r>
              <w:rPr>
                <w:sz w:val="4"/>
                <w:szCs w:val="4"/>
              </w:rPr>
            </w:r>
          </w:p>
        </w:tc>
      </w:tr>
      <w:tr>
        <w:trPr/>
        <w:tc>
          <w:tcPr>
            <w:tcW w:w="2744" w:type="dxa"/>
            <w:gridSpan w:val="3"/>
            <w:tcBorders/>
            <w:tcMar>
              <w:top w:w="0" w:type="dxa"/>
              <w:left w:w="0" w:type="dxa"/>
              <w:bottom w:w="0" w:type="dxa"/>
              <w:right w:w="0" w:type="dxa"/>
            </w:tcMar>
            <w:vAlign w:val="center"/>
          </w:tcPr>
          <w:p>
            <w:pPr>
              <w:pStyle w:val="TableContents"/>
              <w:bidi w:val="0"/>
              <w:spacing w:lineRule="auto" w:line="300" w:before="0" w:after="0"/>
              <w:jc w:val="center"/>
              <w:rPr>
                <w:rFonts w:ascii="Times New Roman;serif" w:hAnsi="Times New Roman;serif"/>
                <w:b/>
                <w:color w:val="000000"/>
                <w:sz w:val="20"/>
              </w:rPr>
            </w:pPr>
            <w:r>
              <w:rPr>
                <w:rFonts w:ascii="Times New Roman;serif" w:hAnsi="Times New Roman;serif"/>
                <w:b/>
                <w:color w:val="000000"/>
                <w:sz w:val="20"/>
              </w:rPr>
              <w:t>Delaware</w:t>
            </w:r>
          </w:p>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(State or other jurisdiction of </w:t>
            </w:r>
          </w:p>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incorporation or organization)</w:t>
            </w:r>
          </w:p>
        </w:tc>
        <w:tc>
          <w:tcPr>
            <w:tcW w:w="2384" w:type="dxa"/>
            <w:gridSpan w:val="3"/>
            <w:tcBorders/>
            <w:tcMar>
              <w:top w:w="0" w:type="dxa"/>
              <w:left w:w="0" w:type="dxa"/>
              <w:bottom w:w="0" w:type="dxa"/>
              <w:right w:w="0" w:type="dxa"/>
            </w:tcMar>
            <w:vAlign w:val="center"/>
          </w:tcPr>
          <w:p>
            <w:pPr>
              <w:pStyle w:val="TableContents"/>
              <w:bidi w:val="0"/>
              <w:spacing w:lineRule="auto" w:line="300" w:before="0" w:after="0"/>
              <w:jc w:val="center"/>
              <w:rPr>
                <w:rFonts w:ascii="Times New Roman;serif" w:hAnsi="Times New Roman;serif"/>
                <w:b/>
                <w:color w:val="000000"/>
                <w:sz w:val="20"/>
              </w:rPr>
            </w:pPr>
            <w:r>
              <w:rPr>
                <w:rFonts w:ascii="Times New Roman;serif" w:hAnsi="Times New Roman;serif"/>
                <w:b/>
                <w:color w:val="000000"/>
                <w:sz w:val="20"/>
              </w:rPr>
              <w:t>001-41009</w:t>
            </w:r>
          </w:p>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(Commission File Number)</w:t>
            </w:r>
          </w:p>
        </w:tc>
        <w:tc>
          <w:tcPr>
            <w:tcW w:w="3539" w:type="dxa"/>
            <w:gridSpan w:val="3"/>
            <w:tcBorders/>
            <w:tcMar>
              <w:top w:w="0" w:type="dxa"/>
              <w:left w:w="0" w:type="dxa"/>
              <w:bottom w:w="0" w:type="dxa"/>
              <w:right w:w="0" w:type="dxa"/>
            </w:tcMar>
            <w:vAlign w:val="center"/>
          </w:tcPr>
          <w:p>
            <w:pPr>
              <w:pStyle w:val="TableContents"/>
              <w:bidi w:val="0"/>
              <w:spacing w:lineRule="auto" w:line="300" w:before="0" w:after="0"/>
              <w:jc w:val="center"/>
              <w:rPr>
                <w:rFonts w:ascii="Times New Roman;serif" w:hAnsi="Times New Roman;serif"/>
                <w:b/>
                <w:color w:val="000000"/>
                <w:sz w:val="20"/>
              </w:rPr>
            </w:pPr>
            <w:r>
              <w:rPr>
                <w:rFonts w:ascii="Times New Roman;serif" w:hAnsi="Times New Roman;serif"/>
                <w:b/>
                <w:color w:val="000000"/>
                <w:sz w:val="20"/>
              </w:rPr>
              <w:t>87-1729256</w:t>
            </w:r>
          </w:p>
          <w:p>
            <w:pPr>
              <w:pStyle w:val="TableContents"/>
              <w:bidi w:val="0"/>
              <w:spacing w:lineRule="auto" w:line="300" w:before="0" w:after="2"/>
              <w:jc w:val="center"/>
              <w:rPr>
                <w:rFonts w:ascii="Times New Roman;serif" w:hAnsi="Times New Roman;serif"/>
                <w:b/>
                <w:color w:val="000000"/>
                <w:sz w:val="20"/>
              </w:rPr>
            </w:pPr>
            <w:r>
              <w:rPr>
                <w:rFonts w:ascii="Times New Roman;serif" w:hAnsi="Times New Roman;serif"/>
                <w:b/>
                <w:color w:val="000000"/>
                <w:sz w:val="20"/>
              </w:rPr>
              <w:t>(I.R.S. Employer Identification Number)</w:t>
            </w:r>
          </w:p>
        </w:tc>
      </w:tr>
    </w:tbl>
    <w:p>
      <w:pPr>
        <w:pStyle w:val="TextBody"/>
        <w:bidi w:val="0"/>
        <w:spacing w:lineRule="auto" w:line="288" w:before="40" w:after="120"/>
        <w:jc w:val="center"/>
        <w:rPr>
          <w:rFonts w:ascii="Times New Roman;serif" w:hAnsi="Times New Roman;serif"/>
          <w:b/>
          <w:color w:val="000000"/>
          <w:sz w:val="20"/>
        </w:rPr>
      </w:pPr>
      <w:r>
        <w:rPr>
          <w:rFonts w:ascii="Times New Roman;serif" w:hAnsi="Times New Roman;serif"/>
          <w:b/>
          <w:color w:val="000000"/>
          <w:sz w:val="20"/>
        </w:rPr>
        <w:t>51 E. Hines Hill Road, Boston Heights, Ohio</w:t>
      </w:r>
    </w:p>
    <w:p>
      <w:pPr>
        <w:pStyle w:val="TextBody"/>
        <w:bidi w:val="0"/>
        <w:spacing w:lineRule="auto" w:line="288" w:before="0" w:after="2"/>
        <w:jc w:val="center"/>
        <w:rPr>
          <w:rFonts w:ascii="Times New Roman;serif" w:hAnsi="Times New Roman;serif"/>
          <w:b w:val="false"/>
          <w:color w:val="000000"/>
          <w:sz w:val="20"/>
        </w:rPr>
      </w:pPr>
      <w:r>
        <w:rPr>
          <w:rFonts w:ascii="Times New Roman;serif" w:hAnsi="Times New Roman;serif"/>
          <w:b w:val="false"/>
          <w:color w:val="000000"/>
          <w:sz w:val="20"/>
        </w:rPr>
        <w:t>(Address of Principal Executive Offices)</w:t>
      </w:r>
    </w:p>
    <w:p>
      <w:pPr>
        <w:pStyle w:val="TextBody"/>
        <w:bidi w:val="0"/>
        <w:spacing w:lineRule="auto" w:line="288" w:before="40" w:after="2"/>
        <w:jc w:val="center"/>
        <w:rPr>
          <w:rFonts w:ascii="Times New Roman;serif" w:hAnsi="Times New Roman;serif"/>
          <w:b/>
          <w:color w:val="000000"/>
          <w:sz w:val="20"/>
        </w:rPr>
      </w:pPr>
      <w:r>
        <w:rPr>
          <w:rFonts w:ascii="Times New Roman;serif" w:hAnsi="Times New Roman;serif"/>
          <w:b/>
          <w:color w:val="000000"/>
          <w:sz w:val="20"/>
        </w:rPr>
        <w:t>44236</w:t>
      </w:r>
    </w:p>
    <w:p>
      <w:pPr>
        <w:pStyle w:val="TextBody"/>
        <w:bidi w:val="0"/>
        <w:spacing w:lineRule="auto" w:line="288" w:before="40" w:after="2"/>
        <w:jc w:val="center"/>
        <w:rPr>
          <w:rFonts w:ascii="Times New Roman;serif" w:hAnsi="Times New Roman;serif"/>
          <w:b w:val="false"/>
          <w:color w:val="000000"/>
          <w:sz w:val="20"/>
        </w:rPr>
      </w:pPr>
      <w:r>
        <w:rPr>
          <w:rFonts w:ascii="Times New Roman;serif" w:hAnsi="Times New Roman;serif"/>
          <w:b w:val="false"/>
          <w:color w:val="000000"/>
          <w:sz w:val="20"/>
        </w:rPr>
        <w:t>(Zip Code)</w:t>
      </w:r>
    </w:p>
    <w:p>
      <w:pPr>
        <w:pStyle w:val="TextBody"/>
        <w:bidi w:val="0"/>
        <w:spacing w:lineRule="auto" w:line="300" w:before="200" w:after="2"/>
        <w:jc w:val="center"/>
        <w:rPr>
          <w:rFonts w:ascii="Times New Roman;serif" w:hAnsi="Times New Roman;serif"/>
          <w:b/>
          <w:color w:val="000000"/>
          <w:sz w:val="20"/>
        </w:rPr>
      </w:pPr>
      <w:r>
        <w:rPr>
          <w:rFonts w:ascii="Times New Roman;serif" w:hAnsi="Times New Roman;serif"/>
          <w:b/>
          <w:color w:val="000000"/>
          <w:sz w:val="20"/>
        </w:rPr>
        <w:t>(440) 439-7700</w:t>
      </w:r>
    </w:p>
    <w:p>
      <w:pPr>
        <w:pStyle w:val="TextBody"/>
        <w:bidi w:val="0"/>
        <w:spacing w:lineRule="auto" w:line="300" w:before="0" w:after="2"/>
        <w:jc w:val="center"/>
        <w:rPr>
          <w:rFonts w:ascii="Times New Roman;serif" w:hAnsi="Times New Roman;serif"/>
          <w:b w:val="false"/>
          <w:color w:val="000000"/>
          <w:sz w:val="20"/>
        </w:rPr>
      </w:pPr>
      <w:r>
        <w:rPr>
          <w:rFonts w:ascii="Times New Roman;serif" w:hAnsi="Times New Roman;serif"/>
          <w:b w:val="false"/>
          <w:color w:val="000000"/>
          <w:sz w:val="20"/>
        </w:rPr>
        <w:t>(Registrant's telephone number, including area code)</w:t>
      </w:r>
    </w:p>
    <w:p>
      <w:pPr>
        <w:pStyle w:val="TextBody"/>
        <w:bidi w:val="0"/>
        <w:spacing w:before="0" w:after="2"/>
        <w:jc w:val="center"/>
        <w:rPr/>
      </w:pPr>
      <w:r>
        <w:rPr/>
      </w:r>
    </w:p>
    <w:p>
      <w:pPr>
        <w:pStyle w:val="TextBody"/>
        <w:bidi w:val="0"/>
        <w:spacing w:lineRule="auto" w:line="300" w:before="0" w:after="2"/>
        <w:jc w:val="center"/>
        <w:rPr>
          <w:rFonts w:ascii="Times New Roman;serif" w:hAnsi="Times New Roman;serif"/>
          <w:b/>
          <w:color w:val="000000"/>
          <w:sz w:val="20"/>
        </w:rPr>
      </w:pPr>
      <w:r>
        <w:rPr>
          <w:rFonts w:ascii="Times New Roman;serif" w:hAnsi="Times New Roman;serif"/>
          <w:b/>
          <w:color w:val="000000"/>
          <w:sz w:val="20"/>
        </w:rPr>
        <w:t>Check the appropriate box below if the Form 8-K filing is intended to simultaneously satisfy the filing obligation of the registrant under any of the following provisions:</w:t>
      </w:r>
    </w:p>
    <w:p>
      <w:pPr>
        <w:pStyle w:val="TextBody"/>
        <w:bidi w:val="0"/>
        <w:spacing w:before="0" w:after="0"/>
        <w:jc w:val="left"/>
        <w:rPr/>
      </w:pPr>
      <w:r>
        <w:rPr/>
      </w:r>
    </w:p>
    <w:tbl>
      <w:tblPr>
        <w:tblW w:w="9776" w:type="dxa"/>
        <w:jc w:val="left"/>
        <w:tblInd w:w="0" w:type="dxa"/>
        <w:tblLayout w:type="fixed"/>
        <w:tblCellMar>
          <w:top w:w="28" w:type="dxa"/>
          <w:left w:w="28" w:type="dxa"/>
          <w:bottom w:w="28" w:type="dxa"/>
          <w:right w:w="28" w:type="dxa"/>
        </w:tblCellMar>
      </w:tblPr>
      <w:tblGrid>
        <w:gridCol w:w="124"/>
        <w:gridCol w:w="109"/>
        <w:gridCol w:w="109"/>
        <w:gridCol w:w="2758"/>
        <w:gridCol w:w="2758"/>
        <w:gridCol w:w="3918"/>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58" w:type="dxa"/>
            <w:tcBorders/>
            <w:vAlign w:val="center"/>
          </w:tcPr>
          <w:p>
            <w:pPr>
              <w:pStyle w:val="TableContents"/>
              <w:bidi w:val="0"/>
              <w:spacing w:before="0" w:after="283"/>
              <w:jc w:val="left"/>
              <w:rPr>
                <w:sz w:val="4"/>
                <w:szCs w:val="4"/>
              </w:rPr>
            </w:pPr>
            <w:r>
              <w:rPr>
                <w:sz w:val="4"/>
                <w:szCs w:val="4"/>
              </w:rPr>
            </w:r>
          </w:p>
        </w:tc>
        <w:tc>
          <w:tcPr>
            <w:tcW w:w="2758" w:type="dxa"/>
            <w:tcBorders/>
            <w:vAlign w:val="center"/>
          </w:tcPr>
          <w:p>
            <w:pPr>
              <w:pStyle w:val="TableContents"/>
              <w:bidi w:val="0"/>
              <w:spacing w:before="0" w:after="283"/>
              <w:jc w:val="left"/>
              <w:rPr>
                <w:sz w:val="4"/>
                <w:szCs w:val="4"/>
              </w:rPr>
            </w:pPr>
            <w:r>
              <w:rPr>
                <w:sz w:val="4"/>
                <w:szCs w:val="4"/>
              </w:rPr>
            </w:r>
          </w:p>
        </w:tc>
        <w:tc>
          <w:tcPr>
            <w:tcW w:w="3918"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0"/>
              <w:jc w:val="center"/>
              <w:rPr>
                <w:color w:val="000000"/>
              </w:rPr>
            </w:pPr>
            <w:r>
              <w:rPr>
                <w:color w:val="000000"/>
              </w:rPr>
              <w:t>☐</w:t>
            </w:r>
          </w:p>
        </w:tc>
        <w:tc>
          <w:tcPr>
            <w:tcW w:w="9434"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Written communications pursuant to Rule 425 under the Securities Act (17 CFR 230.425)</w:t>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0"/>
              <w:jc w:val="center"/>
              <w:rPr>
                <w:color w:val="000000"/>
              </w:rPr>
            </w:pPr>
            <w:r>
              <w:rPr>
                <w:color w:val="000000"/>
              </w:rPr>
              <w:t>☐</w:t>
            </w:r>
          </w:p>
        </w:tc>
        <w:tc>
          <w:tcPr>
            <w:tcW w:w="9434"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Soliciting material pursuant to Rule 14a-12 under the Exchange Act (17 CFR 240.14a-12)</w:t>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0"/>
              <w:jc w:val="center"/>
              <w:rPr>
                <w:color w:val="000000"/>
              </w:rPr>
            </w:pPr>
            <w:r>
              <w:rPr>
                <w:color w:val="000000"/>
              </w:rPr>
              <w:t>☐</w:t>
            </w:r>
          </w:p>
        </w:tc>
        <w:tc>
          <w:tcPr>
            <w:tcW w:w="9434"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Pre-commencement communications pursuant to Rule 14d-2(b) under the Exchange Act (17 CFR 240.14d-2(b))</w:t>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0"/>
              <w:jc w:val="center"/>
              <w:rPr>
                <w:color w:val="000000"/>
              </w:rPr>
            </w:pPr>
            <w:r>
              <w:rPr>
                <w:color w:val="000000"/>
              </w:rPr>
              <w:t>☐</w:t>
            </w:r>
          </w:p>
        </w:tc>
        <w:tc>
          <w:tcPr>
            <w:tcW w:w="9434"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Pre-commencement communications pursuant to Rule 13e-4(c) under the Exchange Act (17 CFR 240.13e-4(c))</w:t>
            </w:r>
          </w:p>
        </w:tc>
      </w:tr>
    </w:tbl>
    <w:tbl>
      <w:tblPr>
        <w:tblW w:w="9737" w:type="dxa"/>
        <w:jc w:val="left"/>
        <w:tblInd w:w="0" w:type="dxa"/>
        <w:tblLayout w:type="fixed"/>
        <w:tblCellMar>
          <w:top w:w="28" w:type="dxa"/>
          <w:left w:w="28" w:type="dxa"/>
          <w:bottom w:w="28" w:type="dxa"/>
          <w:right w:w="28" w:type="dxa"/>
        </w:tblCellMar>
      </w:tblPr>
      <w:tblGrid>
        <w:gridCol w:w="1582"/>
        <w:gridCol w:w="1391"/>
        <w:gridCol w:w="1391"/>
        <w:gridCol w:w="516"/>
        <w:gridCol w:w="516"/>
        <w:gridCol w:w="516"/>
        <w:gridCol w:w="1120"/>
        <w:gridCol w:w="1120"/>
        <w:gridCol w:w="1585"/>
      </w:tblGrid>
      <w:tr>
        <w:trPr/>
        <w:tc>
          <w:tcPr>
            <w:tcW w:w="1582" w:type="dxa"/>
            <w:tcBorders/>
            <w:vAlign w:val="center"/>
          </w:tcPr>
          <w:p>
            <w:pPr>
              <w:pStyle w:val="TableContents"/>
              <w:bidi w:val="0"/>
              <w:spacing w:before="0" w:after="283"/>
              <w:jc w:val="left"/>
              <w:rPr>
                <w:sz w:val="4"/>
                <w:szCs w:val="4"/>
              </w:rPr>
            </w:pPr>
            <w:r>
              <w:rPr>
                <w:sz w:val="4"/>
                <w:szCs w:val="4"/>
              </w:rPr>
            </w:r>
          </w:p>
        </w:tc>
        <w:tc>
          <w:tcPr>
            <w:tcW w:w="1391" w:type="dxa"/>
            <w:tcBorders/>
            <w:vAlign w:val="center"/>
          </w:tcPr>
          <w:p>
            <w:pPr>
              <w:pStyle w:val="TableContents"/>
              <w:bidi w:val="0"/>
              <w:spacing w:before="0" w:after="283"/>
              <w:jc w:val="left"/>
              <w:rPr>
                <w:sz w:val="4"/>
                <w:szCs w:val="4"/>
              </w:rPr>
            </w:pPr>
            <w:r>
              <w:rPr>
                <w:sz w:val="4"/>
                <w:szCs w:val="4"/>
              </w:rPr>
            </w:r>
          </w:p>
        </w:tc>
        <w:tc>
          <w:tcPr>
            <w:tcW w:w="1391" w:type="dxa"/>
            <w:tcBorders/>
            <w:vAlign w:val="center"/>
          </w:tcPr>
          <w:p>
            <w:pPr>
              <w:pStyle w:val="TableContents"/>
              <w:bidi w:val="0"/>
              <w:spacing w:before="0" w:after="283"/>
              <w:jc w:val="left"/>
              <w:rPr>
                <w:sz w:val="4"/>
                <w:szCs w:val="4"/>
              </w:rPr>
            </w:pPr>
            <w:r>
              <w:rPr>
                <w:sz w:val="4"/>
                <w:szCs w:val="4"/>
              </w:rPr>
            </w:r>
          </w:p>
        </w:tc>
        <w:tc>
          <w:tcPr>
            <w:tcW w:w="516" w:type="dxa"/>
            <w:tcBorders/>
            <w:vAlign w:val="center"/>
          </w:tcPr>
          <w:p>
            <w:pPr>
              <w:pStyle w:val="TableContents"/>
              <w:bidi w:val="0"/>
              <w:spacing w:before="0" w:after="283"/>
              <w:jc w:val="left"/>
              <w:rPr>
                <w:sz w:val="4"/>
                <w:szCs w:val="4"/>
              </w:rPr>
            </w:pPr>
            <w:r>
              <w:rPr>
                <w:sz w:val="4"/>
                <w:szCs w:val="4"/>
              </w:rPr>
            </w:r>
          </w:p>
        </w:tc>
        <w:tc>
          <w:tcPr>
            <w:tcW w:w="516" w:type="dxa"/>
            <w:tcBorders/>
            <w:vAlign w:val="center"/>
          </w:tcPr>
          <w:p>
            <w:pPr>
              <w:pStyle w:val="TableContents"/>
              <w:bidi w:val="0"/>
              <w:spacing w:before="0" w:after="283"/>
              <w:jc w:val="left"/>
              <w:rPr>
                <w:sz w:val="4"/>
                <w:szCs w:val="4"/>
              </w:rPr>
            </w:pPr>
            <w:r>
              <w:rPr>
                <w:sz w:val="4"/>
                <w:szCs w:val="4"/>
              </w:rPr>
            </w:r>
          </w:p>
        </w:tc>
        <w:tc>
          <w:tcPr>
            <w:tcW w:w="516" w:type="dxa"/>
            <w:tcBorders/>
            <w:vAlign w:val="center"/>
          </w:tcPr>
          <w:p>
            <w:pPr>
              <w:pStyle w:val="TableContents"/>
              <w:bidi w:val="0"/>
              <w:spacing w:before="0" w:after="283"/>
              <w:jc w:val="left"/>
              <w:rPr>
                <w:sz w:val="4"/>
                <w:szCs w:val="4"/>
              </w:rPr>
            </w:pPr>
            <w:r>
              <w:rPr>
                <w:sz w:val="4"/>
                <w:szCs w:val="4"/>
              </w:rPr>
            </w:r>
          </w:p>
        </w:tc>
        <w:tc>
          <w:tcPr>
            <w:tcW w:w="1120" w:type="dxa"/>
            <w:tcBorders/>
            <w:vAlign w:val="center"/>
          </w:tcPr>
          <w:p>
            <w:pPr>
              <w:pStyle w:val="TableContents"/>
              <w:bidi w:val="0"/>
              <w:spacing w:before="0" w:after="283"/>
              <w:jc w:val="left"/>
              <w:rPr>
                <w:sz w:val="4"/>
                <w:szCs w:val="4"/>
              </w:rPr>
            </w:pPr>
            <w:r>
              <w:rPr>
                <w:sz w:val="4"/>
                <w:szCs w:val="4"/>
              </w:rPr>
            </w:r>
          </w:p>
        </w:tc>
        <w:tc>
          <w:tcPr>
            <w:tcW w:w="1120" w:type="dxa"/>
            <w:tcBorders/>
            <w:vAlign w:val="center"/>
          </w:tcPr>
          <w:p>
            <w:pPr>
              <w:pStyle w:val="TableContents"/>
              <w:bidi w:val="0"/>
              <w:spacing w:before="0" w:after="283"/>
              <w:jc w:val="left"/>
              <w:rPr>
                <w:sz w:val="4"/>
                <w:szCs w:val="4"/>
              </w:rPr>
            </w:pPr>
            <w:r>
              <w:rPr>
                <w:sz w:val="4"/>
                <w:szCs w:val="4"/>
              </w:rPr>
            </w:r>
          </w:p>
        </w:tc>
        <w:tc>
          <w:tcPr>
            <w:tcW w:w="1585" w:type="dxa"/>
            <w:tcBorders/>
            <w:vAlign w:val="center"/>
          </w:tcPr>
          <w:p>
            <w:pPr>
              <w:pStyle w:val="TableContents"/>
              <w:bidi w:val="0"/>
              <w:spacing w:before="0" w:after="283"/>
              <w:jc w:val="left"/>
              <w:rPr>
                <w:sz w:val="4"/>
                <w:szCs w:val="4"/>
              </w:rPr>
            </w:pPr>
            <w:r>
              <w:rPr>
                <w:sz w:val="4"/>
                <w:szCs w:val="4"/>
              </w:rPr>
            </w:r>
          </w:p>
        </w:tc>
      </w:tr>
      <w:tr>
        <w:trPr/>
        <w:tc>
          <w:tcPr>
            <w:tcW w:w="9737" w:type="dxa"/>
            <w:gridSpan w:val="9"/>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Securities registered pursuant to Section 12(b) of the Act:</w:t>
            </w:r>
          </w:p>
        </w:tc>
      </w:tr>
      <w:tr>
        <w:trPr/>
        <w:tc>
          <w:tcPr>
            <w:tcW w:w="4364"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20"/>
                <w:u w:val="single"/>
              </w:rPr>
            </w:pPr>
            <w:r>
              <w:rPr>
                <w:rFonts w:ascii="Times New Roman;serif" w:hAnsi="Times New Roman;serif"/>
                <w:b/>
                <w:color w:val="000000"/>
                <w:sz w:val="20"/>
                <w:u w:val="single"/>
              </w:rPr>
              <w:t>Title of each class</w:t>
            </w:r>
          </w:p>
        </w:tc>
        <w:tc>
          <w:tcPr>
            <w:tcW w:w="1548"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20"/>
                <w:u w:val="single"/>
              </w:rPr>
            </w:pPr>
            <w:r>
              <w:rPr>
                <w:rFonts w:ascii="Times New Roman;serif" w:hAnsi="Times New Roman;serif"/>
                <w:b/>
                <w:color w:val="000000"/>
                <w:sz w:val="20"/>
                <w:u w:val="single"/>
              </w:rPr>
              <w:t>Trading Symbol</w:t>
            </w:r>
          </w:p>
        </w:tc>
        <w:tc>
          <w:tcPr>
            <w:tcW w:w="3825"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20"/>
                <w:u w:val="single"/>
              </w:rPr>
            </w:pPr>
            <w:r>
              <w:rPr>
                <w:rFonts w:ascii="Times New Roman;serif" w:hAnsi="Times New Roman;serif"/>
                <w:b/>
                <w:color w:val="000000"/>
                <w:sz w:val="20"/>
                <w:u w:val="single"/>
              </w:rPr>
              <w:t>Name of each exchange on which registered</w:t>
            </w:r>
          </w:p>
        </w:tc>
      </w:tr>
      <w:tr>
        <w:trPr/>
        <w:tc>
          <w:tcPr>
            <w:tcW w:w="4364" w:type="dxa"/>
            <w:gridSpan w:val="3"/>
            <w:tcBorders/>
            <w:tcMar>
              <w:top w:w="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color w:val="000000"/>
                <w:sz w:val="20"/>
              </w:rPr>
            </w:pPr>
            <w:r>
              <w:rPr>
                <w:rFonts w:ascii="Times New Roman;serif" w:hAnsi="Times New Roman;serif"/>
                <w:b/>
                <w:color w:val="000000"/>
                <w:sz w:val="20"/>
              </w:rPr>
              <w:t>Class A common stock, $0.001 par value per share</w:t>
            </w:r>
          </w:p>
        </w:tc>
        <w:tc>
          <w:tcPr>
            <w:tcW w:w="1548" w:type="dxa"/>
            <w:gridSpan w:val="3"/>
            <w:tcBorders/>
            <w:tcMar>
              <w:top w:w="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color w:val="000000"/>
                <w:sz w:val="20"/>
              </w:rPr>
            </w:pPr>
            <w:r>
              <w:rPr>
                <w:rFonts w:ascii="Times New Roman;serif" w:hAnsi="Times New Roman;serif"/>
                <w:b/>
                <w:color w:val="000000"/>
                <w:sz w:val="20"/>
              </w:rPr>
              <w:t>ARHS</w:t>
            </w:r>
          </w:p>
        </w:tc>
        <w:tc>
          <w:tcPr>
            <w:tcW w:w="3825" w:type="dxa"/>
            <w:gridSpan w:val="3"/>
            <w:tcBorders/>
            <w:tcMar>
              <w:top w:w="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color w:val="000000"/>
                <w:sz w:val="20"/>
              </w:rPr>
            </w:pPr>
            <w:r>
              <w:rPr>
                <w:rFonts w:ascii="Times New Roman;serif" w:hAnsi="Times New Roman;serif"/>
                <w:b/>
                <w:color w:val="000000"/>
                <w:sz w:val="20"/>
              </w:rPr>
              <w:t>The Nasdaq Global Select Market</w:t>
            </w:r>
          </w:p>
        </w:tc>
      </w:tr>
    </w:tbl>
    <w:p>
      <w:pPr>
        <w:pStyle w:val="TextBody"/>
        <w:bidi w:val="0"/>
        <w:spacing w:lineRule="auto" w:line="288" w:before="120" w:after="283"/>
        <w:jc w:val="left"/>
        <w:rPr>
          <w:rFonts w:ascii="Times New Roman;serif" w:hAnsi="Times New Roman;serif"/>
          <w:b/>
          <w:color w:val="000000"/>
          <w:sz w:val="20"/>
        </w:rPr>
      </w:pPr>
      <w:r>
        <w:rPr>
          <w:rFonts w:ascii="Times New Roman;serif" w:hAnsi="Times New Roman;serif"/>
          <w:b/>
          <w:color w:val="000000"/>
          <w:sz w:val="20"/>
        </w:rPr>
        <w:t>Indicate by check mark whether the registrant is an emerging growth company as defined in Rule 405 of the Securities Act of 1933 or Rule 12b-2 of the Securities Exchange Act of 1934.</w:t>
      </w:r>
    </w:p>
    <w:p>
      <w:pPr>
        <w:pStyle w:val="TextBody"/>
        <w:bidi w:val="0"/>
        <w:spacing w:lineRule="auto" w:line="268" w:before="120" w:after="283"/>
        <w:jc w:val="left"/>
        <w:rPr/>
      </w:pPr>
      <w:r>
        <w:rPr>
          <w:rFonts w:ascii="Times New Roman;serif" w:hAnsi="Times New Roman;serif"/>
          <w:b w:val="false"/>
          <w:color w:val="000000"/>
          <w:sz w:val="20"/>
        </w:rPr>
        <w:t xml:space="preserve">Emerging growth company </w:t>
      </w:r>
      <w:r>
        <w:rPr>
          <w:color w:val="000000"/>
        </w:rPr>
        <w:t xml:space="preserve">☐ </w:t>
      </w:r>
    </w:p>
    <w:p>
      <w:pPr>
        <w:pStyle w:val="TextBody"/>
        <w:bidi w:val="0"/>
        <w:spacing w:lineRule="auto" w:line="288" w:before="120" w:after="283"/>
        <w:jc w:val="both"/>
        <w:rPr/>
      </w:pPr>
      <w:r>
        <w:rPr>
          <w:rFonts w:ascii="Times New Roman;serif" w:hAnsi="Times New Roman;serif"/>
          <w:b/>
          <w:color w:val="000000"/>
          <w:sz w:val="20"/>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color w:val="000000"/>
        </w:rPr>
        <w:t>☐</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
                        <w:jc w:val="left"/>
                        <w:rPr/>
                      </w:pPr>
                      <w:r>
                        <w:rPr/>
                      </w:r>
                    </w:p>
                  </w:txbxContent>
                </v:textbox>
                <w10:wrap type="none"/>
              </v:rect>
            </w:pict>
          </mc:Fallback>
        </mc:AlternateContent>
      </w:r>
    </w:p>
    <w:p>
      <w:pPr>
        <w:pStyle w:val="TextBody"/>
        <w:bidi w:val="0"/>
        <w:spacing w:before="0" w:after="2"/>
        <w:jc w:val="left"/>
        <w:rPr/>
      </w:pPr>
      <w:r>
        <w:rPr/>
      </w:r>
    </w:p>
    <w:p>
      <w:pPr>
        <w:pStyle w:val="TextBody"/>
        <w:bidi w:val="0"/>
        <w:spacing w:lineRule="auto" w:line="288" w:before="200" w:after="200"/>
        <w:jc w:val="left"/>
        <w:rPr/>
      </w:pPr>
      <w:r>
        <w:rPr>
          <w:rFonts w:ascii="Times New Roman;serif" w:hAnsi="Times New Roman;serif"/>
          <w:b/>
          <w:color w:val="000000"/>
          <w:sz w:val="22"/>
        </w:rPr>
        <w:t>Item 5.02     Departure of Directors or Certain Officers; Election of Directors; Appointment of Certain Officers; Co</w:t>
      </w:r>
      <w:r>
        <w:rPr>
          <w:rFonts w:ascii="Times New Roman;serif" w:hAnsi="Times New Roman;serif"/>
          <w:b/>
          <w:color w:val="000000"/>
          <w:sz w:val="22"/>
          <w:shd w:fill="FFFFFF" w:val="clear"/>
        </w:rPr>
        <w:t>mpensatory Arrangements of Certain Officers.</w:t>
      </w:r>
    </w:p>
    <w:p>
      <w:pPr>
        <w:pStyle w:val="TextBody"/>
        <w:bidi w:val="0"/>
        <w:spacing w:lineRule="auto" w:line="256" w:before="0" w:after="0"/>
        <w:jc w:val="left"/>
        <w:rPr>
          <w:rFonts w:ascii="Times New Roman;serif" w:hAnsi="Times New Roman;serif"/>
          <w:b/>
          <w:color w:val="000000"/>
          <w:sz w:val="20"/>
          <w:u w:val="single"/>
        </w:rPr>
      </w:pPr>
      <w:r>
        <w:rPr>
          <w:rFonts w:ascii="Times New Roman;serif" w:hAnsi="Times New Roman;serif"/>
          <w:b/>
          <w:color w:val="000000"/>
          <w:sz w:val="20"/>
          <w:u w:val="single"/>
        </w:rPr>
        <w:t>Resignation of Bill Beargie from Board of Directors</w:t>
      </w:r>
    </w:p>
    <w:p>
      <w:pPr>
        <w:pStyle w:val="TextBody"/>
        <w:bidi w:val="0"/>
        <w:spacing w:before="0" w:after="0"/>
        <w:jc w:val="left"/>
        <w:rPr/>
      </w:pPr>
      <w:r>
        <w:rPr/>
      </w:r>
    </w:p>
    <w:p>
      <w:pPr>
        <w:pStyle w:val="TextBody"/>
        <w:bidi w:val="0"/>
        <w:spacing w:lineRule="auto" w:line="256"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On July 7, 2026, Bill Beargie resigned from the Board of Directors (the “Board”) of Arhaus, Inc. (the “Company”). The resignation of Mr. Beargie was not the result of any disagreement with the Company on any matter relating to its operations, policies or practices. </w:t>
      </w:r>
    </w:p>
    <w:p>
      <w:pPr>
        <w:pStyle w:val="TextBody"/>
        <w:bidi w:val="0"/>
        <w:spacing w:before="0" w:after="0"/>
        <w:jc w:val="left"/>
        <w:rPr/>
      </w:pPr>
      <w:r>
        <w:rPr/>
      </w:r>
    </w:p>
    <w:p>
      <w:pPr>
        <w:pStyle w:val="TextBody"/>
        <w:bidi w:val="0"/>
        <w:spacing w:lineRule="auto" w:line="256" w:before="0" w:after="0"/>
        <w:jc w:val="left"/>
        <w:rPr>
          <w:rFonts w:ascii="Times New Roman;serif" w:hAnsi="Times New Roman;serif"/>
          <w:b/>
          <w:color w:val="000000"/>
          <w:sz w:val="20"/>
          <w:u w:val="single"/>
        </w:rPr>
      </w:pPr>
      <w:r>
        <w:rPr>
          <w:rFonts w:ascii="Times New Roman;serif" w:hAnsi="Times New Roman;serif"/>
          <w:b/>
          <w:color w:val="000000"/>
          <w:sz w:val="20"/>
          <w:u w:val="single"/>
        </w:rPr>
        <w:t>Appointment of Rick Keyes to Board of Directors</w:t>
      </w:r>
    </w:p>
    <w:p>
      <w:pPr>
        <w:pStyle w:val="TextBody"/>
        <w:bidi w:val="0"/>
        <w:spacing w:before="0" w:after="0"/>
        <w:jc w:val="left"/>
        <w:rPr/>
      </w:pPr>
      <w:r>
        <w:rPr/>
      </w:r>
    </w:p>
    <w:p>
      <w:pPr>
        <w:pStyle w:val="TextBody"/>
        <w:bidi w:val="0"/>
        <w:spacing w:lineRule="auto" w:line="256" w:before="0" w:after="0"/>
        <w:jc w:val="left"/>
        <w:rPr>
          <w:rFonts w:ascii="Times New Roman;serif" w:hAnsi="Times New Roman;serif"/>
          <w:b w:val="false"/>
          <w:color w:val="000000"/>
          <w:sz w:val="20"/>
        </w:rPr>
      </w:pPr>
      <w:r>
        <w:rPr>
          <w:rFonts w:ascii="Times New Roman;serif" w:hAnsi="Times New Roman;serif"/>
          <w:b w:val="false"/>
          <w:color w:val="000000"/>
          <w:sz w:val="20"/>
        </w:rPr>
        <w:t>On July 8, 2026, the Board of the Company appointed Rick Keyes to Class I of the Board as an independent director under applicable NASDAQ and SEC rules. Mr. Keyes’s term will expire at the Company’s Annual Meeting of Stockholders in 2028, at which time he is expected to stand for re-election to the Board by the Company’s stockholders. He will serve on the Board’s Compensation Committee.</w:t>
      </w:r>
    </w:p>
    <w:p>
      <w:pPr>
        <w:pStyle w:val="TextBody"/>
        <w:bidi w:val="0"/>
        <w:spacing w:before="0" w:after="0"/>
        <w:jc w:val="left"/>
        <w:rPr/>
      </w:pPr>
      <w:r>
        <w:rPr/>
      </w:r>
    </w:p>
    <w:p>
      <w:pPr>
        <w:pStyle w:val="TextBody"/>
        <w:bidi w:val="0"/>
        <w:spacing w:lineRule="auto" w:line="256" w:before="0" w:after="0"/>
        <w:jc w:val="left"/>
        <w:rPr/>
      </w:pPr>
      <w:r>
        <w:rPr>
          <w:rFonts w:ascii="Times New Roman;serif" w:hAnsi="Times New Roman;serif"/>
          <w:b w:val="false"/>
          <w:color w:val="000000"/>
          <w:sz w:val="20"/>
        </w:rPr>
        <w:t>Mr. Keyes has served as President and Chief Executive Officer of Meijer, Inc. (a regional supercenter) since 2017.</w:t>
      </w:r>
      <w:r>
        <w:rPr>
          <w:color w:val="000000"/>
        </w:rPr>
        <w:t xml:space="preserve"> </w:t>
      </w:r>
      <w:r>
        <w:rPr>
          <w:rFonts w:ascii="Times New Roman;serif" w:hAnsi="Times New Roman;serif"/>
          <w:b w:val="false"/>
          <w:color w:val="000000"/>
          <w:sz w:val="20"/>
        </w:rPr>
        <w:t>Prior to this role, he served in various leadership positions at Meijer since 1989, including as President from 2015 to 2017 and Executive Vice President of Supply Chain and Manufacturing from 2006 to 2015.</w:t>
      </w:r>
      <w:r>
        <w:rPr>
          <w:color w:val="000000"/>
        </w:rPr>
        <w:t xml:space="preserve"> </w:t>
      </w:r>
      <w:r>
        <w:rPr>
          <w:rFonts w:ascii="Times New Roman;serif" w:hAnsi="Times New Roman;serif"/>
          <w:b w:val="false"/>
          <w:color w:val="000000"/>
          <w:sz w:val="20"/>
        </w:rPr>
        <w:t>Mr. Keyes is currently a director of CMS Energy Corporation (and its subsidiary Consumers Energy Company) and serves on both its Audit and Governance, Sustainability and Public Responsibility committees.</w:t>
      </w:r>
      <w:r>
        <w:rPr>
          <w:color w:val="000000"/>
        </w:rPr>
        <w:t xml:space="preserve"> </w:t>
      </w:r>
      <w:r>
        <w:rPr>
          <w:rFonts w:ascii="Times New Roman;serif" w:hAnsi="Times New Roman;serif"/>
          <w:b w:val="false"/>
          <w:color w:val="000000"/>
          <w:sz w:val="20"/>
        </w:rPr>
        <w:t>Mr. Keyes has also been a board member or trustee of a number of professional and charitable organizations, including Chair of the Board of Trustees of Ohio Northern University.</w:t>
      </w:r>
      <w:r>
        <w:rPr>
          <w:color w:val="000000"/>
        </w:rPr>
        <w:t xml:space="preserve"> </w:t>
      </w:r>
      <w:r>
        <w:rPr>
          <w:rFonts w:ascii="Times New Roman;serif" w:hAnsi="Times New Roman;serif"/>
          <w:b w:val="false"/>
          <w:color w:val="000000"/>
          <w:sz w:val="20"/>
        </w:rPr>
        <w:t>The Company believes that Mr. Keyes is qualified to serve on the Board of Directors because of his significant management and operations experience and his leadership in the retail industry.</w:t>
      </w:r>
    </w:p>
    <w:p>
      <w:pPr>
        <w:pStyle w:val="TextBody"/>
        <w:bidi w:val="0"/>
        <w:spacing w:before="0" w:after="0"/>
        <w:jc w:val="left"/>
        <w:rPr/>
      </w:pPr>
      <w:r>
        <w:rPr/>
      </w:r>
    </w:p>
    <w:p>
      <w:pPr>
        <w:pStyle w:val="TextBody"/>
        <w:bidi w:val="0"/>
        <w:spacing w:lineRule="auto" w:line="256" w:before="0" w:after="0"/>
        <w:jc w:val="left"/>
        <w:rPr>
          <w:rFonts w:ascii="Times New Roman;serif" w:hAnsi="Times New Roman;serif"/>
          <w:b w:val="false"/>
          <w:color w:val="000000"/>
          <w:sz w:val="20"/>
        </w:rPr>
      </w:pPr>
      <w:r>
        <w:rPr>
          <w:rFonts w:ascii="Times New Roman;serif" w:hAnsi="Times New Roman;serif"/>
          <w:b w:val="false"/>
          <w:color w:val="000000"/>
          <w:sz w:val="20"/>
        </w:rPr>
        <w:t>Mr. Keyes’s compensation for his service as a director will be consistent with that of the Company’s other non-employee directors, as described in the definitive proxy statement for the Company’s 2026 Annual Meeting of Stockholders.</w:t>
      </w:r>
    </w:p>
    <w:p>
      <w:pPr>
        <w:pStyle w:val="TextBody"/>
        <w:bidi w:val="0"/>
        <w:spacing w:before="0" w:after="0"/>
        <w:jc w:val="left"/>
        <w:rPr/>
      </w:pPr>
      <w:r>
        <w:rPr/>
      </w:r>
    </w:p>
    <w:p>
      <w:pPr>
        <w:pStyle w:val="TextBody"/>
        <w:bidi w:val="0"/>
        <w:spacing w:lineRule="auto" w:line="256" w:before="0" w:after="0"/>
        <w:jc w:val="left"/>
        <w:rPr>
          <w:rFonts w:ascii="Times New Roman;serif" w:hAnsi="Times New Roman;serif"/>
          <w:b w:val="false"/>
          <w:color w:val="000000"/>
          <w:sz w:val="20"/>
        </w:rPr>
      </w:pPr>
      <w:r>
        <w:rPr>
          <w:rFonts w:ascii="Times New Roman;serif" w:hAnsi="Times New Roman;serif"/>
          <w:b w:val="false"/>
          <w:color w:val="000000"/>
          <w:sz w:val="20"/>
        </w:rPr>
        <w:t>There are no arrangements or understandings between Mr. Keyes and any other persons pursuant to which Mr. Keyes was selected as a director. There have been no transactions involving the Company or any of its subsidiaries in which Mr. Keyes has or will have a direct or indirect material interest that are required to be disclosed by Item 404(a) of Regulation S-K.</w:t>
      </w:r>
    </w:p>
    <w:p>
      <w:pPr>
        <w:pStyle w:val="TextBody"/>
        <w:bidi w:val="0"/>
        <w:spacing w:before="0" w:after="0"/>
        <w:jc w:val="left"/>
        <w:rPr/>
      </w:pPr>
      <w:r>
        <w:rPr/>
      </w:r>
    </w:p>
    <w:p>
      <w:pPr>
        <w:pStyle w:val="TextBody"/>
        <w:bidi w:val="0"/>
        <w:spacing w:lineRule="auto" w:line="288" w:before="0" w:after="200"/>
        <w:jc w:val="left"/>
        <w:rPr>
          <w:rFonts w:ascii="Times New Roman;serif" w:hAnsi="Times New Roman;serif"/>
          <w:b/>
          <w:color w:val="000000"/>
          <w:sz w:val="22"/>
        </w:rPr>
      </w:pPr>
      <w:r>
        <w:rPr>
          <w:rFonts w:ascii="Times New Roman;serif" w:hAnsi="Times New Roman;serif"/>
          <w:b/>
          <w:color w:val="000000"/>
          <w:sz w:val="22"/>
        </w:rPr>
        <w:t>Item 9.01    Financial Statements and Exhibits</w:t>
      </w:r>
    </w:p>
    <w:p>
      <w:pPr>
        <w:pStyle w:val="TextBody"/>
        <w:bidi w:val="0"/>
        <w:spacing w:lineRule="auto" w:line="288" w:before="120" w:after="200"/>
        <w:jc w:val="left"/>
        <w:rPr>
          <w:rFonts w:ascii="Times New Roman;serif" w:hAnsi="Times New Roman;serif"/>
          <w:b w:val="false"/>
          <w:color w:val="000000"/>
          <w:sz w:val="20"/>
        </w:rPr>
      </w:pPr>
      <w:r>
        <w:rPr>
          <w:rFonts w:ascii="Times New Roman;serif" w:hAnsi="Times New Roman;serif"/>
          <w:b w:val="false"/>
          <w:color w:val="000000"/>
          <w:sz w:val="20"/>
        </w:rPr>
        <w:t>(d) The following exhibits are being filed herewith:</w:t>
      </w:r>
    </w:p>
    <w:tbl>
      <w:tblPr>
        <w:tblW w:w="8441" w:type="dxa"/>
        <w:jc w:val="left"/>
        <w:tblInd w:w="0" w:type="dxa"/>
        <w:tblLayout w:type="fixed"/>
        <w:tblCellMar>
          <w:top w:w="28" w:type="dxa"/>
          <w:left w:w="28" w:type="dxa"/>
          <w:bottom w:w="28" w:type="dxa"/>
          <w:right w:w="28" w:type="dxa"/>
        </w:tblCellMar>
      </w:tblPr>
      <w:tblGrid>
        <w:gridCol w:w="385"/>
        <w:gridCol w:w="338"/>
        <w:gridCol w:w="341"/>
        <w:gridCol w:w="109"/>
        <w:gridCol w:w="109"/>
        <w:gridCol w:w="109"/>
        <w:gridCol w:w="2065"/>
        <w:gridCol w:w="2065"/>
        <w:gridCol w:w="2920"/>
      </w:tblGrid>
      <w:tr>
        <w:trPr/>
        <w:tc>
          <w:tcPr>
            <w:tcW w:w="385" w:type="dxa"/>
            <w:tcBorders/>
            <w:vAlign w:val="center"/>
          </w:tcPr>
          <w:p>
            <w:pPr>
              <w:pStyle w:val="TableContents"/>
              <w:bidi w:val="0"/>
              <w:spacing w:before="0" w:after="283"/>
              <w:jc w:val="left"/>
              <w:rPr>
                <w:sz w:val="4"/>
                <w:szCs w:val="4"/>
              </w:rPr>
            </w:pPr>
            <w:r>
              <w:rPr>
                <w:sz w:val="4"/>
                <w:szCs w:val="4"/>
              </w:rPr>
            </w:r>
          </w:p>
        </w:tc>
        <w:tc>
          <w:tcPr>
            <w:tcW w:w="338" w:type="dxa"/>
            <w:tcBorders/>
            <w:vAlign w:val="center"/>
          </w:tcPr>
          <w:p>
            <w:pPr>
              <w:pStyle w:val="TableContents"/>
              <w:bidi w:val="0"/>
              <w:spacing w:before="0" w:after="283"/>
              <w:jc w:val="left"/>
              <w:rPr>
                <w:sz w:val="4"/>
                <w:szCs w:val="4"/>
              </w:rPr>
            </w:pPr>
            <w:r>
              <w:rPr>
                <w:sz w:val="4"/>
                <w:szCs w:val="4"/>
              </w:rPr>
            </w:r>
          </w:p>
        </w:tc>
        <w:tc>
          <w:tcPr>
            <w:tcW w:w="3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65" w:type="dxa"/>
            <w:tcBorders/>
            <w:vAlign w:val="center"/>
          </w:tcPr>
          <w:p>
            <w:pPr>
              <w:pStyle w:val="TableContents"/>
              <w:bidi w:val="0"/>
              <w:spacing w:before="0" w:after="283"/>
              <w:jc w:val="left"/>
              <w:rPr>
                <w:sz w:val="4"/>
                <w:szCs w:val="4"/>
              </w:rPr>
            </w:pPr>
            <w:r>
              <w:rPr>
                <w:sz w:val="4"/>
                <w:szCs w:val="4"/>
              </w:rPr>
            </w:r>
          </w:p>
        </w:tc>
        <w:tc>
          <w:tcPr>
            <w:tcW w:w="2065" w:type="dxa"/>
            <w:tcBorders/>
            <w:vAlign w:val="center"/>
          </w:tcPr>
          <w:p>
            <w:pPr>
              <w:pStyle w:val="TableContents"/>
              <w:bidi w:val="0"/>
              <w:spacing w:before="0" w:after="283"/>
              <w:jc w:val="left"/>
              <w:rPr>
                <w:sz w:val="4"/>
                <w:szCs w:val="4"/>
              </w:rPr>
            </w:pPr>
            <w:r>
              <w:rPr>
                <w:sz w:val="4"/>
                <w:szCs w:val="4"/>
              </w:rPr>
            </w:r>
          </w:p>
        </w:tc>
        <w:tc>
          <w:tcPr>
            <w:tcW w:w="2920" w:type="dxa"/>
            <w:tcBorders/>
            <w:vAlign w:val="center"/>
          </w:tcPr>
          <w:p>
            <w:pPr>
              <w:pStyle w:val="TableContents"/>
              <w:bidi w:val="0"/>
              <w:spacing w:before="0" w:after="283"/>
              <w:jc w:val="left"/>
              <w:rPr>
                <w:sz w:val="4"/>
                <w:szCs w:val="4"/>
              </w:rPr>
            </w:pPr>
            <w:r>
              <w:rPr>
                <w:sz w:val="4"/>
                <w:szCs w:val="4"/>
              </w:rPr>
            </w:r>
          </w:p>
        </w:tc>
      </w:tr>
      <w:tr>
        <w:trPr/>
        <w:tc>
          <w:tcPr>
            <w:tcW w:w="1064" w:type="dxa"/>
            <w:gridSpan w:val="3"/>
            <w:tcBorders/>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u w:val="single"/>
              </w:rPr>
            </w:pPr>
            <w:r>
              <w:rPr>
                <w:rFonts w:ascii="Times New Roman;serif" w:hAnsi="Times New Roman;serif"/>
                <w:b w:val="false"/>
                <w:color w:val="000000"/>
                <w:sz w:val="20"/>
                <w:u w:val="single"/>
              </w:rPr>
              <w:t>Exhibit No.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50" w:type="dxa"/>
            <w:gridSpan w:val="3"/>
            <w:tcBorders/>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u w:val="single"/>
              </w:rPr>
            </w:pPr>
            <w:r>
              <w:rPr>
                <w:rFonts w:ascii="Times New Roman;serif" w:hAnsi="Times New Roman;serif"/>
                <w:b w:val="false"/>
                <w:color w:val="000000"/>
                <w:sz w:val="20"/>
                <w:u w:val="single"/>
              </w:rPr>
              <w:t>Description</w:t>
            </w:r>
          </w:p>
        </w:tc>
      </w:tr>
      <w:tr>
        <w:trPr/>
        <w:tc>
          <w:tcPr>
            <w:tcW w:w="1064" w:type="dxa"/>
            <w:gridSpan w:val="3"/>
            <w:tcBorders/>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104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50" w:type="dxa"/>
            <w:gridSpan w:val="3"/>
            <w:tcBorders/>
            <w:tcMar>
              <w:top w:w="0" w:type="dxa"/>
              <w:left w:w="0" w:type="dxa"/>
              <w:bottom w:w="0" w:type="dxa"/>
              <w:right w:w="0" w:type="dxa"/>
            </w:tcMar>
            <w:vAlign w:val="center"/>
          </w:tcPr>
          <w:p>
            <w:pPr>
              <w:pStyle w:val="TableContents"/>
              <w:bidi w:val="0"/>
              <w:spacing w:lineRule="auto" w:line="268" w:before="0" w:after="2"/>
              <w:jc w:val="left"/>
              <w:rPr>
                <w:rFonts w:ascii="Times New Roman;serif" w:hAnsi="Times New Roman;serif"/>
                <w:b w:val="false"/>
                <w:color w:val="000000"/>
                <w:sz w:val="20"/>
              </w:rPr>
            </w:pPr>
            <w:r>
              <w:rPr>
                <w:rFonts w:ascii="Times New Roman;serif" w:hAnsi="Times New Roman;serif"/>
                <w:b w:val="false"/>
                <w:color w:val="000000"/>
                <w:sz w:val="20"/>
              </w:rPr>
              <w:t>Cover Page with Interactive Data File (embedded within the Inline XBRL document).</w:t>
            </w:r>
          </w:p>
        </w:tc>
      </w:tr>
    </w:tbl>
    <w:p>
      <w:pPr>
        <w:pStyle w:val="TextBody"/>
        <w:bidi w:val="0"/>
        <w:spacing w:before="0" w:after="120"/>
        <w:jc w:val="left"/>
        <w:rPr/>
      </w:pPr>
      <w:r>
        <w:rPr/>
      </w:r>
    </w:p>
    <w:p>
      <w:pPr>
        <w:pStyle w:val="TextBody"/>
        <w:bidi w:val="0"/>
        <w:spacing w:before="0" w:after="12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75260"/>
                <wp:effectExtent l="0" t="0" r="0" b="0"/>
                <wp:wrapNone/>
                <wp:docPr id="2"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
                        <w:jc w:val="left"/>
                        <w:rPr/>
                      </w:pPr>
                      <w:r>
                        <w:rPr/>
                      </w:r>
                    </w:p>
                  </w:txbxContent>
                </v:textbox>
                <w10:wrap type="none"/>
              </v:rect>
            </w:pict>
          </mc:Fallback>
        </mc:AlternateContent>
      </w:r>
    </w:p>
    <w:p>
      <w:pPr>
        <w:pStyle w:val="TextBody"/>
        <w:bidi w:val="0"/>
        <w:spacing w:before="0" w:after="2"/>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SIGNATURE</w:t>
      </w:r>
    </w:p>
    <w:p>
      <w:pPr>
        <w:pStyle w:val="TextBody"/>
        <w:bidi w:val="0"/>
        <w:spacing w:before="0" w:after="0"/>
        <w:jc w:val="center"/>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Pursuant to the requirements of the Securities Exchange Act of 1934, as amended, the Registrant has duly caused this report to be signed on its behalf by the undersigned hereunto duly authorized on this 13th day of July, 2026.</w:t>
      </w:r>
    </w:p>
    <w:p>
      <w:pPr>
        <w:pStyle w:val="TextBody"/>
        <w:bidi w:val="0"/>
        <w:spacing w:before="0" w:after="0"/>
        <w:jc w:val="left"/>
        <w:rPr/>
      </w:pPr>
      <w:r>
        <w:rPr/>
      </w:r>
    </w:p>
    <w:p>
      <w:pPr>
        <w:pStyle w:val="TextBody"/>
        <w:bidi w:val="0"/>
        <w:spacing w:before="0" w:after="2"/>
        <w:jc w:val="left"/>
        <w:rPr/>
      </w:pPr>
      <w:r>
        <w:rPr/>
      </w:r>
    </w:p>
    <w:p>
      <w:pPr>
        <w:pStyle w:val="TextBody"/>
        <w:bidi w:val="0"/>
        <w:spacing w:before="0" w:after="2"/>
        <w:jc w:val="left"/>
        <w:rPr/>
      </w:pPr>
      <w:r>
        <w:rPr/>
      </w:r>
    </w:p>
    <w:tbl>
      <w:tblPr>
        <w:tblW w:w="2833" w:type="dxa"/>
        <w:jc w:val="right"/>
        <w:tblInd w:w="0" w:type="dxa"/>
        <w:tblLayout w:type="fixed"/>
        <w:tblCellMar>
          <w:top w:w="28" w:type="dxa"/>
          <w:left w:w="28" w:type="dxa"/>
          <w:bottom w:w="28" w:type="dxa"/>
          <w:right w:w="28" w:type="dxa"/>
        </w:tblCellMar>
      </w:tblPr>
      <w:tblGrid>
        <w:gridCol w:w="298"/>
        <w:gridCol w:w="263"/>
        <w:gridCol w:w="263"/>
        <w:gridCol w:w="587"/>
        <w:gridCol w:w="587"/>
        <w:gridCol w:w="835"/>
      </w:tblGrid>
      <w:tr>
        <w:trPr/>
        <w:tc>
          <w:tcPr>
            <w:tcW w:w="298"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587" w:type="dxa"/>
            <w:tcBorders/>
            <w:vAlign w:val="center"/>
          </w:tcPr>
          <w:p>
            <w:pPr>
              <w:pStyle w:val="TableContents"/>
              <w:bidi w:val="0"/>
              <w:spacing w:before="0" w:after="283"/>
              <w:jc w:val="left"/>
              <w:rPr>
                <w:sz w:val="4"/>
                <w:szCs w:val="4"/>
              </w:rPr>
            </w:pPr>
            <w:r>
              <w:rPr>
                <w:sz w:val="4"/>
                <w:szCs w:val="4"/>
              </w:rPr>
            </w:r>
          </w:p>
        </w:tc>
        <w:tc>
          <w:tcPr>
            <w:tcW w:w="587" w:type="dxa"/>
            <w:tcBorders/>
            <w:vAlign w:val="center"/>
          </w:tcPr>
          <w:p>
            <w:pPr>
              <w:pStyle w:val="TableContents"/>
              <w:bidi w:val="0"/>
              <w:spacing w:before="0" w:after="283"/>
              <w:jc w:val="left"/>
              <w:rPr>
                <w:sz w:val="4"/>
                <w:szCs w:val="4"/>
              </w:rPr>
            </w:pPr>
            <w:r>
              <w:rPr>
                <w:sz w:val="4"/>
                <w:szCs w:val="4"/>
              </w:rPr>
            </w:r>
          </w:p>
        </w:tc>
        <w:tc>
          <w:tcPr>
            <w:tcW w:w="835" w:type="dxa"/>
            <w:tcBorders/>
            <w:vAlign w:val="center"/>
          </w:tcPr>
          <w:p>
            <w:pPr>
              <w:pStyle w:val="TableContents"/>
              <w:bidi w:val="0"/>
              <w:spacing w:before="0" w:after="283"/>
              <w:jc w:val="left"/>
              <w:rPr>
                <w:sz w:val="4"/>
                <w:szCs w:val="4"/>
              </w:rPr>
            </w:pPr>
            <w:r>
              <w:rPr>
                <w:sz w:val="4"/>
                <w:szCs w:val="4"/>
              </w:rPr>
            </w:r>
          </w:p>
        </w:tc>
      </w:tr>
      <w:tr>
        <w:trPr/>
        <w:tc>
          <w:tcPr>
            <w:tcW w:w="2833" w:type="dxa"/>
            <w:gridSpan w:val="6"/>
            <w:tcBorders/>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color w:val="000000"/>
                <w:sz w:val="22"/>
              </w:rPr>
            </w:pPr>
            <w:r>
              <w:rPr>
                <w:rFonts w:ascii="Times New Roman;serif" w:hAnsi="Times New Roman;serif"/>
                <w:b/>
                <w:color w:val="000000"/>
                <w:sz w:val="22"/>
              </w:rPr>
              <w:t>ARHAUS, INC.</w:t>
            </w:r>
          </w:p>
        </w:tc>
      </w:tr>
      <w:tr>
        <w:trPr/>
        <w:tc>
          <w:tcPr>
            <w:tcW w:w="8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24"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2009" w:type="dxa"/>
            <w:gridSpan w:val="3"/>
            <w:tcBorders/>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/s/ Michael Lee</w:t>
            </w:r>
          </w:p>
        </w:tc>
      </w:tr>
      <w:tr>
        <w:trPr/>
        <w:tc>
          <w:tcPr>
            <w:tcW w:w="824"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Name:</w:t>
            </w:r>
          </w:p>
        </w:tc>
        <w:tc>
          <w:tcPr>
            <w:tcW w:w="200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Michael Lee</w:t>
            </w:r>
          </w:p>
        </w:tc>
      </w:tr>
      <w:tr>
        <w:trPr/>
        <w:tc>
          <w:tcPr>
            <w:tcW w:w="824"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Title:</w:t>
            </w:r>
          </w:p>
        </w:tc>
        <w:tc>
          <w:tcPr>
            <w:tcW w:w="2009" w:type="dxa"/>
            <w:gridSpan w:val="3"/>
            <w:tcBorders/>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Chief Financial Officer</w:t>
            </w:r>
          </w:p>
        </w:tc>
      </w:tr>
    </w:tbl>
    <w:p>
      <w:pPr>
        <w:pStyle w:val="TextBody"/>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75260"/>
                <wp:effectExtent l="0" t="0" r="0" b="0"/>
                <wp:wrapNone/>
                <wp:docPr id="3" name="Frame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759</Words>
  <Characters>4186</Characters>
  <CharactersWithSpaces>4886</CharactersWithSpaces>
  <Paragraphs>69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