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459340.xml.htm"/>
      <w:bookmarkStart w:id="1" w:name="kswkform4_17764593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Sutley Allison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ARHAUS,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E. HINES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 HEIGHTS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44236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Arhaus, Inc.</w:t>
              </w:r>
            </w:hyperlink>
            <w:r>
              <w:rPr/>
              <w:t xml:space="preserve"> [ </w:t>
            </w:r>
            <w:r>
              <w:rPr>
                <w:rFonts w:ascii="Times;serif" w:hAnsi="Times;serif"/>
                <w:color w:val="0000FF"/>
                <w:sz w:val="24"/>
                <w:shd w:fill="FFFFFF" w:val="clear"/>
              </w:rPr>
              <w:t>ARHS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Information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36,166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36,166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36,166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36,166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Share Unit ("PSU") represents a contingent right to receive one share of Class A Common Stock, subject to the achievement of applicable performance criteria over a three-year performance period beginning January 1, 2026 and ending on December 31, 2028. The target number of PSUs is reported in Column 5. The number of shares to be earned and issued may be 0%-200% of the target number of PSUs depending on actual performance.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continuous employment with the Issuer, the PSUs granted vest on December 31, 2028, but the PSUs will not settle and payout until the number of PSUs earned is determined by the Issuer's Compensation Committee based on the Company's achievement of performance goals.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share of Class A Common Stock, subject to the Reporting Person's continuous service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the Reporting Person's continuous service to the Issuer, the RSUs vest pro rata on the first, second, and third anniversaries of the transaction date (April 15,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Sedor,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5125" TargetMode="External"/><Relationship Id="rId5" Type="http://schemas.openxmlformats.org/officeDocument/2006/relationships/hyperlink" Target="http://www.sec.gov/cgi-bin/browse-edgar?action=getcompany&amp;CIK=00018754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4126</Characters>
  <CharactersWithSpaces>4819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