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60" w:right="1900" w:hanging="534"/>
        <w:spacing w:after="0" w:line="278" w:lineRule="auto"/>
        <w:tabs>
          <w:tab w:leader="none" w:pos="56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 w:lineRule="exact"/>
        <w:rPr>
          <w:sz w:val="24"/>
          <w:szCs w:val="24"/>
          <w:color w:val="auto"/>
        </w:rPr>
      </w:pPr>
    </w:p>
    <w:p>
      <w:pPr>
        <w:ind w:left="20"/>
        <w:spacing w:after="0" w:line="221" w:lineRule="exact"/>
        <w:rPr>
          <w:sz w:val="20"/>
          <w:szCs w:val="20"/>
          <w:color w:val="auto"/>
        </w:rPr>
      </w:pPr>
      <w:r>
        <w:rPr>
          <w:rFonts w:ascii="MS PGothic" w:cs="MS PGothic" w:eastAsia="MS PGothic" w:hAnsi="MS PGothic"/>
          <w:sz w:val="22"/>
          <w:szCs w:val="22"/>
          <w:color w:val="auto"/>
        </w:rPr>
        <w:t>☐</w:t>
      </w:r>
    </w:p>
    <w:p>
      <w:pPr>
        <w:spacing w:after="0" w:line="7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9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8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Arhaus,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60"/>
          </w:cols>
          <w:pgMar w:left="320" w:top="1402" w:right="319" w:bottom="1440" w:gutter="0" w:footer="0" w:header="0"/>
        </w:sectPr>
      </w:pPr>
    </w:p>
    <w:p>
      <w:pPr>
        <w:spacing w:after="0" w:line="216"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87-1729256</w:t>
      </w:r>
    </w:p>
    <w:p>
      <w:pPr>
        <w:spacing w:after="0" w:line="54" w:lineRule="exact"/>
        <w:rPr>
          <w:sz w:val="24"/>
          <w:szCs w:val="24"/>
          <w:color w:val="auto"/>
        </w:rPr>
      </w:pPr>
    </w:p>
    <w:p>
      <w:pPr>
        <w:sectPr>
          <w:pgSz w:w="11900" w:h="16838" w:orient="portrait"/>
          <w:cols w:equalWidth="0" w:num="2">
            <w:col w:w="7500" w:space="720"/>
            <w:col w:w="3040"/>
          </w:cols>
          <w:pgMar w:left="320" w:top="1402" w:right="3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40" w:space="720"/>
            <w:col w:w="3900"/>
          </w:cols>
          <w:pgMar w:left="320" w:top="1402" w:right="319" w:bottom="1440" w:gutter="0" w:footer="0" w:header="0"/>
          <w:type w:val="continuous"/>
        </w:sectPr>
      </w:pPr>
    </w:p>
    <w:p>
      <w:pPr>
        <w:spacing w:after="0" w:line="1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44236</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(440) 439-7700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ARHS</w:t>
            </w:r>
          </w:p>
        </w:tc>
        <w:tc>
          <w:tcPr>
            <w:tcW w:w="49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480"/>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r>
        <w:trPr>
          <w:trHeight w:val="64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bl>
    <w:p>
      <w:pPr>
        <w:spacing w:after="0" w:line="22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type w:val="continuous"/>
        </w:sectPr>
      </w:pPr>
    </w:p>
    <w:bookmarkStart w:id="1" w:name="page2"/>
    <w:bookmarkEnd w:id="1"/>
    <w:p>
      <w:pPr>
        <w:ind w:right="1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0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Large accelerated filer</w:t>
            </w:r>
          </w:p>
        </w:tc>
        <w:tc>
          <w:tcPr>
            <w:tcW w:w="6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1"/>
                <w:szCs w:val="21"/>
                <w:color w:val="auto"/>
              </w:rPr>
            </w:pPr>
          </w:p>
        </w:tc>
        <w:tc>
          <w:tcPr>
            <w:tcW w:w="63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3020" w:type="dxa"/>
            <w:vAlign w:val="bottom"/>
          </w:tcPr>
          <w:p>
            <w:pPr>
              <w:jc w:val="center"/>
              <w:ind w:right="1330"/>
              <w:spacing w:after="0" w:line="181" w:lineRule="exact"/>
              <w:rPr>
                <w:sz w:val="20"/>
                <w:szCs w:val="20"/>
                <w:color w:val="auto"/>
              </w:rPr>
            </w:pPr>
            <w:r>
              <w:rPr>
                <w:rFonts w:ascii="Times New Roman" w:cs="Times New Roman" w:eastAsia="Times New Roman" w:hAnsi="Times New Roman"/>
                <w:sz w:val="18"/>
                <w:szCs w:val="18"/>
                <w:color w:val="auto"/>
                <w:w w:val="99"/>
              </w:rPr>
              <w:t>Non-accelerated filer</w:t>
            </w:r>
          </w:p>
        </w:tc>
        <w:tc>
          <w:tcPr>
            <w:tcW w:w="6360" w:type="dxa"/>
            <w:vAlign w:val="bottom"/>
          </w:tcPr>
          <w:p>
            <w:pPr>
              <w:ind w:left="2760"/>
              <w:spacing w:after="0" w:line="181" w:lineRule="exact"/>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1"/>
                <w:szCs w:val="21"/>
                <w:color w:val="auto"/>
              </w:rPr>
            </w:pPr>
          </w:p>
        </w:tc>
        <w:tc>
          <w:tcPr>
            <w:tcW w:w="63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6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closing sales price as reported on The Nasdaq Global Select Market on June 30, 2023, the aggregate market value of the registrant's common stock held by non-affiliates of the registrant on that date was approximately $211.9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the registrant had 53,169,711 shares of Class A common stock and 87,115,600 shares of Class B common stock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Portions of the registrant’s Proxy Statement for the Annual Meeting of Stockholders to be held May 16, 2024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92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9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Changes in Stockholders’/Members’ Equity (Deficit)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29"/>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30"/>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29"/>
        </w:trPr>
        <w:tc>
          <w:tcPr>
            <w:tcW w:w="920" w:type="dxa"/>
            <w:vAlign w:val="bottom"/>
          </w:tcPr>
          <w:p>
            <w:pPr>
              <w:spacing w:after="0"/>
              <w:rPr>
                <w:sz w:val="19"/>
                <w:szCs w:val="19"/>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r>
        <w:trPr>
          <w:trHeight w:val="230"/>
        </w:trPr>
        <w:tc>
          <w:tcPr>
            <w:tcW w:w="920" w:type="dxa"/>
            <w:vAlign w:val="bottom"/>
          </w:tcPr>
          <w:p>
            <w:pPr>
              <w:spacing w:after="0"/>
              <w:rPr>
                <w:sz w:val="19"/>
                <w:szCs w:val="19"/>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5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included elsewhere in this 10-K. This Annual Report on Form 10-K (the “Annual Report” or “10-K”)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5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maintain the growth rate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quality merchandise in sufficient quantities;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including delays in the integration of our distribution centers and the possibility that we may not realize the anticipated benefits of multiple distribution centers;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constraints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vendors to meet our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consumer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maintaining and increasing Showroom traffic and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eCommerce business and digital marketing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transportation carriers and risks associated with freight and transportation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 rules and regulations as a public reporting company.</w:t>
      </w:r>
    </w:p>
    <w:p>
      <w:pPr>
        <w:spacing w:after="0" w:line="16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risks, uncertainties and assumptions referred to above that could cause our results to differ materially from the results expressed or implied by such forward-looking statements include, but are not limited to, those discussed under </w:t>
      </w:r>
      <w:r>
        <w:rPr>
          <w:rFonts w:ascii="Times New Roman" w:cs="Times New Roman" w:eastAsia="Times New Roman" w:hAnsi="Times New Roman"/>
          <w:sz w:val="18"/>
          <w:szCs w:val="18"/>
          <w:i w:val="1"/>
          <w:iCs w:val="1"/>
          <w:color w:val="auto"/>
        </w:rPr>
        <w:t>Item 1A. Risk Factors, 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 elsewhere in this Annual Report. All forward-looking statements included in this document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information available to us as of the date hereof, and we assume no obligation to update these forward-looking statements. These statements are based on information available to us as of the date of this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including this cautionary note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for any other reason.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1986 by John Reed, our current Chief Executive Officer (“CEO”) and his father, Arhaus, Inc. (“Arhaus,” “Company,” “we,” “us” or “our”) is a rapidly growing lifestyle brand and omni-channel retailer of premium home furnishings. We were founded on a simple idea: furniture should be responsibly sourced, lovingly made and built to last. Today, we partner with artisans around the world who share our vision, creating beautiful, premium and heirloom-quality home furnishings that clients can use for generations. On November 4, 2021, the Company completed its initial public offering (“IPO”) of its Class A common stock, which is traded on the Nasdaq Global Select Market (the “Nasdaq”) under the symbol “ARHS.”</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vertical model, consisting of our design and product development teams, upholstery manufacturing capabilities, direct vendor sourcing, and direct-to-consumer selling, allows us to offer a differentiated approach to furniture and décor. We offer merchandise in a number of categories, including furniture, outdoor, lighting, textiles, and décor. Our curated assortments are presented across our merchandise sales channels in sophisticated, family friendly and unique lifestyle settings.</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third-party reports and publicly available data, we estimate the U.S. premium home furnishing market is approximately $100 billion, with the potential to grow at a compounded annual growth rate, or CAGR, of approximately 6% between 2022 and 2025. This attractive market is highly fragmented, served by many small independent furniture stores, which favorably positions us to grow profitably and gain market share. We believe we are well positioned within this market due to our unique approach, momentum, scale and growth strategies.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designed to be used and enjoyed throughout the home and are sourced directly from a network of more than 400 vendors with no wholesale or dealer markup. Our product development teams work alongside our direct sourcing partners to bring to market proprietary merchandise that is a great value to clients. These relationships, along with our vertical model, allow us to provide higher quality products at more competitive prices than both smaller independent operators and larger competitors.</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Showrooms are highly inspirational and function as an invaluable brand awareness vehicle, while our eCommerce platform acts as a virtual extension of our Showrooms.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2023, we operated 92 Showrooms in 29 states, consisting of 80 Traditional Showrooms, 8 Design Studios and 4 Outlets.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witnessed strong performance over the last three years. Net revenue was $1,287.7 million, $1,228.9 million, and $796.9 million for the years ended December 31, 2023, 2022 and 2021, respectively. Demand comparable growth was 7.6%, 13.8%, and 45.3% in the years ended December 31, 2023, 2022 and 2021, respectively. Comparable growth was 1.4%, 51.6% and 51.0% in the years ended December 31, 2023, 2022 and 2021, respectively. Our long-standing direct sourcing partnerships were a significant contributor to our success, as many of our vendors increased capacity to help facilitate our net revenue growth. We benefited from these important, long-term relationships as our vendors worked with us to help meet the unprecedented increase in client demand and significant backlog that we experienced in recent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Differentiated Concept Delivering Livable Luxury</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a differentiated concept, redefining the premium home furnishing market by offering an attractive combination of design, quality, value and convenience. Artisan-crafted and globally curated, our products are highly differentiated from both small and large competitors. We create merchandise that offers livable luxury style with elements of durability and practicality. We serve our clients through our Showrooms, eCommerce platform, print and digital media and high-quality client service. In a market characterized by small, independent competitors, we believe our premium lifestyle positioning, artisan-crafted style, superior quality, significant scale and level of convenience will enable us to increase our market share.</w:t>
      </w: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Highly Experiential Omni-Channel Approach</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offer our products to our clients via our omni-channel approach and operate our business in a channel agnostic way. Leveraging our proprietary data and technology, we are able to meet our clients wherever they want to shop, whether online or in one of our 92 Showrooms. Our product development and omni-channel go-to-market capabilities, together with our infrastructure and significant scale, enable us to offer a compelling combination of design, quality and value that we believe provides an unmatched experience.</w:t>
      </w:r>
    </w:p>
    <w:p>
      <w:pPr>
        <w:spacing w:after="0" w:line="135" w:lineRule="exact"/>
        <w:rPr>
          <w:sz w:val="20"/>
          <w:szCs w:val="20"/>
          <w:color w:val="auto"/>
        </w:rPr>
      </w:pPr>
    </w:p>
    <w:p>
      <w:pPr>
        <w:ind w:left="660" w:right="380"/>
        <w:spacing w:after="0" w:line="268" w:lineRule="auto"/>
        <w:rPr>
          <w:sz w:val="20"/>
          <w:szCs w:val="20"/>
          <w:color w:val="auto"/>
        </w:rPr>
      </w:pPr>
      <w:r>
        <w:rPr>
          <w:rFonts w:ascii="Times New Roman" w:cs="Times New Roman" w:eastAsia="Times New Roman" w:hAnsi="Times New Roman"/>
          <w:sz w:val="18"/>
          <w:szCs w:val="18"/>
          <w:b w:val="1"/>
          <w:bCs w:val="1"/>
          <w:color w:val="auto"/>
        </w:rPr>
        <w:t>Showrooms</w:t>
      </w:r>
      <w:r>
        <w:rPr>
          <w:rFonts w:ascii="Times New Roman" w:cs="Times New Roman" w:eastAsia="Times New Roman" w:hAnsi="Times New Roman"/>
          <w:sz w:val="18"/>
          <w:szCs w:val="18"/>
          <w:color w:val="auto"/>
        </w:rPr>
        <w:t>. Our theater-like Showrooms act as an exceptionally strong brand-building tool and drive significant traffic. Our Traditional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Showrooms average approximately 16,000 square feet. Our smaller format Design Studios, which are located in areas such as affluent second home markets where a lower square footage format is preferred, average approximately 5,000 square feet.</w:t>
      </w:r>
    </w:p>
    <w:p>
      <w:pPr>
        <w:spacing w:after="0" w:line="130" w:lineRule="exact"/>
        <w:rPr>
          <w:sz w:val="20"/>
          <w:szCs w:val="20"/>
          <w:color w:val="auto"/>
        </w:rPr>
      </w:pPr>
    </w:p>
    <w:p>
      <w:pPr>
        <w:ind w:left="660" w:right="140"/>
        <w:spacing w:after="0" w:line="262"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 Our online capabilities are an important entry point into our ecosystem, providing our clients with research and discovery tools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allowing them to begin or complete transactions online. Our online design service professionals and virtual tools complement our eCommerce platform by engaging clients and providing them with expert design advice and capabilities. Driven by investment in our digital platform, we believe we can increase our eCommerce penetration over time.</w:t>
      </w:r>
    </w:p>
    <w:p>
      <w:pPr>
        <w:spacing w:after="0" w:line="149"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Print and Digital Media</w:t>
      </w:r>
      <w:r>
        <w:rPr>
          <w:rFonts w:ascii="Times New Roman" w:cs="Times New Roman" w:eastAsia="Times New Roman" w:hAnsi="Times New Roman"/>
          <w:sz w:val="18"/>
          <w:szCs w:val="18"/>
          <w:color w:val="auto"/>
        </w:rPr>
        <w:t>. We distribute two large catalogs each year, a spring and a fall edition, in both an online and physical format to millions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households, which have yielded strong results. We also distribute catalogs for specific categories such as outdoor furnishings, special collections and certain holidays. In addition, we advertise consistently across digital platforms and regularly partner with social media influencers to drive brand awareness. Our print and digital media strategy drives both Showroom and eCommerce net revenue as it raises brand awareness and showcases new merchandise.</w:t>
      </w:r>
    </w:p>
    <w:p>
      <w:pPr>
        <w:spacing w:after="0" w:line="139" w:lineRule="exact"/>
        <w:rPr>
          <w:sz w:val="20"/>
          <w:szCs w:val="20"/>
          <w:color w:val="auto"/>
        </w:rPr>
      </w:pPr>
    </w:p>
    <w:p>
      <w:pPr>
        <w:ind w:left="660" w:right="180"/>
        <w:spacing w:after="0" w:line="262" w:lineRule="auto"/>
        <w:rPr>
          <w:sz w:val="20"/>
          <w:szCs w:val="20"/>
          <w:color w:val="auto"/>
        </w:rPr>
      </w:pPr>
      <w:r>
        <w:rPr>
          <w:rFonts w:ascii="Times New Roman" w:cs="Times New Roman" w:eastAsia="Times New Roman" w:hAnsi="Times New Roman"/>
          <w:sz w:val="18"/>
          <w:szCs w:val="18"/>
          <w:b w:val="1"/>
          <w:bCs w:val="1"/>
          <w:color w:val="auto"/>
        </w:rPr>
        <w:t>In-home Designer Services</w:t>
      </w:r>
      <w:r>
        <w:rPr>
          <w:rFonts w:ascii="Times New Roman" w:cs="Times New Roman" w:eastAsia="Times New Roman" w:hAnsi="Times New Roman"/>
          <w:sz w:val="18"/>
          <w:szCs w:val="18"/>
          <w:color w:val="auto"/>
        </w:rPr>
        <w:t>. We welcome all clients to use our complimentary in-home designer services with no appointment required. Our in-home designers, who work with clients in the Showroom and travel to our clients’ residences, work in unison with our Showrooms and eCommerce platform to drive client conversion, order size and overall experience. In-home designer services provide a more personalized client experience and produce average order values (AOVs) over four times that of a standard order.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Direct Global Sourcing Relationships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based on net revenue in 2023, can only be purchased from Arhaus. Coupled with our direct global sourcing network, we maintain highly adept in-house product design and development experts that partner with our vendors to innovate and create highly customized offerings. For more information on our Global Sourcing and Product Development see the “Our Products, Sourcing and Product Development” section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and Consistent Unit Economics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inspirational, theater-like Showrooms have generated robust unit-level financial results, strong free cash flow and attractive, rapid returns on our investment.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Further, our seamless omni-channel experience contributes significant uplift in our markets.</w:t>
      </w: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is a significant opportunity to drive sustainable growth and profitability by executing on the following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Brand Awareness to Drive Net Revenue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will continue to increase our brand awareness through an omni-channel approach which includes the growth of our Showroom footprint, enhanced digital marketing, improvement in website features and analytics and continued product assortment optimization:</w:t>
      </w:r>
    </w:p>
    <w:p>
      <w:pPr>
        <w:spacing w:after="0" w:line="131" w:lineRule="exact"/>
        <w:rPr>
          <w:sz w:val="20"/>
          <w:szCs w:val="20"/>
          <w:color w:val="auto"/>
        </w:rPr>
      </w:pPr>
    </w:p>
    <w:p>
      <w:pPr>
        <w:ind w:left="66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Showroom Footprint. </w:t>
      </w:r>
      <w:r>
        <w:rPr>
          <w:rFonts w:ascii="Times New Roman" w:cs="Times New Roman" w:eastAsia="Times New Roman" w:hAnsi="Times New Roman"/>
          <w:sz w:val="18"/>
          <w:szCs w:val="18"/>
          <w:color w:val="auto"/>
        </w:rPr>
        <w:t>Our Showrooms are a key component of our brand. We believe the expansion of our Showroom footprint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more clients the opportunity to experience our inspirational and premium lifestyle concept, increasing brand awareness and driving net revenue.</w:t>
      </w:r>
    </w:p>
    <w:p>
      <w:pPr>
        <w:spacing w:after="0" w:line="130"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Enhance Digital Marketing Capabilities. </w:t>
      </w:r>
      <w:r>
        <w:rPr>
          <w:rFonts w:ascii="Times New Roman" w:cs="Times New Roman" w:eastAsia="Times New Roman" w:hAnsi="Times New Roman"/>
          <w:sz w:val="18"/>
          <w:szCs w:val="18"/>
          <w:color w:val="auto"/>
        </w:rPr>
        <w:t>Digital advertising, search, on-site offerings, and social media engagement are important branding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vehicles. Using these engagement methods within our omni-channel model contributes significantly to our brand awareness. We believe that continued investment in brand marketing, data-led insights and effective consumer targeting will expand and strengthen our client reach.</w:t>
      </w:r>
    </w:p>
    <w:p>
      <w:pPr>
        <w:spacing w:after="0" w:line="136" w:lineRule="exact"/>
        <w:rPr>
          <w:sz w:val="20"/>
          <w:szCs w:val="20"/>
          <w:color w:val="auto"/>
        </w:rPr>
      </w:pPr>
    </w:p>
    <w:p>
      <w:pPr>
        <w:ind w:left="66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 eCommerce Platform. </w:t>
      </w:r>
      <w:r>
        <w:rPr>
          <w:rFonts w:ascii="Times New Roman" w:cs="Times New Roman" w:eastAsia="Times New Roman" w:hAnsi="Times New Roman"/>
          <w:sz w:val="18"/>
          <w:szCs w:val="18"/>
          <w:color w:val="auto"/>
        </w:rPr>
        <w:t>eCommerce represents our fastest growing channel, with net revenue increasing by approximately 17%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2022. We believe recent growth is related to our successful website re-launch in late 2021, our enhanced marketing efforts, attractive product assortment and improving brand awareness. Our eCommerce platform enables our clients to shop anywhere at any time and begin or complete transactions online. Our new website creates a more interactive process through the use of virtual shopping tools that allow clients to visualize our products in their homes.</w:t>
      </w:r>
    </w:p>
    <w:p>
      <w:pPr>
        <w:spacing w:after="0" w:line="152"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Optimize Product Assortment. </w:t>
      </w:r>
      <w:r>
        <w:rPr>
          <w:rFonts w:ascii="Times New Roman" w:cs="Times New Roman" w:eastAsia="Times New Roman" w:hAnsi="Times New Roman"/>
          <w:sz w:val="18"/>
          <w:szCs w:val="18"/>
          <w:color w:val="auto"/>
        </w:rPr>
        <w:t>We continue building our product assortment to attract new clients and encourage repeat purchases from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clients. On an ongoing basis, we expand the product portfolio to address a breadth of lifestyles, home types and rooms within the home through new designs, materials, fabrics and colors to capture constantly evolving trends and client preferences.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Showroom Base and Capture Market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Showroom presence in all four major geographic regions, and our top 10 Showrooms by net revenue are located in 9 different states. We have a significant whitespace opportunity both in existing and new markets. We believe we can support over 165 Traditional Showrooms in the United States. Our long-term plan anticipates opening five to seven new Traditional Showrooms plus incremental Design Studios, per year for the foreseeable future.</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employ a data-driven, thorough process to select and develop new Showroom locations. In selecting new locations, we evaluate data on specific market characteristics, demographics, client penetration and growth, along with considering the brand impact and opportunity of specific sites. In addition to our current Traditional Showroom model, our Design Studio format (approximately 5,000 sq. ft.) is an extension of our in-home design services and carries a highly curated product selection in smaller, attractive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Omni-Channel Capabilities and Technology to Drive Growth</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several initiatives that continue to enhance our omni-channel capabilities. Our approach begins in our visually captivating, theater-like Showrooms. Our Showrooms drive brand awareness and create meaningful marketing buzz and volume uplift when we open in new markets. Our unit growth strategy is highly complementary to our eCommerce platform. As Showrooms open in new markets, we experience significant growth in our eCommerce business and overall client engagement across channels.</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Clients increasingly engage with us through digital methods including our website and social media. To capitalize on these trends and continue increasing our client base, we continue to leverage data analytics to improve the client journey from the moment clients begin browsing online or enter our Showrooms. This will allow us to target clients with personalized digital offerings to increase online conversion and client lifetime value.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further strengthen client engagement and increase client interactions, we continue to expand our designer programs, both in-home and online. Similar in concept to our in-home designer program, our online designer platform provides clients with expert</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7" w:name="page8"/>
    <w:bookmarkEnd w:id="7"/>
    <w:p>
      <w:pPr>
        <w:ind w:right="240"/>
        <w:spacing w:after="0" w:line="282" w:lineRule="auto"/>
        <w:rPr>
          <w:sz w:val="20"/>
          <w:szCs w:val="20"/>
          <w:color w:val="auto"/>
        </w:rPr>
      </w:pPr>
      <w:r>
        <w:rPr>
          <w:rFonts w:ascii="Times New Roman" w:cs="Times New Roman" w:eastAsia="Times New Roman" w:hAnsi="Times New Roman"/>
          <w:sz w:val="18"/>
          <w:szCs w:val="18"/>
          <w:color w:val="auto"/>
        </w:rPr>
        <w:t>service and advice from our design professionals via online video chat and virtual design capabilities. We believe bolstering this component of the client experience will drive higher client satisfaction and result in larger total company AOV over time.</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Design Studio format, which also leverages these state-of-the-art tools, has experienced positive client receptivity, with the new format outperforming our expectations. We see tremendous growth potential across our omni-channel platform by increasing our ability to make data-driven decisions and maintaining a comprehensive focus on the client journey. We will continue to innovate and invest in value-added digital and technological capabilities across our omni-channel footprint.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Growth to Build Scale and Enhance Margins</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have the opportunity to further drive net revenue and enhance operating margins by continuing to focus on our operating efficiency, including distribution and manufacturing capacity.</w:t>
      </w:r>
    </w:p>
    <w:p>
      <w:pPr>
        <w:spacing w:after="0" w:line="131"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Enhanced Distribution Efficiency and Capacity. </w:t>
      </w:r>
      <w:r>
        <w:rPr>
          <w:rFonts w:ascii="Times New Roman" w:cs="Times New Roman" w:eastAsia="Times New Roman" w:hAnsi="Times New Roman"/>
          <w:sz w:val="18"/>
          <w:szCs w:val="18"/>
          <w:color w:val="auto"/>
        </w:rPr>
        <w:t>We have made, and will continue to make, investments in our infrastructure including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network, IT capabilities and geographic footprint to improve operational efficiency and ready our platform for the next stage of growth. Our existing distribution center and corporate office in Ohio was expanded by approximately 229,500 square feet in 2022. Our North Carolina facility opened in December 2021 and has approximately 307,000 square feet of distribution capacity. Furthermore, our Texas distribution center, opened in July 2022 and has approximately 800,700 square feet. The additional distribution centers will continue to streamline shipping times and further support our growing footprint and resulting demand.</w:t>
      </w:r>
    </w:p>
    <w:p>
      <w:pPr>
        <w:spacing w:after="0" w:line="142" w:lineRule="exact"/>
        <w:rPr>
          <w:sz w:val="20"/>
          <w:szCs w:val="20"/>
          <w:color w:val="auto"/>
        </w:rPr>
      </w:pPr>
    </w:p>
    <w:p>
      <w:pPr>
        <w:ind w:left="66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Increasing Domestic Manufacturing Capacity. </w:t>
      </w:r>
      <w:r>
        <w:rPr>
          <w:rFonts w:ascii="Times New Roman" w:cs="Times New Roman" w:eastAsia="Times New Roman" w:hAnsi="Times New Roman"/>
          <w:sz w:val="18"/>
          <w:szCs w:val="18"/>
          <w:color w:val="auto"/>
        </w:rPr>
        <w:t>Our North Carolina facility doubled our in-house upholstery manufacturing capacity, improved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production efficiency and increased production square footage from 150,000 to 190,000.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operate within the approximately $400 billion U.S. home furnishings and décor market. We primarily compete in the large, growing and highly fragmented premium segment of this market, which we estimate accounts for approximately $100 billion of the total market based on third-party estimates of retail sales in 2022, publicly available industry data and our internal research. We believe that the premium segment has a potential CAGR of approximately 6% between 2022 and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Sourcing and Product Development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lifestyle brand and omni-channel retailer of premium home furnishings focused on providing livable luxury to clients. Our unique concept is dedicated to bringing clients heirloom quality, artisan-made furniture and décor. We travel the globe gathering inspiration for and curating our collection, as well as selecting vendors that provide quality materials and artisan craftsmanship. We have longstanding relationships with our vendors which allow us a number of competitive advantages, including the ability to maintain consistent quality and ensure the majority of our products, approximately 95% based on net revenue in 2023, can only be purchased from Arhaus. We offer a wide range of product categories designed to be used and enjoyed throughout the home, including furniture, outdoor, lighting, textiles, and décor.</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furniture product offerings are comprised of bedroom, dining room, living room and home office furnishings and include sofas, dining tables and chairs, accent chairs, console and coffee tables, beds, headboards, dressers, desks, bookcases and modular storage, among many more items. Our outdoor product offerings include outdoor dining tables, chairs, chaises and other furniture, lighting, textiles, décor, umbrellas and fire pits. Our lighting product offerings consist of a variety of distinct and artistic lighting fixtures, including chandeliers, pendants, table and floor lamps, and sconces. Our textile product offerings include handcrafted indoor and outdoor rugs, bed linens, and pillows and throws. Décor ranges from wall art to mirrors, vases to candles, and many other decorative accessories.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products are conceived of, and developed by, our in-house design team of over 50 highly skilled and experienced members. We have and will continue to significantly invest in our product development capabilities, including key strategic hires made over the past few years. We believe these investments will allow us to enhance our competitive advantages of offering clients premium quality and customized product at a compelling value and ultimately drive net revenue growth.</w:t>
      </w:r>
    </w:p>
    <w:p>
      <w:pPr>
        <w:spacing w:after="0" w:line="1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sourcing strategy focuses on identifying and working with vendors, both in-house and external, who share our vision for creating heirloom-quality products with artisan craftsmanship. We seek to ensure the quality of our vendors’ products through periodic site visits, audits and inspections. We source these products directly, with no wholesale or dealer markup. This allows us to offer an exclusive assortment of products to our clients at an attractive value.</w:t>
      </w:r>
    </w:p>
    <w:p>
      <w:pPr>
        <w:spacing w:after="0" w:line="200" w:lineRule="exact"/>
        <w:rPr>
          <w:sz w:val="20"/>
          <w:szCs w:val="20"/>
          <w:color w:val="auto"/>
        </w:rPr>
      </w:pPr>
    </w:p>
    <w:p>
      <w:pPr>
        <w:spacing w:after="0" w:line="3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We have a diversified base of over 400 vendors, and our top 10 vendors represent approximately 60% of our net revenue. Only one of our vendors accounts for more than 10% of our net revenue, and one other vendor accounts for more than 5% of net revenue. In 2023, approximately 40% of our net revenues and products were produced or sourced from vendors located in North America.</w:t>
      </w:r>
    </w:p>
    <w:p>
      <w:pPr>
        <w:spacing w:after="0" w:line="1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product design and development, we have upholstery manufacturing capabilities which allow us to create intricate, high quality products at attractive prices and margins. Our ability to innovate, curate products, categories, and services, then rapidly scale across our omni-channel infrastructure is a powerful platform for continued long-term growth. Our vertical model and direct sourcing furnish clients with superior quality products and compelling value at attractive profit margins. We reported gross margin as a percent of net revenue of 42.0%, 42.7% and 41.4% for the years ended December 31, 2023, 2022 and 2021,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Approach</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distribute our products through an omni-channel model, and our clients can purchase our products in our Showrooms, through our eCommerce platform, via print and digital media and by utilizing our in-home designer services. Our retail locations are Showrooms for our brand, and our website acts as a virtual extension of our Showrooms. Our omni-channel model allows clients to begin or end their shopping experience online while also experiencing our theater-like Showrooms throughout the shopping process. We believe our omni-channel approach enables us to offer a compelling combination of design, quality and value.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2023, we operated 92 Showrooms in 29 states. Our Showroom composition includes 80 Traditional Showrooms, 8 Design Studios and 4 Outlets. Our Traditional Showrooms average approximately 16,000 square feet and our smaller format Design Studios average approximately 5,000 square feet. Our theater-like Showrooms are highly inspirational and function as an invaluable brand awareness vehicle. Our Showrooms convey our carefully curated, livable luxury concept in a tangible format designed to showcase product in fully appointed rooms and to help clients reimagine their homes. Each Showroom may vary in product display and design elements depending on regional factors influencing client design preferences. Our Showroom layouts are constantly updated as our highly trained and creative visual managers determine new ways to optimize and maximize the appeal and inspirational nature of our Showrooms. Our sales associates earn commissions, which can comprise a significant portion of their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number of Showrooms in each U.S. state where we operate as of December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Showrooms</w:t>
            </w:r>
          </w:p>
        </w:tc>
        <w:tc>
          <w:tcPr>
            <w:tcW w:w="8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Locations</w:t>
            </w:r>
          </w:p>
        </w:tc>
        <w:tc>
          <w:tcPr>
            <w:tcW w:w="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Showrooms</w:t>
            </w:r>
          </w:p>
        </w:tc>
        <w:tc>
          <w:tcPr>
            <w:tcW w:w="1320" w:type="dxa"/>
            <w:vAlign w:val="bottom"/>
          </w:tcPr>
          <w:p>
            <w:pPr>
              <w:spacing w:after="0"/>
              <w:rPr>
                <w:sz w:val="20"/>
                <w:szCs w:val="20"/>
                <w:color w:val="auto"/>
              </w:rPr>
            </w:pPr>
          </w:p>
        </w:tc>
      </w:tr>
      <w:tr>
        <w:trPr>
          <w:trHeight w:val="250"/>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Alabama</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Minnesota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1"/>
                <w:szCs w:val="21"/>
                <w:color w:val="auto"/>
              </w:rPr>
            </w:pPr>
          </w:p>
        </w:tc>
      </w:tr>
      <w:tr>
        <w:trPr>
          <w:trHeight w:val="257"/>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Missouri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6"/>
        </w:trPr>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California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New Hampshire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New Jersey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320" w:type="dxa"/>
            <w:vAlign w:val="bottom"/>
          </w:tcPr>
          <w:p>
            <w:pPr>
              <w:spacing w:after="0"/>
              <w:rPr>
                <w:sz w:val="22"/>
                <w:szCs w:val="22"/>
                <w:color w:val="auto"/>
              </w:rPr>
            </w:pPr>
          </w:p>
        </w:tc>
      </w:tr>
      <w:tr>
        <w:trPr>
          <w:trHeight w:val="256"/>
        </w:trPr>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Connecticut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New York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Florida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North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20" w:type="dxa"/>
            <w:vAlign w:val="bottom"/>
          </w:tcPr>
          <w:p>
            <w:pPr>
              <w:spacing w:after="0"/>
              <w:rPr>
                <w:sz w:val="22"/>
                <w:szCs w:val="22"/>
                <w:color w:val="auto"/>
              </w:rPr>
            </w:pPr>
          </w:p>
        </w:tc>
      </w:tr>
      <w:tr>
        <w:trPr>
          <w:trHeight w:val="256"/>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Georgia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Ohio</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320" w:type="dxa"/>
            <w:vAlign w:val="bottom"/>
          </w:tcPr>
          <w:p>
            <w:pPr>
              <w:spacing w:after="0"/>
              <w:rPr>
                <w:sz w:val="22"/>
                <w:szCs w:val="22"/>
                <w:color w:val="auto"/>
              </w:rPr>
            </w:pP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Pennsylvania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Indiana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South Carolina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Kansas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Tennessee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Kentucky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Texas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Louisiana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Utah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Virginia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Massachusetts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Wisconsin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37"/>
        </w:trPr>
        <w:tc>
          <w:tcPr>
            <w:tcW w:w="2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Michigan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1320" w:type="dxa"/>
            <w:vAlign w:val="bottom"/>
          </w:tcPr>
          <w:p>
            <w:pPr>
              <w:spacing w:after="0"/>
              <w:rPr>
                <w:sz w:val="20"/>
                <w:szCs w:val="20"/>
                <w:color w:val="auto"/>
              </w:rPr>
            </w:pPr>
          </w:p>
        </w:tc>
      </w:tr>
      <w:tr>
        <w:trPr>
          <w:trHeight w:val="904"/>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lists the composition of our Showrooms as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6"/>
        </w:trPr>
        <w:tc>
          <w:tcPr>
            <w:tcW w:w="466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Showrooms</w:t>
            </w:r>
          </w:p>
        </w:tc>
        <w:tc>
          <w:tcPr>
            <w:tcW w:w="14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
        </w:trPr>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7"/>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14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
        </w:trPr>
        <w:tc>
          <w:tcPr>
            <w:tcW w:w="3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eCommerce platform allows our clients to shop our product assortment and experience the unique lifestyle settings reflected in our Showrooms and print media. Our website creates a more interactive shopping process through the use of virtual shopping tools to aid clients in visualizing our products in their homes.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eCommerce platform also provides our clients with the ability to chat with a designer through our online design services tools. We update our website regularly to reflect new products, product availability and special offers.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and Digital Media</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spring and fall catalogs are distributed in both digital and physical formats. In addition to our two seasonal catalogs, we distribute catalogs for specific categories such as outdoor furnishings, special collections and certain holidays. We employ a targeted approach with our print and digital media and also identify lifestyle-driven opportunities to reach potential clients, such as sending postcards or small mailers to clients and potential clients who have recently moved. We also employ a digital strategy to reach clients and potential clients through social media, influencers and other digital marketing.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In-home Designer Services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in-home designers, who work with clients in the Showroom and travel to our clients’ residences, work in unison with our Showrooms and eCommerce platform to drive client conversion, order size and overall experience. Our in-home designer services provide a more personalized client experience and produce AOVs over four times that of a standard order. We welcome all clients to use our complimentary in-home designer services with no appointment required. As of December 31, 2023, we had 110 in-home designers in 78 Showrooms compared to 84 in-home designers in 65 Showrooms as of December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Strategy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Showrooms have historically been in high traffic locations, and we favor top tier locations near luxury and contemporary retailers that we believe are consistent with our target clients’ demographic and shopping preferences.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January 1, 2022 to December 31, 2023, we successfully opened or relocated 18 new Showrooms. Our recent Showroom growth is summarized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gridSpan w:val="2"/>
          </w:tcPr>
          <w:p>
            <w:pPr>
              <w:ind w:left="5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3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1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59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1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there is potential to more than double our current Traditional Showroom base to over 165 locations in the United States in both new and existing markets. Illustrated by the success of our geographically diverse Showroom footprint, our omni-channel model has performed well in every region of the country, across retail formats and across market sizes. At December 31, 2023, our top 10 Showrooms by net revenue are located in 9 different states, and our model has proven successful in a variety of markets and economic cycles. Our goal is to open five to seven new Traditional Showrooms plus incremental Design Studios, per year for the foreseeable futur</w:t>
      </w:r>
      <w:r>
        <w:rPr>
          <w:rFonts w:ascii="Times New Roman" w:cs="Times New Roman" w:eastAsia="Times New Roman" w:hAnsi="Times New Roman"/>
          <w:sz w:val="18"/>
          <w:szCs w:val="18"/>
          <w:color w:val="auto"/>
          <w:strike w:val="1"/>
        </w:rPr>
        <w:t>e</w:t>
      </w:r>
      <w:r>
        <w:rPr>
          <w:rFonts w:ascii="Times New Roman" w:cs="Times New Roman" w:eastAsia="Times New Roman" w:hAnsi="Times New Roman"/>
          <w:sz w:val="18"/>
          <w:szCs w:val="18"/>
          <w:color w:val="auto"/>
        </w:rPr>
        <w:t>. We are disciplined in our approach to opening Showrooms in top tier locations and expect to continue our prudent approach as we continue to grow our Showroom footprint.</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Distribution and Delivery</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manage the distribution and delivery of our products through our distribution centers in Boston Heights, Ohio, Dallas, Texas and Conover, North Carolina. Additionally, we partner with third-party vendors to provide home delivery services to our clients. These distribution centers serve all of our channels. Our Boston Heights, Ohio facility is approximately 1,003,500 square feet, approximately 900,000 square feet of this facility is dedicated to distribution and the remainder serves as our corporate headquarters. Our Dallas, Texas facility is approximately 800,700 square feet and is managed by a third party. Our facility in North Carolina has approximately 497,000 square feet of space, with approximately 307,000 square feet dedicated to distribution and the remainder primarily dedicated to manufacturing.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use a variety of marketing and advertising approaches to drive client traffic across all of our channels, strengthen and reinforce brand awareness, attract new clients and encourage repeat purchases from existing clients. We believe our Showrooms, catalogs, mailings, digital offerings and social media engagement, among other things, act as important branding and advertising vehicles.</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print and digital media strategy serves as a key driver of net revenue through both our Showrooms and website. Our clients respond to the catalogs mailings and digital offerings across all of our channels, with net revenue trends closely correlating to the assortments that we emphasize and feature prominently in our media. We continue to evaluate and optimize our print and digital media strategy based on our experience.</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we will continue to increase our brand awareness by expanding our Showroom footprint, enhancing digital marketing, and from our improved website features and analytics. We believe that increased brand awareness will lead to higher net revenue in our Showrooms and eCommerce business over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quarterly results depend upon a variety of factors, including the opening of new Showroom locations, the introduction of new merchandise assortments and categories, changes in our product offerings, shifts in quarter over quarter timing of various events such as holidays, Showroom closures, catalog releases, promotional events and the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 may affect comparisons between the quarters, and the results for any quarter are not necessarily indicative of the results that we may achieve for a full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U.S. home furnishings and décor market is highly fragmented and competitive with approximately 23,000 retail establishments as of 2022, according to Bureau of Labor Statistics. We compete with national, regional and local home furnishing retailers, department stores, mail-order catalogs, online retailers focused on home furnishings, interior design trade and specialty showrooms, antique dealers and other merchants that provide unique items and custom-designed product offerings.</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we compete primarily on the basis of our design, quality and value. Our vertical model and deep network of direct sourcing relationships allow us to bring to market higher quality products at more competitive price points than our competitors. We believe our distinctive brand based on livable luxury, our strong direct global sourcing relationships, and our highly experiential omni-channel approach allow us to compete effectively and differentiate ourselves from competitors.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Our intellectual property has significant value and we vigorously protect it against infringement.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Furniture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the Loft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“Arhaus Your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trademarks are registered in the United States Patent and Trademark Office.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 is also registered with the China National Intellectual Property Administration (CNIPA) and the Canadian Intellectual Property Office. Our trademark registrations are valid and subsisting and are renewable at the end of their term. In addition, we own the domain names “arhaus.com,” “arhaus.net,” and “arhausfurniture.com.” These domain names are renewable.</w:t>
      </w:r>
    </w:p>
    <w:p>
      <w:pPr>
        <w:spacing w:after="0" w:line="200" w:lineRule="exact"/>
        <w:rPr>
          <w:sz w:val="20"/>
          <w:szCs w:val="20"/>
          <w:color w:val="auto"/>
        </w:rPr>
      </w:pPr>
    </w:p>
    <w:p>
      <w:pPr>
        <w:spacing w:after="0" w:line="3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2,280 employees and 10 temporary employees, including approximately 130 part-time employees. As of that date, approximately 1,000 of our employees were based in our Showrooms, 420 of our employees were based in our warehouses, distribution centers and third party logistic warehouses, 230 of our employees were based in our manufacturing facility, and 640 of our employees were based in our corporate headquarters. None of our employees are represented by a union, and we have had no labor-related work stoppages. We believe our relationship with our employees is positive.</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currently managed by a group of experienced senior executives, including our Founder, Chairman and CEO, John Reed, and other key team members with substantial knowledge and understanding of the Company and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believe that much of our success is rooted in the diversity of our teams and our commitment to a diverse and inclusive culture. We value diversity at all levels and focus on extending our diversity and inclusion initiatives across our entire workforce. We continue to foster a culture of inclusion, diversity, and equity in which everyone is respected, valued, and has an equal opportunity to contribute and thrive. Our commitment is unwavering, and we are steadfast in maintaining our focus on building a workforce that represents the many clients we serve and the communities in which we operate.</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committed to equal opportunity and base workplace decisions solely on merit, qualifications, and other job-related, neutral, non-discriminatory criteria. We provide equal employment opportunity without regard to age, race, color, sex, sexual orientation, gender identity, national origin, citizenship, pregnancy, religion, disability, military status, genetic information, or other status protected by law. We are committed to providing a harassment-free work environment, and we prohibit retaliation, intimidation, threats, coercion, or discrimination against individuals who, in good faith, complain of unlawful discrimination or harassment.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regulations, including labor and employment laws, customs and trade laws,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and jurisdictions where we source products. We have policies intended to ensure that we conduct business in compliance with applicable laws and regulations. While we cannot predict policy changes by various regulatory agencies or unexpected operational or other developments, we believe we are in material compliance with laws applicable to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 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subject to certain reporting and labeling requirements under California’s Proposition 65, officially known as the Safe Drinking Water and Toxic Enforcement Act of 1986. Proposition 65 requires manufacturers, distributors, vendors,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2" w:name="page13"/>
    <w:bookmarkEnd w:id="12"/>
    <w:p>
      <w:pPr>
        <w:ind w:right="500"/>
        <w:spacing w:after="0" w:line="266" w:lineRule="auto"/>
        <w:rPr>
          <w:sz w:val="20"/>
          <w:szCs w:val="20"/>
          <w:color w:val="auto"/>
        </w:rPr>
      </w:pPr>
      <w:r>
        <w:rPr>
          <w:rFonts w:ascii="Times New Roman" w:cs="Times New Roman" w:eastAsia="Times New Roman" w:hAnsi="Times New Roman"/>
          <w:sz w:val="18"/>
          <w:szCs w:val="18"/>
          <w:color w:val="auto"/>
        </w:rPr>
        <w:t>Failure to comply with such laws and regulations, which tend to become more stringent over time, can result in significant fines, penalties, costs, and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10 of this Annual Report on Form 10-K for information on the Company's executive officers, which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make available, free of charge, on or through our website, our Annual Reports on Form 10-K, Quarterly Reports on Form 10-Q, Current Reports on Form 8-K, Proxy Statements and Forms 3, 4 and 5 filed on behalf of directors and executive officers, as well as any amendments to those reports filed or furnished pursuant to the Securities Exchange Act of 1934, as amended (the “Exchange Act”) as soon as reasonably practicable after we electronically file such material with, or furnish it to, the U.S. Securities and Exchange Commission (“SEC”). We maintain our website at www.arhaus.com. The information contained on our website is not part of this Annual Report.</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regarding issuers that file electronically. The address of that website is www.sec.gov.</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charters for our Board of Directors’ Audit Committee, Compensation Committee, and Nominating and Corporate Governance Committee, as well as our Code of Business Conduct and Ethics, our Corporate Disclosure Policy and other related materials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which are not necessarily exhaustive, together with the other information contained in this report, including the financial statements. If any of the following risks occur, our business, financial condition or results of operations may be materially and adversely affected.</w:t>
      </w:r>
    </w:p>
    <w:p>
      <w:pPr>
        <w:spacing w:after="0" w:line="1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20" w:right="680"/>
        <w:spacing w:after="0" w:line="282"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incurrence of operating losses in the future or failure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our business and our high rates of growth in terms of revenue, earnings and margins, which may not be sustained in future periods;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quality merchandise in sufficient quantities at competitive prices, including products that are produced by artisan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or increased costs as a result of our recently opened distribution and manufacturing centers;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costs associated with credit card fraud, identity theft and business interruption could result in unexpected expenses and loss of revenue;</w:t>
      </w:r>
    </w:p>
    <w:p>
      <w:pPr>
        <w:ind w:left="660" w:right="6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receiving, processing, storing, using and sharing personal data that requires us to comply with complex and evolving governmental regulations related to data privacy and data protection that could expose us to litigation or damage our reputation;</w:t>
      </w:r>
    </w:p>
    <w:p>
      <w:pPr>
        <w:ind w:left="660" w:right="70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other international risks as a result of our reliance on foreign manufacturers and vendors to supply a significant portion of our merchandise;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health of the high-end housing market, as well as declines in consumer confidence and consumer spending;</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interruption of supply and increased costs as a result of our reliance on third-party transportation carriers for shipment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commodity prices or increased freight and transportation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deliver merchandise to our clients and manage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posed by a pandemic should an outbreak of an infectious disease occur; and</w:t>
      </w:r>
    </w:p>
    <w:p>
      <w:pPr>
        <w:spacing w:after="0" w:line="9" w:lineRule="exact"/>
        <w:rPr>
          <w:rFonts w:ascii="Times New Roman" w:cs="Times New Roman" w:eastAsia="Times New Roman" w:hAnsi="Times New Roman"/>
          <w:sz w:val="18"/>
          <w:szCs w:val="18"/>
          <w:color w:val="auto"/>
        </w:rPr>
      </w:pPr>
    </w:p>
    <w:p>
      <w:pPr>
        <w:ind w:left="660" w:right="54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which has the effect of concentrating voting power with our Founder and the Founder Family Trusts, gives our Founder and the Founder Family Trusts substantial control over us, including over matters that require the approval of stockholders, and their interests may conflict with ours or those of our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operating losses in the future, and may not achieve or maintain profitability in the future.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incur operating losses in the future. We expect our operating expenses to increase in the future as we continue to expand our operating and retail infrastructure, including adding new Showrooms, increasing sales and marketing efforts, growing our eCommerce platform, enhancing our omni-channel capabilities, expanding into new geographies, developing new products, and in connection with legal, accounting, and other expenses related to operating as a public company. These efforts and additional expenses may be costlier than we expect, and we cannot guarantee that we will be able to increase our net revenue to offset our operating expenses. Our net revenue growth may slow or our net revenue may decline for a number of other reasons, including reduced demand for our products, increased competition, a decrease in the growth or reduction in size of our overall market, or if we cannot capitalize on growth opportunities. If our revenue does not grow at a greater rate than our operating expenses, we will not be able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fluctuations in the growth rate of our business and our high rates of growth in terms of revenue, earnings and margins may not be sustained in future time periods.</w:t>
      </w:r>
    </w:p>
    <w:p>
      <w:pPr>
        <w:spacing w:after="0" w:line="1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fluctuations in the quarterly growth rate of our business. We may continue to experience fluctuations in our quarterly growth rate and financial performance. We are currently engaged in a number of initiatives to 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 volatility in consumer demand and sentiment. Our business trends are frequently correlated closely with conditions in financial markets including the stock market. The global economic environment is currently in a period of widespread uncertainty as governments and central banks continue to respond to supply chain issues and inflation on business conditions. In the event that equity and credit markets experience volatility and disruption, consumer demand for our product and our results of operations may be adversely affected.</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our rates of revenue growth have fluctuated from quarter to quarter over the last three years and we expect volatility in the rates of our growth to continue in future quarterly periods. Unique factors in any given quarter may affect period-to-period comparisons in our revenue growth, including:</w:t>
      </w:r>
    </w:p>
    <w:p>
      <w:pPr>
        <w:spacing w:after="0" w:line="135"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and general retail sales environment, including the effects of uncertainty relating to consumer spending, such as inflation and increased interest rates;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products and the impact of delays or disruption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location of the Showrooms we open, close, remodel or expand in any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source and distribute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offerings and the introduction, and timing thereof, of new products and new product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introducing similar products or merchandise formats;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our spring and fall catalogs each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various holidays, including holidays with potentially heavy retail impact;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programs.</w:t>
      </w:r>
    </w:p>
    <w:p>
      <w:pPr>
        <w:spacing w:after="0" w:line="166" w:lineRule="exact"/>
        <w:rPr>
          <w:sz w:val="20"/>
          <w:szCs w:val="20"/>
          <w:color w:val="auto"/>
        </w:rPr>
      </w:pPr>
    </w:p>
    <w:p>
      <w:pPr>
        <w:ind w:left="20" w:right="40"/>
        <w:spacing w:after="0" w:line="281" w:lineRule="auto"/>
        <w:rPr>
          <w:sz w:val="20"/>
          <w:szCs w:val="20"/>
          <w:color w:val="auto"/>
        </w:rPr>
      </w:pPr>
      <w:r>
        <w:rPr>
          <w:rFonts w:ascii="Times New Roman" w:cs="Times New Roman" w:eastAsia="Times New Roman" w:hAnsi="Times New Roman"/>
          <w:sz w:val="17"/>
          <w:szCs w:val="17"/>
          <w:color w:val="auto"/>
        </w:rPr>
        <w:t>Due to these factors, our results for any quarter are not necessarily indicative of the results that we may achieve for a full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4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upholstery products representing approximately 10% of our total net revenue in 2023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our products are produced by artisans, specialty vendors and other vendors that are small and may be undercapitalized, unable to scale production or have limited production capacity, and we have from time to time in prior periods experienced supply constraints that have affected our ability to supply high demand items or new products due to such capacity and other limits, including production and shipping delays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 relationships with new vendors in a manner that is sufficient to supply the shortfall. Even if we do identify such new vendors, we may experience product shortages, client backorders and delays as we transition our product requirements to incorporate alternative vendors. Our relationship with any new vendor would be subject to the same or similar risks as those of our existing vendors.</w:t>
      </w:r>
    </w:p>
    <w:p>
      <w:pPr>
        <w:spacing w:after="0" w:line="1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 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5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our receiving and distribution system or increased costs as a result of our recently opened distribution and manufacturing centers could adversely affect our business.</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opened our second distribution center in Conover, NC during the fourth quarter of 2021 and our third distribution center in Dallas, Texas during 2022. We may not accurately anticipate all of the changing demands that our expanding operations will impose on our receiving and distribution system. We also may not realize all of the expected benefits of increased efficiency and capacity from the opening of these additional distribution centers, and we may experience increased costs in connection with our new distribution centers that we have not previously considered.</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disruptions in our receiving and distribution system or increased costs as a result of our new distribution centers could have a material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import and other international risks as a result of our reliance on foreign manufacturers and vendors to supply a significant portion of our merchandise.</w:t>
      </w:r>
    </w:p>
    <w:p>
      <w:pPr>
        <w:spacing w:after="0" w:line="13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our Showrooms are based solely in the United States, we rely on foreign manufacturers and vendors to supply a significant portion of our merchandise. Approximately 60% of our net revenue was generated from sales of products from vendors outside of North America during 2023.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changes in foreign laws, trade policy and regulations affecting exports, or changes in U.S. laws, trade policy and regulations affecting imports or domestic distribution.</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our products imported into the United States are subject to duties collected by the U.S. Customs Service. We may be subjected to additional duties or tariffs, significant monetary penalties, the seizure and forfeiture of the products we are attempting to import or the loss of import privileges if we or our vendors are found to be in violation of U.S. laws and regulations applicable to the importation of our products. Tariffs also can impact our or our vendors’ ability to source product efficiently or create other supply chain disruptions. The U.S. government has enacted certain tariffs and proposed additional tariffs on many items sourced from China, including certain furniture, furniture parts, and raw materials for domestic furniture manufacturing products imported into the United States. Although we have not historically purchased a significant amount of product from China,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 of the high-end housing market, as well as declines in consumer confidence and consumer spending, could adversely impact our revenue and results of operations.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Consumer confidence and consumer spending may deteriorate significantly and could remain depressed for an extended period of time. Consumer demand for and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as we target consumers of high-end home furnishings for our products, our sales are particularly affected by the financial health of higher-end consumers and demand levels from that consumer demographic. In addition, not all macroeconomic factors are highly correlated in their impact on lower-end housing versus higher-end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Shifts in consumption patterns in light of improvements relating to the COVID-19 pandemic may also have an impact on consumer spending in the high-end housing market. Further, in recent periods the stock market has experienced significant volatility as well as periods of significant decline, and rising house prices have dampened. Continued increases in interest rates may further dampen growth in the U.S. housing market and may depress consumer optimism about the U.S. housing market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home buying in the higher-end of the housing market. We believe that our client purchasing patterns are influenced by economic factors including the health and volatility of the stock market. We have seen that previous declines in the stock market and periods of high volatility have been correlated with a reduction in client demand for our products.</w:t>
      </w:r>
    </w:p>
    <w:p>
      <w:pPr>
        <w:spacing w:after="0" w:line="14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2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upon, and have contracts with, third-party carriers to transport products from our vendors and to our distribution centers, third-party warehouses and Showrooms for delivery to our clients. As a result of our dependence on third-party providers, we are subject to risks, including labor disputes, union organizing activity, adverse weather, 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international conflicts, outbreaks of disease (such as the COVID-19 pandemic) or other factors affecting such carriers’ ability to provide delivery services and meet our shipping needs, disruptions or increased fuel costs and costs associated with any regulations to address climate change. For example, due to the outbreak of the COVID-19 pandemic, our third-party providers experienced transportation disruptions and restrictions, labor shortages, vessel schedule changes, congestion and delays at ports, and a shortage of shipping containers needed to ship our products, which adversely impacted our inventory levels and resulted in a high number of client backorders. Recently, we have experienced delays related to disruptions in international shipping channels.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commodity prices or increased freight and transportation costs could adversely affect our results of operations.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we have faced significant inflationary pressure on freight costs, which were heightened by tariff-related shipment surges and port congestion.</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Due to the uncertainty of commodity price fluctuations and inflation, we may not be able to pass some or all of these increased costs on to our clients, which may result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unable to timely and effectively deliver merchandise to our clients and manage our supply chain.</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effectively manage our inventory levels and the responsiveness of our supply chain, including predicting the appropriate levels and type of inventory to stock within our distribution centers, our business and operating results may be harmed. For example, in recent years we experienced elevated levels of demand for many of our products, and as a result, encountered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Outlets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affected by the significant and widespread risks posed by an outbreak of infectious disease, such as the COVID-19 pandemic.</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global outbreak of COVID-19, and the resulting health crisis, caused significant and widespread disruptions to the U.S. and global economies, financial and consumer markets, and our business. The COVID-19 outbreak in the first quarter of 2020 caused disruptions to our business operations. In our initial response to the COVID-19 health crisis, we undertook immediate adjustments to our business operations including temporarily closing all of our retail locations, minimizing expenses and delaying investments, including pausing some inventory orders while we assessed the status of our business. Our approach to the crisis evolved quickly as our business trends substantially improved during the second through fourth quarters of 2020 as a result of both the reopening of our Showrooms and also strong consumer demand for our products.</w:t>
      </w:r>
    </w:p>
    <w:p>
      <w:pPr>
        <w:spacing w:after="0" w:line="1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course of the COVID-19 pandemic, public health officials and other governmental authorities imposed mitigation measures, regulations and requirements to address the spread of COVID-19. Public health officials and other governmental authorities also imposed directives that required changes in our business practices. The scope and duration of these mitigation measures and directives evolved throughout the course of the COVID-19 pandemic. Depending on the future course of any outbreaks of infectious diseases, we may experience restrictions and temporary closures of our Showrooms and Outlets.</w:t>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we continued to serve our clients and operate our business throughout the COVID-19 pandemic, there can be no assurance that future outbreaks of infectious diseases will not have an effect on our business, results of operations or financial condition. Future adverse developments in connection with infectious disease outbreaks, including further outbreaks and new strains or variants of COVID-19, evolving international, federal, state and local restrictions and safety regulations in response to such outbreaks, changes in consumer behavior and health concerns, the pace of economic activity, or other similar issues could adversely affect our business, results of operations or financial condition in the future, or our financial results and business performance in future periods.</w:t>
      </w:r>
    </w:p>
    <w:p>
      <w:pPr>
        <w:spacing w:after="0" w:line="14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Due to COVID-19, we experienced constraints in our merchandise supply chain, which resulted in delays in the manufacture, supply, distribution, transportation and delivery of our products and our inventory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5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COVID-19 also impacted a range of factors involved in the development of new Showrooms, including delays in construction, permitting and other necessary governmental actions. We may experience disruptions in the event of future outbreaks, which may require changes to our real estate strategy and related capital expenditure. We may also be required to make lease payments in whole or in part for Showrooms that are required to close in the event of resurgences in COVID-19 or other similar outbreaks. Any efforts to mitigate the costs of construction delays and deferrals, retail closures and other operational difficulties,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governmental authorities imposed regulations or requirements with respect to the compensation of our employees or the manner or location in which our employees may work. At various times during the COVID-19 pandemic, many of our employees were subject to state and local shelter-in-place requirements, which varied over time and resulted in many members of our team being required to work remotely. In the event necessary in the future, these working arrangements and other related restrictions, including severe limitations on travel, may have an effect on our operations and the ability of our executives to lead our teams. Although we have technology and other resources to support such work requirements, there can be no assurance that we will not suffer material risks to our business, operations, productivity and results of operations as a result of these types of restrictions. If a significant percentage of our workforce is unable to work, including because of illness or travel or government restrictions in connection with an outbreak of infectious disease, our operations may be negatively affected, potentially materially adversely affecting our business, liquidity, financial condition or results of operations.</w:t>
      </w:r>
    </w:p>
    <w:p>
      <w:pPr>
        <w:spacing w:after="0" w:line="1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the extent outbreaks of infectious diseases adversely affect our business, they may also have the effect of heightening many of the other risks described in this “Risk Factors” section.</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SEC’s internal control over financial reporting (“ICFR”) and auditor attestation requirements.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course of preparing for our IPO, we identified material weaknesses in our ICFR as described below and these material weaknesses remained outstanding as of December 31, 2023.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39" w:lineRule="exact"/>
        <w:rPr>
          <w:sz w:val="20"/>
          <w:szCs w:val="20"/>
          <w:color w:val="auto"/>
        </w:rPr>
      </w:pPr>
    </w:p>
    <w:p>
      <w:pPr>
        <w:ind w:left="660" w:right="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these material weaknesses resulted in a restatement as of and for the interim period ended September 30, 2023 and revisions as of and for the annual periods ended December 31, 2022 and 2021, and as of and for the interim periods ended March 31, 2022, June 30, 2022, September 30, 2022, December 31, 2022, March 31, 2023 and June 30, 2023, principally related to prepaid and other current assets, and property, furniture and equipment, net, which resulted in misclassifications in the balance sheets and statements of cash flows and the timely recording of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48" w:lineRule="exact"/>
        <w:rPr>
          <w:sz w:val="20"/>
          <w:szCs w:val="20"/>
          <w:color w:val="auto"/>
        </w:rPr>
      </w:pPr>
    </w:p>
    <w:p>
      <w:pPr>
        <w:ind w:left="660" w:right="1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98"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accounting staff in relation to journal entries, reconciliations and other applicable processes.</w:t>
      </w:r>
    </w:p>
    <w:p>
      <w:pPr>
        <w:jc w:val="both"/>
        <w:ind w:left="660" w:right="40" w:hanging="328"/>
        <w:spacing w:after="0" w:line="265"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ind w:left="660" w:right="22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ind w:left="660" w:right="820" w:hanging="328"/>
        <w:spacing w:after="0" w:line="23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of the control activity over the review of our consolidated balance sheet and statement of cash flows to ensure the classification of operating and investing activities is appropriately presented in the statement of cash flows.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While the material weaknesses are not considered remediated until the related internal controls are tested and deemed to be operating effectively, we have made progress under our remediation plan. As of December 31, 2023, we:</w:t>
      </w:r>
    </w:p>
    <w:p>
      <w:pPr>
        <w:spacing w:after="0" w:line="121" w:lineRule="exact"/>
        <w:rPr>
          <w:sz w:val="20"/>
          <w:szCs w:val="20"/>
          <w:color w:val="auto"/>
        </w:rPr>
      </w:pPr>
    </w:p>
    <w:p>
      <w:pPr>
        <w:ind w:left="660" w:right="6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formal processes, policies, and procedures supporting our financial close process, including formalizing procedures over the review of financial statements.</w:t>
      </w:r>
    </w:p>
    <w:p>
      <w:pPr>
        <w:ind w:left="660" w:right="1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policies and procedures to establish and maintain segregation of duties for our accounting staff in relation to journal entries and account reconciliations.</w:t>
      </w:r>
    </w:p>
    <w:p>
      <w:pPr>
        <w:ind w:left="660" w:right="54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competent and qualified technical accounting and financial reporting personnel with appropriate knowledge and experience of U.S. GAAP and SEC financial reporting requirements.</w:t>
      </w:r>
    </w:p>
    <w:p>
      <w:pPr>
        <w:spacing w:after="0" w:line="2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events in the primary regions of our operations could materially adversely affect our business.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headquarters and a primary distribution center are located outside of Cleveland, Ohio. We also have distribution centers in North Carolina and Texas. Any extreme weather, natural or man-made disasters, catastrophic events, terrorism, blackouts, widespread illness or unfavorable regional economic conditions could materially adversely affect our business. Such events 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hire, and retain qualified personnel could materially adversely affect our business.</w:t>
      </w:r>
    </w:p>
    <w:p>
      <w:pPr>
        <w:spacing w:after="0" w:line="20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upon our ability to recruit, hire and retain qualified individuals to work in and manage our Showrooms and manufacturing and distribution centers in the geographic regions in which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Showrooms and manufacturing and distribution centers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For example, we experienced temporary difficulties recruiting personnel in our manufacturing and distribution centers during the COVID-19 pandemic as a result of enhanced unemployment benefits.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 continue to attract a sufficient number of individuals at reasonable compensation levels could have a material adverse effect on our business, reputation and results of operations.</w:t>
      </w:r>
    </w:p>
    <w:p>
      <w:pPr>
        <w:spacing w:after="0" w:line="1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currently managed by a group of experienced senior executives, including our Founder and CEO,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 members, or we fail to identify and/or recruit for current or future positions of need, our business, financial condition or results of operations could be adversely affected.</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13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believe our clients’ experience in our Showrooms is important to our brand. Accordingly, we may remodel our existing Showrooms to improve our clients’ experience and reflect our new Showroom design, products and the latest market trends. The remodeling of our Showrooms requires significant capital expenditure and there is no guarantee that the capital spent on our remodeled Showrooms will result in increased traffic or be offset by increased revenue, which would materially adversely affect our results of operations and financial performance.</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 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 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is substantially dependent on our positive brand identity.</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 Our brand image may be diminished if new products, services or other businesses fail to maintain or enhance our distinctive brand image, which could have a material adverse impact on our business and results of operations.</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use third-party social media platforms as marketing tools, among other things. For example, we maintain Instagram, Facebook and Pinterest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 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otherwise could subject us to regulatory investigations, class action lawsuits, liability, fines or other penalties and have a material adverse effect on our business, financial condition and operating results.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1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Instagram, Facebook and Pinterest as important marketing channels. In addition to purchasing traditional advertising space on search engines and social media 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1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 business, if our assessment of any action 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adverse publicity about client or other litigation may negatively affect us, regardless of whether the allegations are true, by discouraging clients from purchasing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manage the costs and performance of our print media might have a negative impact on our business.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Print media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one printer for all of our catalog printing work, which subjects us to various risks if the vendor fails to perform under our agreement. We have historically experienced fluctuations in our clients’ response to our catalogs. Client response to our catalogs is substantially dependent on merchandise 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anticipate merchandise returns might have a negative impact on our business.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claims could have a material adverse effect on our business.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 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client shopping preferences or develop and maintain a relevant and reliable omni-channel experience for our clients, our financial performance and brand image could be adversely affected.</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Instagram, Facebook and Pinterest, by providing feedback and public commentary about aspects of our 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 channels that delivers the products they want, when and where they want them, our financial performance and brand image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9"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we had 92 Showrooms, including four Outlet stores, in 29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We experienced some delays in certain projects on account of the COVID-19 pandemic’s impact on business conditions and may experience similar delays in the future due to COVID-19 or other similar outbreaks of infectious diseases. There can be no assurance that we will succeed in opening additional Showrooms, which could have a material adverse effect on our business, financial condition, operating results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Showrooms depends on many factors, including, among other things, our ability to:</w:t>
      </w:r>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markets where our brand and products will be accepted and the revenue at our Showrooms will meet our targeted revenue levels;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desired locations, including Showroom size and adjacencies, in targeted high traffic street and urban locations and top tier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Showrooms to address public health concerns or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satisfactory rent and tenant improvement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brand awareness and attract new clients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capital expenditures while designing new Showrooms and remodeling our existing Showrooms;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Showroom associates and field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Showroom associates and field management into our corporate culture;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supply sufficient inventory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the adequate technologies needed to serve our clients and protect their transactions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Showrooms into our existing operations and information technology systems;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capital needs, including to fund the opening of new Showrooms.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difficulties or delays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 to significant costs and delays and may negatively impact our new Showroom growth, the profitability associated with new Showrooms and our future financial performance.</w:t>
      </w:r>
    </w:p>
    <w:p>
      <w:pPr>
        <w:spacing w:after="0" w:line="14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 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15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a particular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nearby retailers selling similar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client demographics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preferences of clients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or decline in popularity of other businesses located near our Showroom;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client foot traffic outside a Showroom location;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Showroom impairments due to acts of God, pandemic, terrorism, protest or periods or civil unrest.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a Showroom location becomes unsuitable, we will generally be unable to cancel the long-term lease associated with such Showroom.</w:t>
      </w:r>
    </w:p>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determined our total addressable market based on, among other things, our analysis of the historical market size of the U.S. residential furniture and décor market, our observation and analysis of recent trends, client behaviors and client satisfaction, our estimates and expectations concerning future growth of the U.S.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Annual Report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sector which may adversely affect our future financial performance.</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RH, Room &amp; Board, Serena and Lily and Pottery Barn.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4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 adapting their business models and operations to new client trends, which may in turn change how our clients acquire products or view our business and brand. There can be no assurance that such competitors will not be more successful than us or that we will be able to continue to maintain our position as a leader in style and innovation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lease obligations are substantial and expose us to increased risks.</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3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available cash to pay our rental obligations, reducing cash available for other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with respect to some of our competitors who sell their products exclusively online.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Such risks could lead to significant costs which may negatively impact our growth, the profitability associated with our Showrooms and our financial performance.</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Growing our business may require additional capital, and if capital is not available to us, our business, operating results and financial condition may suffer.</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in the financial markets could have a material adverse effect on client demand and our ability to refund client deposits.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collect deposits from our clients at the time of purchase and in advance of delivering products, and as of December 31, 2023, we had approximately $174 million in client deposits.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depend on good relations with our employees.</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or subject to any collective bargaining agreements. We believe that we have good relations with our employees and that these good relations contribute to the success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operations. As we continue to grow and enter different regions, unions may attempt to organize all or part of our 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Information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eCommerce business and digital marketing efforts, our reputation and operating results may be harmed.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eCommerce channel currently represents approximately 19% of total net revenue in 2023. We believe eCommerce offers a significant growth opportunity and our strategy includes investment in and expansion of our digital platform and eCommerce channel. The success of our eCommerce business depends, in part, on third parties and factors over which we have limited control. We must continuously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65"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privacy laws and regulations; compliance costs related to maintaining a reasonable privacy and data security program that addresses constantly evolving legal requirements; security breaches; and consumer privacy concerns. We must keep up to date with competitive technology trends and opportunities that are emerging throughout the retail environment, including the use of new or improved technology, evolving creative user interfaces, and other eCommerce marketing trends such as paid search, re-targeting, and the proliferation of mobile usage, among others.</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to continue to invest capital and other resources in our eCommerce channel, but there can be no assurance that our initiatives will be successful or otherwise succeed in driving sales or attracting clients. Our failure to successfully respond to these risks and uncertainties might adversely affect the sales or margin in our eCommerce business, require us to impair certain assets, and damage our reputation and brands.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security incident(s) that result in data breach(es), we could suffer a loss of sales and increased costs, exposure to significant liability, reputational harm and other negative consequences.</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No company can be entirely free of vulnerability to attack or compromise given that the techniques used to obtain unauthorized access, disable or degrade service, and obtain information or data change continuously. During the normal course of business, we have experienced and expect to continue to experience attempts to compromise our information systems. We collect, process and store certain personal information and other data relating to individuals, such as our clients, artisan partners, and employees. We rely substantially on commercially available systems, software, tools and monitoring to provide security for our processing, transmission and storage of personal information and other confidential information. We and our vendors have been the subject of hacking, social engineering, phishing attacks or other attacks. Due to these or other causes, we or our vendors have and in the future may suffer a security incident, which allow hackers or other unauthorized parties to gain access to personal information or other data, including payment card data or confidential business information, and we might not discover such issues for an extended period. The techniques used to obtain unauthorized access, to sabotage systems, and to obtain personal information, confidential information, or other data change continuously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or compromise such data. We expect to incur ongoing costs associated with the detection and prevention of cyber threats.</w:t>
      </w:r>
    </w:p>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incur additional costs in the event of a data breach or other security incident. Our remediation efforts may not be successful and could result in interruptions to our operations.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losses and claims, and we may still suffer losses that could have a material adverse effect on our business (including reputational damage).</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 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may be subject to damage or interruption from power outages, computer and telecommunications failures, computer viruses, security breaches, and natural disasters. In addition, damage or 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 which risks may be compounded to the extent the information systems of an acquired entity are integrated with ours, thus providing access to a broader set of sensitive client information through a compromised network at the acquired entity level, or by permitting an unauthorized party to access our system. If an unauthorized party is able to circumvent our security measures, it could destroy or steal valuable information or disrupt our operations.</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successful breaches or attempted intrusions of our information systems could result in increased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operations depends on the secure transmission of confidential and personal information over public networks, including the use of cashless payments. That information includes data about our clients as well as sensitive information about our vendors and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misdirected payments, loss of company intellectual property,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13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client’s credit and debit card information is transmitted to our third-party payment processors, and we may in the future become subject to lawsuits or other proceedings for purportedly fraudulent transactions arising out of the actual or alleged theft of our client’s credit or debit card information if the security of our third-party credit card payment processors are breached. Furthermore, if we do not secure our online eCommerce platform or in-store card acceptance mechanisms, customer credit card information could be obtained by an unauthorized third party.</w:t>
      </w:r>
    </w:p>
    <w:p>
      <w:pPr>
        <w:spacing w:after="0" w:line="16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1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Payment Card Industry Data Security Standard (“PCI DSS”), or the PCI Standard mandated by the card brands and administered by the Payment Card Industry Security Standards Council (“PCI SSC”), with respect to payment card information. The PCI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issues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 PCI SSC released PCI DSS v.4 on March 31, 2022. While there is a two year transition period to allow organizations time to plan for and implement the changes to the PCI Standard, the cost of re-compliance could also be substantial and we may suffer loss of critical data and interruptions or delays in our operations as a result.</w:t>
      </w:r>
    </w:p>
    <w:p>
      <w:pPr>
        <w:spacing w:after="0" w:line="16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 adopt new operating rules or interpret or reinterpret existing rules in ways that we or our payment processors find difficult or even impossible to comply with, or costly to implement, it could have a significant impact on our business and financial results.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 registering, using or retaining domain names that interfere with our consumer communications or infringe or otherwise decrease the value of our marks, domain names and other proprietary rights.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non-U.S. entities with no physical U.S. presence), including imitation of our products and misappropriation of our images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steps necessary to protect and enforce our rights because of factors beyond our control, we may not be entirely successful in protecting our assets, enforcing our rights or collecting on judgments.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acquire, use or maintain our marks and domain names for our sites could substantially harm our business and operating results.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Third parties may use trademarks and brand names similar to Arhaus’ trademarks and brand names and any potential confusion as to the source of goods or services could have an adverse effect on its business and may inhibit its ability to build name recognition in its markets of interest. Third parties may also oppose Arhaus’ trademark applications or otherwise challenge 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56"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 parties claim that we infringe upon their intellectual property rights, our operating results could be adversely affected.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 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a broad range of federal, state and local laws and regulations in connection with our core business and private label credit card operations, including labor and employment, customs, privacy and cybersecurity,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5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involves receiving, processing, storing, using and sharing data, some of which contains personal information. We are subject to complex and rapidly evolving laws addressing data protection, and companies are under increased regulatory scrutiny with respect to privacy and data security. The interpretation and application of existing laws regarding this subject are continuing to evolve and many states are considering new regulations in this area. Applicable U.S. privacy laws or new state or federal laws may limit our ability to collect and use data, require us to modify our data processing practices or result in the possibility of fines, litigation or orders which may have an adverse effect on our business and results of operations. As our business evolves, we may be subject to international privacy laws that further limit our data collection and handling practices. We cannot yet fully determine the impact that such future privacy requirements may have on our business or operations. The burdens imposed by these and other laws and regulations that may be enacted, or new interpretations of existing laws and regulations, may also require us to incur substantial costs to reach compliance, change the manner in which we use data, and adversely affect the profitability of our private label credit card program.</w:t>
      </w:r>
    </w:p>
    <w:p>
      <w:pPr>
        <w:spacing w:after="0" w:line="14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 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the greater of actual damages or statutory damages between $100 and $750 per violation. Any such action would be expensive to defend, likely would damage our reputation and market position, could result in substantial liability and could adversely affect our business and results of operations.</w:t>
      </w:r>
    </w:p>
    <w:p>
      <w:pPr>
        <w:spacing w:after="0" w:line="13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Failure by us, our manufacturers, or our vendors to comply with applicable laws and regulations or to obtain and maintain necessary permits, licenses,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business and financial condition, including increased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company relating to corporate responsibility factors may impose additional costs and expose us to new risks.</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is an increasing focus from certain investors, clients and other key stakeholders concerning corporate responsibility. We expect that an increased focus on corporate responsibility considerations will affect some aspects of our operations. There are a number of constituencies that are involved in a range of corporate responsibility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 We may be required to make substantial investments in matters related to corporate responsibility, which could require significant investment and impact our results of operations. Any failure in our decision-making or related 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corporate responsibility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$75 million revolving credit facility that is subject to a borrowing base availability calculation (the “Revolving Credit Facility”) with Bank of America, N.A., as administrative agent, and the lenders party thereto, contains restrictive covenants that limit our ability to, among other things, incur certain additional indebtedness, make certain investments, merge, dissolve, liquidate or consolidate all or substantially all of our assets, make certain dispositions or restricted payments, enter into certain transactions with affiliates or make certain amendments to our organizational documents. The terms of the Revolving Credit Facility may restrict our current and future operations and could adversely affect our ability to finance our future operations or capital needs or to execute business strategies in the means or manner desired. Further, complying with these covenants could 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secure additional financing on favorable terms, or at all, to meet our future capital needs, which in turn could impair our growth.</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 unable to secure additional funding on favorable terms, or at all, when we need it, our business may be materially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8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John Reed (our “Founder”) and (i) the Reed 2013 Generation Skipping Trust, which is an irrevocable trust and of which Messrs. Adams and Beargie are trustees and (ii) the 2018 Reed Dynasty Trust, which is an irrevocable trust and of which Messrs. Adams and Beargie are trustees (collectively, the “Founder Family Trusts”), which gives our Founder and the Founder Family Trusts substantial control over us, including over matters that require the approval of stockholders under our certificate of incorporation and applicable law or stock exchange rules, and their interests may conflict with ours or those of our stockholders.</w:t>
      </w:r>
    </w:p>
    <w:p>
      <w:pPr>
        <w:spacing w:after="0" w:line="14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(i) the John P. Reed Trust dated 4/29/1985, as amended, of which Mr. Reed is trustee, (ii) the Reed 2013 Generation Skipping Trust, of which Messrs. Adams and Beargie are trustees, and (iii) the 2018 Reed Dynasty Trust, of which Messrs. Adams and Beargie are trustees (collectively, “the Class B Trusts”) control the voting power of all of the outstanding Class B common stock. As of February 15, 2024, our Founder beneficially holds approximately 32.13% of our outstanding capital stock and controls approximately 48.77% of the voting power of our outstanding capital stock. As of February 15, 2024, the Founder Family Trusts beneficially hold approximately 29.97% of our outstanding capital stock and control approximately 45.48% of the voting power of our outstanding capital stock. The current independent co-trustees of the Founder Family Trusts, Albert Adams and Bill Beargie, are also directors of the Company.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there is an investor rights agreement that contains agreements among FS Equity Partners VI, L.P. and FS Affiliates VI, L.P., (the “Freeman Spogli Funds”), the Founder and the Class B Trusts with respect to the voting on the election of directors and board committee membership. Other than the investor rights agreement, we are not aware of any other voting agreement among the Class B Trusts and/or our Founder, but if such a voting agreement or similar arrangement exists or were to be consummated, or if all or some of the Class B Trusts and our Founder were to act in concert, our Founder and the Class B Trusts would have the ability to control our management and affairs and determine the outcome of all matters requiring stockholder approval, including mergers and other material transactions, even if their stock holdings represent less than 50% of the outstanding shares of our capital stock, and would be able to cause or prevent a change in the composition of our Board of Directors or a change in control of our company that could deprive our stockholders of an opportunity to receive a premium for their Class A common stock as part of any sale of the Company and might ultimately affect the market price of our Class A common stock. Accordingly, our Founder and the Class B Trusts may approve transactions that may not be in the best interests of holders of our Class A common stock or, conversely, prevent the consummation of transactions that may be in the best interests of holders of our Class A common stock.</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Further, the shares 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in adverse publicity or other adverse consequences. For example, certain indices have eligibility criteria that exclude companies with multiple classes of shares of common stock. In addition, several shareholder advisory firms have announced their opposition to the use of multiple class structures. As a result, the dual class structure of our common stock has and may continue to prevent the inclusion of our Class A common stock in such indices and may cause shareholder advisory firms to publish negative commentary about our corporate governance practices or otherwise seek to cause us to change our capital structure. Any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5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may protect decisions of our Board of Directors that have a different effect on holders of our Class A common stock and Class B common stock.</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trading volume and marketability of our Class A common stock may be significantly affected by numerous factors, some of which are beyond our control.</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may fluctuate and/or decline significantly. Many factors that are beyond our control may materially adversely affect the market price of our Class A common stock and the marketability of our Class A common stock. These factors include, but are not limited to, the following:</w:t>
      </w:r>
    </w:p>
    <w:p>
      <w:pPr>
        <w:spacing w:after="0" w:line="14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and factors affecting the housing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continue to cover our common stock or changes in financial estimates or recommendations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annual or quarterly results of our operations, including our earnings estimates and whether we meet market expectations with regard to our earnings;</w:t>
      </w: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companies in the retail and consumer goods sectors in which our business operates, which may not be related to the operating performance of these companies and which may not reflect the performance of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preferences of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significant price reductions or promotions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transactions by principal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volume fluctuations in the stock market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negative earnings or other announcements by us or other retail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including health issues or pandemics;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legal and regulatory changes unrelated to our performance.</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common stock may be highly volatile for factors that are specific to our company. These factors include, but are not limited to, our low public float, and that we have a controlling shareholder.</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anti-takeover provisions could prevent or delay a change in control of the Company, even if such change in control would be beneficial to our stockholders.</w:t>
      </w:r>
    </w:p>
    <w:p>
      <w:pPr>
        <w:spacing w:after="0" w:line="1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stockholders. These provisions include:</w:t>
      </w:r>
    </w:p>
    <w:p>
      <w:pPr>
        <w:spacing w:after="0" w:line="135" w:lineRule="exact"/>
        <w:rPr>
          <w:sz w:val="20"/>
          <w:szCs w:val="20"/>
          <w:color w:val="auto"/>
        </w:rPr>
      </w:pPr>
    </w:p>
    <w:p>
      <w:pPr>
        <w:ind w:left="660" w:right="3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use of cumulative voting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or amend our bylaws;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duration of ownership requirements for nominations for election to the Board of Directors or for proposing matters that can be acted upon by stockholders at stockholder meetings; and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upon majority vote to amend or repeal our bylaws.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 who has a relationship with Freeman Spogli &amp; Co. may have a conflict of interest with respect to matters involving us.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One of our directors is affiliated with Freeman Spogli &amp; Co. (“Freeman Spogli”) and, as of February 15, 2024, Freeman Spogli affiliated entities own approximately 8.75% of the outstanding common stock and 1.33% voting power of the Company. This director has fiduciary duties to both us and Freeman Spogli. Our amended and restated certificate of incorporation provides that the doctrine of “corporate opportunity” will not apply with respect to Freeman Spogli or certain related parties or any of our directors who are employees of Freeman Spogli or its affiliates such that Freeman Spogli and its affiliates will be permitted to invest in competing businesses or do business with our customers. Under the amended and restated certificate of incorporation, subject to the limitations set forth therein, Freeman Spogli is not required to tell us about a corporate opportunity, may pursue that opportunity for itself or it may direct that opportunity to another person without liability to our stockholders. To the extent they invest in such other businesses, Freeman Spogli may have differing interests than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14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an “emerging growth company” within the meaning of the Securities Act and in the future will be required to comply with the auditor attestation requirements of Section 404 of the Sarbanes-Oxley Act and additional disclosure obligations.</w:t>
      </w:r>
    </w:p>
    <w:p>
      <w:pPr>
        <w:spacing w:after="0" w:line="1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previously qualified as an “emerging growth company” as defined in Section 2(a) of the Securities Act, as amended, and elected to take advantage of the benefits of the extended transition period for new or revised financial accounting standards and certain other exemptions and reduced reporting requirements provided by the Jumpstart Our Business Startups Act of 2012 (the “JOBS Act”). Accordingly, we have previously not been required to provide an auditor’s attestation report on our system of internal control over financial reporting pursuant to Section 404(b) of the Sarbanes-Oxley Act. Based on the Company’s total annual gross revenues exceeding $1.235 billion as of December 31, 2023, we lost our emerging growth company status beginning with this Annual Report on Form 10-K for the year ending December 31, 2023.</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our independent registered public accounting firm was required for the first time to provide the attestation report on our system of internal control over financial reporting in this Annual Report on Form 10-K and will be required to do so in subsequent Annual Reports. If we are unable to in any such Annual Report assert that our internal control over financial reporting is effective or if our independent registered public accounting firm is unable to express an opinion as to the effectiveness of our internal control over financial reporting, or expresses an adverse opinion, investors may lose confidence in the accuracy and completeness of our financial reports, we may face restricted access to the capital markets or other sources of funds and our stock price may be adversely affected. At this time, we are unable to assert that our internal control over financial reporting is effective and our independent registered public accounting firm is unable to express an opinion as to the effectiveness of our internal control over financial reporting.</w:t>
      </w:r>
    </w:p>
    <w:p>
      <w:pPr>
        <w:spacing w:after="0" w:line="14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qualify for and may rely on exemptions from certain corporate governance requirements.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Because our Founder, the Class B Trusts and the Freeman Spogli Funds have entered into the investor rights agreement governing certain voting arrangements with respect to more than a majority of the total voting power of our common stock, we are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15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its Board of Directors consist of independent directors;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1"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compensation committee be composed solely of independent directors with a written charter addressing the committee’s purpose and responsibilities.</w:t>
      </w:r>
    </w:p>
    <w:p>
      <w:pPr>
        <w:spacing w:after="0" w:line="1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elect to be treated as a controlled company and use these exemptions, our stockholders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13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4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Future sales of our shares could adversely affect the market price of our Class A common stock. If our existing stockholders sell a large number of shares, or if we issue a large number of shares of our common stock in connection with future acquisitions, strategic alliances, third-party investments and private placements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significantly. Moreover, the perception in the public market that these stockholders might sell shares could depress the market price of our Class A common stock. In the aggregate, as of February 15, 2024, our Founder beneficially owns 45,078,259 shares of our Class B common stock, and the Founder Family Trusts, in the aggregate, beneficially own 42,037,341 shares of Class B common stock, representing all of the outstanding shares of Class B common stock. The shares of Class B common stock beneficially owned by our Founder represent approximately 48.77% of our total voting power. The shares of Class B common stock beneficially owned by the Founder Family Trusts represent, in the aggregate, approximately 45.48% of our total voting power. Furthermore, two Freeman Spogli affiliated entities, FS Equity Partners VI, L.P. and FS Affiliates VI, L.P., own 11,777,253 and 500,290 shares of Class A common stock, respectively.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potential sale, disposition or distribution of our common stock or the perception that such sale, disposition or distribution could occur, could adversely affect prevailing market prices of our Class A common stock.</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change their recommendations regarding our Class A common stock adversely, our stock price and trading volume could decline.</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and will be influenced by the research and reports that industry or securities analysts publish about us or our business. We do not have any control over these analysts. If one or more of the analysts who cover us downgrade our Class A common stock or describe us or our business in a negative manner, the price of our Class A common stock would likely decline. If one or more of these analysts cease coverage of our Company or fails to regularly publish reports on us, we could lose visibility in the financial markets, which in turn could cause the price or trading volume of our Class A common stock to decline. In addition, if we fail to meet the expectations and forecasts for our business provided by securities analysts, the price of our Class A common stock could decline.</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or the DGCL, our amended and restated certificate of incorporation, and our amended and restated bylaws, impose various impediments to the ability of a third party to acquire control of us, even if a change of control would be beneficial to our stockholders.</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 majority of our Board of Directors may call special meetings of our stockholders. Our amended and restated certificate of incorporation also permit the issuance without stockholder approval of authorized but unissued shares of common stock and preferred stock.</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provide that our bylaws may be amended or repealed by a majority vote of our Board of Directors or by the affirmative vote of a majority of the votes which all our stockholders would be eligible to cast in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19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underwriters and any other professional or entity who has prepared or certified any part of this Annual Report. Nothing in our amended and restated certificate of incorporation precludes stockholders that assert claims under the Exchange Act from bringing such claims in state or federal court, subject to applicable law.</w:t>
      </w:r>
    </w:p>
    <w:p>
      <w:pPr>
        <w:spacing w:after="0" w:line="1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present risks which may not be fully covered by insurance.</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carry comprehensive insurance against the hazards and risks underlying our operations. We believe our insurance policies are customary in the industry; however, some losses and liabilities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may not be covered by our insurance policies. In addition, there can be no assurance that we will be able to obtain 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4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3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a public reporting company, 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addition, as a public company we are required to document and test our internal control over financial reporting pursuant to Section 404 of the Sarbanes-Oxley Act so that our management can evaluate the effectiveness of our internal control over financial reporting. Likewise, our independent registered public accounting firm is required to provide an attestation report on the effectiveness of our internal control over financial reporting. If our management is unable to certify the effectiveness of our internal control or if our independent registered public accounting firm cannot deliver a report attesting to the effectiveness of our internal control over financial reporting, or if we identify or fail to remediate any significant deficiencies or material weaknesses in our internal controls, we could be subject to regulatory scrutiny and a loss of public confidence, which could seriously harm our reputation, and the price per share of our Class A common stock could decline. See </w:t>
      </w:r>
      <w:r>
        <w:rPr>
          <w:rFonts w:ascii="Times New Roman" w:cs="Times New Roman" w:eastAsia="Times New Roman" w:hAnsi="Times New Roman"/>
          <w:sz w:val="18"/>
          <w:szCs w:val="18"/>
          <w:i w:val="1"/>
          <w:iCs w:val="1"/>
          <w:color w:val="auto"/>
        </w:rPr>
        <w:t>Item 9A Controls and Procedures</w:t>
      </w:r>
      <w:r>
        <w:rPr>
          <w:rFonts w:ascii="Times New Roman" w:cs="Times New Roman" w:eastAsia="Times New Roman" w:hAnsi="Times New Roman"/>
          <w:sz w:val="18"/>
          <w:szCs w:val="18"/>
          <w:color w:val="auto"/>
        </w:rPr>
        <w:t>, for management’s annual report on internal control over financial reporting as of December 31, 2023.</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Prior our initial public offering in November 2021, we operated on a private basis, but as a public company, we are subject to the reporting requirements of the Exchange Act, the Sarbanes-Oxley Act, the Dodd-Frank Act, the listing requirements of Nasdaq and other applicable securities laws and regulations. The expenses incurred by public companies generally for reporting and corporate governance purposes have been increasing. These rules and regulations have increased our legal and financial compliance costs and may make some activities more difficult, time-consuming and costly.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regularly subject to cyberattacks and other cybersecurity incidents. In response, we evaluate and implement cybersecurity processes, technologies, and controls to aid in our efforts to assess, identify, and manage cybersecurity risks. Our management team collaborates with our Information Security function, led by our Chief Information Officer (“CIO”) to gather insights for assessing, identifying and managing cybersecurity threat risks, their severity, and potential mitigations.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assess our information security program against the National Institute of Standards and Technology Cybersecurity Framework (NIST CSF). This program includes policies, processes and procedures to help assess and identify our cybersecurity risks and inform how security measures and controls are developed, implemented and maintained. Such risk assessments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consult with outside advisors and experts to assist with assessing, identifying, and managing cybersecurity risks, including to anticipate future threats and trends, and their impact on the Company’s risk environment. In addition, we continue to expand training and awareness practices to mitigate risk from human error, including mandatory computer-based training and internal communications for employees. Our employees undergo cybersecurity awareness training and regular phishing awareness campaigns that are based upon and designed to emulate real-world contemporary threats. We provide prompt feedback (and, if necessary, additional training or remedial action) based on the results of such exercises. Our processes also considers cybersecurity risks associated with our use of third-party service providers including suppliers, software and cloud-based service providers during contracting and vendor selection processes.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processes, technologies, and controls that we have in place to reduce the likelihood of a material cybersecurity incident (or series of related cybersecurity incidents), the Company has a written incident response plan outlining how to address cybersecurity events that occur. The plan sets forth the steps for coordination among various corporate functions and governance groups and serves as a framework for the execution of responsibilities across businesses and operational roles. Our incident response plan is designed to help us coordinate actions to prepare for, detect, respond to and recover from cybersecurity incidents, and includes processes to triage, assess severity, escalate, contain, investigate, and remediate the incident, as well as to assess the need for disclosure, comply with applicable legal obligations and mitigate the impact to our brand and reputation and on impacted parties. We also maintain insurance coverage that, subject to its terms and conditions, is intended to help us cover certain costs associated with cybersecurity incidents and information system failures.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 the third parties it relies on) may not be able to fully, continuously, or effectively design and implement security controls as intended. As described above, we utilize a risk-based approach and judgment to determine whether and how to implement certain security controls and it is possible that we may not implement the necessary controls if we are unable to recognize or underestimate a particular risk. In addition, security controls, no matter how well designed or implemented, may only mitigate and not fully eliminate cybersecurity risks. Cybersecurity events, when detected by security tools or third parties, may not always be identified immediately or addressed in the manner intended by our cybersecurity incident response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cybersecurity risks on business strategy, results of operations or financial condition</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information available as of the date of this Form 10-K, we have no reason to believe any risks from cybersecurity threats, including as a result of any previous cybersecurity incidents, have materially affected or are reasonably likely to materially affect us, including our business strategy, results of operations or financial condition. For additional information, see Item 1A, “Risk Factors” in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led by our CIO. Our cybersecurity team has experience in various roles across multiple industries involving managing information security, developing cybersecurity strategy, implementing effective information and cybersecurity programs and managing multiple industry and regulatory compliance environments.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overall risk management processes and the Audit Committee of our Board of Directors has primary oversight responsibility for the Company’s cybersecurity and other technology risks. The Committee reviews and discusses with management our cybersecurity, privacy and data security programs, the status of projects to strengthen internal systems and any significant cybersecurity incidents, including recent incidents at other companies and the emerging threat landscape. The Committee also reviews with management the implementation and effectiveness of the Company’s controls to monitor and mitigate cybersecurity risks. In addition, our Board receives periodic updates regarding our cybersecurity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 xml:space="preserve">Our headquarters and primary distribution center are located at 51 E. Hines Hill Road, Boston Heights, Ohio, just outside of Cleveland, Ohio. We believe that our current headquarters and facilities are well maintained. The following table sets forth the location, use and size of our corporate, distribution, manufacturing, warehouse, and retail facilities 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w:t>
            </w:r>
          </w:p>
        </w:tc>
        <w:tc>
          <w:tcPr>
            <w:tcW w:w="31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Approximate Square Footage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520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Boston Heights, Ohio</w:t>
            </w:r>
            <w:r>
              <w:rPr>
                <w:rFonts w:ascii="Times New Roman" w:cs="Times New Roman" w:eastAsia="Times New Roman" w:hAnsi="Times New Roman"/>
                <w:sz w:val="21"/>
                <w:szCs w:val="21"/>
                <w:color w:val="auto"/>
                <w:vertAlign w:val="superscript"/>
              </w:rPr>
              <w:t>(1)</w:t>
            </w:r>
          </w:p>
        </w:tc>
        <w:tc>
          <w:tcPr>
            <w:tcW w:w="258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headquarters and</w:t>
            </w:r>
          </w:p>
        </w:tc>
        <w:tc>
          <w:tcPr>
            <w:tcW w:w="2820" w:type="dxa"/>
            <w:vAlign w:val="bottom"/>
            <w:gridSpan w:val="2"/>
            <w:shd w:val="clear" w:color="auto" w:fill="CCEEFF"/>
          </w:tcPr>
          <w:p>
            <w:pPr>
              <w:jc w:val="center"/>
              <w:ind w:left="490"/>
              <w:spacing w:after="0" w:line="184" w:lineRule="exact"/>
              <w:rPr>
                <w:sz w:val="20"/>
                <w:szCs w:val="20"/>
                <w:color w:val="auto"/>
              </w:rPr>
            </w:pPr>
            <w:r>
              <w:rPr>
                <w:rFonts w:ascii="Times New Roman" w:cs="Times New Roman" w:eastAsia="Times New Roman" w:hAnsi="Times New Roman"/>
                <w:sz w:val="18"/>
                <w:szCs w:val="18"/>
                <w:color w:val="auto"/>
                <w:w w:val="99"/>
              </w:rPr>
              <w:t>1,003,500</w:t>
            </w:r>
          </w:p>
        </w:tc>
        <w:tc>
          <w:tcPr>
            <w:tcW w:w="32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w:t>
            </w:r>
          </w:p>
        </w:tc>
        <w:tc>
          <w:tcPr>
            <w:tcW w:w="5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52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Conover, North Carolina</w:t>
            </w:r>
            <w:r>
              <w:rPr>
                <w:rFonts w:ascii="Times New Roman" w:cs="Times New Roman" w:eastAsia="Times New Roman" w:hAnsi="Times New Roman"/>
                <w:sz w:val="21"/>
                <w:szCs w:val="21"/>
                <w:color w:val="auto"/>
                <w:vertAlign w:val="superscript"/>
              </w:rPr>
              <w:t>(1)</w:t>
            </w:r>
          </w:p>
        </w:tc>
        <w:tc>
          <w:tcPr>
            <w:tcW w:w="25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Distribution center and</w:t>
            </w:r>
          </w:p>
        </w:tc>
        <w:tc>
          <w:tcPr>
            <w:tcW w:w="2820" w:type="dxa"/>
            <w:vAlign w:val="bottom"/>
            <w:gridSpan w:val="2"/>
          </w:tcPr>
          <w:p>
            <w:pPr>
              <w:jc w:val="center"/>
              <w:ind w:left="490"/>
              <w:spacing w:after="0" w:line="184" w:lineRule="exact"/>
              <w:rPr>
                <w:sz w:val="20"/>
                <w:szCs w:val="20"/>
                <w:color w:val="auto"/>
              </w:rPr>
            </w:pPr>
            <w:r>
              <w:rPr>
                <w:rFonts w:ascii="Times New Roman" w:cs="Times New Roman" w:eastAsia="Times New Roman" w:hAnsi="Times New Roman"/>
                <w:sz w:val="18"/>
                <w:szCs w:val="18"/>
                <w:color w:val="auto"/>
              </w:rPr>
              <w:t>497,000</w:t>
            </w:r>
          </w:p>
        </w:tc>
        <w:tc>
          <w:tcPr>
            <w:tcW w:w="3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manufacturing facility</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Dallas, Texas</w:t>
            </w:r>
            <w:r>
              <w:rPr>
                <w:rFonts w:ascii="Times New Roman" w:cs="Times New Roman" w:eastAsia="Times New Roman" w:hAnsi="Times New Roman"/>
                <w:sz w:val="23"/>
                <w:szCs w:val="23"/>
                <w:color w:val="auto"/>
                <w:vertAlign w:val="superscript"/>
              </w:rPr>
              <w:t>(1)</w:t>
            </w: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800,700</w:t>
            </w:r>
          </w:p>
        </w:tc>
        <w:tc>
          <w:tcPr>
            <w:tcW w:w="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Walton Hills, Ohio</w:t>
            </w:r>
            <w:r>
              <w:rPr>
                <w:rFonts w:ascii="Times New Roman" w:cs="Times New Roman" w:eastAsia="Times New Roman" w:hAnsi="Times New Roman"/>
                <w:sz w:val="23"/>
                <w:szCs w:val="23"/>
                <w:color w:val="auto"/>
                <w:vertAlign w:val="superscript"/>
              </w:rPr>
              <w:t>(1)</w:t>
            </w: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28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235,900</w:t>
            </w:r>
          </w:p>
        </w:tc>
        <w:tc>
          <w:tcPr>
            <w:tcW w:w="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Traditional Showrooms, Design Studios and Outlets</w:t>
            </w:r>
            <w:r>
              <w:rPr>
                <w:rFonts w:ascii="Times New Roman" w:cs="Times New Roman" w:eastAsia="Times New Roman" w:hAnsi="Times New Roman"/>
                <w:sz w:val="23"/>
                <w:szCs w:val="23"/>
                <w:color w:val="auto"/>
                <w:vertAlign w:val="superscript"/>
              </w:rPr>
              <w:t>(1)(2)</w:t>
            </w: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2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1,438,200</w:t>
            </w:r>
          </w:p>
        </w:tc>
        <w:tc>
          <w:tcPr>
            <w:tcW w:w="320" w:type="dxa"/>
            <w:vAlign w:val="bottom"/>
            <w:shd w:val="clear" w:color="auto" w:fill="CCEEFF"/>
          </w:tcPr>
          <w:p>
            <w:pPr>
              <w:spacing w:after="0"/>
              <w:rPr>
                <w:sz w:val="19"/>
                <w:szCs w:val="19"/>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70"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6"/>
          <w:szCs w:val="16"/>
          <w:color w:val="231F20"/>
          <w:vertAlign w:val="superscript"/>
        </w:rPr>
      </w:pPr>
      <w:r>
        <w:rPr>
          <w:rFonts w:ascii="Times New Roman" w:cs="Times New Roman" w:eastAsia="Times New Roman" w:hAnsi="Times New Roman"/>
          <w:sz w:val="12"/>
          <w:szCs w:val="12"/>
          <w:color w:val="231F20"/>
        </w:rPr>
        <w:t xml:space="preserve">See Note 7 - </w:t>
      </w:r>
      <w:r>
        <w:rPr>
          <w:rFonts w:ascii="Times New Roman" w:cs="Times New Roman" w:eastAsia="Times New Roman" w:hAnsi="Times New Roman"/>
          <w:sz w:val="12"/>
          <w:szCs w:val="12"/>
          <w:i w:val="1"/>
          <w:iCs w:val="1"/>
          <w:color w:val="231F20"/>
        </w:rPr>
        <w:t>Leases</w:t>
      </w:r>
      <w:r>
        <w:rPr>
          <w:rFonts w:ascii="Times New Roman" w:cs="Times New Roman" w:eastAsia="Times New Roman" w:hAnsi="Times New Roman"/>
          <w:sz w:val="12"/>
          <w:szCs w:val="12"/>
          <w:color w:val="231F20"/>
        </w:rPr>
        <w:t xml:space="preserve"> to our Consolidated Financial Statements included elsewhere in this Form 10-K.</w:t>
      </w:r>
    </w:p>
    <w:p>
      <w:pPr>
        <w:spacing w:after="0" w:line="9" w:lineRule="exact"/>
        <w:rPr>
          <w:rFonts w:ascii="Times New Roman" w:cs="Times New Roman" w:eastAsia="Times New Roman" w:hAnsi="Times New Roman"/>
          <w:sz w:val="16"/>
          <w:szCs w:val="16"/>
          <w:color w:val="231F20"/>
          <w:vertAlign w:val="superscript"/>
        </w:rPr>
      </w:pPr>
    </w:p>
    <w:p>
      <w:pPr>
        <w:ind w:left="140" w:hanging="132"/>
        <w:spacing w:after="0" w:line="224" w:lineRule="auto"/>
        <w:tabs>
          <w:tab w:leader="none" w:pos="140" w:val="left"/>
        </w:tabs>
        <w:numPr>
          <w:ilvl w:val="0"/>
          <w:numId w:val="20"/>
        </w:numPr>
        <w:rPr>
          <w:rFonts w:ascii="Times New Roman" w:cs="Times New Roman" w:eastAsia="Times New Roman" w:hAnsi="Times New Roman"/>
          <w:sz w:val="16"/>
          <w:szCs w:val="16"/>
          <w:color w:val="231F20"/>
          <w:vertAlign w:val="superscript"/>
        </w:rPr>
      </w:pPr>
      <w:r>
        <w:rPr>
          <w:rFonts w:ascii="Times New Roman" w:cs="Times New Roman" w:eastAsia="Times New Roman" w:hAnsi="Times New Roman"/>
          <w:sz w:val="12"/>
          <w:szCs w:val="12"/>
          <w:color w:val="231F20"/>
        </w:rPr>
        <w:t>We lease our Traditional Showrooms, Design Studios and Outlets in multiple locations across 29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6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We are currently not a party to any legal proceedings, the outcome of which, if determined adversely to us, would individually or in the aggregate have a material adverse effect on our business, financial condition or results of operations. See Note 13—</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xml:space="preserve"> to our consolidated financial statements included elsewhere in this Annual Report on Form 10-K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5" w:name="page46"/>
    <w:bookmarkEnd w:id="45"/>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4, 2021, our Class A common stock began trading on the Nasdaq Global Select Market under the symbol “ARHS.” Prior to that date, there was no public trading market for our Class A common stock. There is no public trading market for our Class B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with respect to repurchases of shares made by the Company during the three months ended December 31, 2023. The table reflects shares delivered to the Company by employees to satisfy tax withholding obligations due upon the vesting of restricted stock. These shares were not repurchased in connection with any publicly announced share repurchase programs.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6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2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120" w:type="dxa"/>
            <w:vAlign w:val="bottom"/>
          </w:tcPr>
          <w:p>
            <w:pPr>
              <w:spacing w:after="0"/>
              <w:rPr>
                <w:sz w:val="15"/>
                <w:szCs w:val="15"/>
                <w:color w:val="auto"/>
              </w:rPr>
            </w:pPr>
          </w:p>
        </w:tc>
        <w:tc>
          <w:tcPr>
            <w:tcW w:w="27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 purchased under</w:t>
            </w:r>
          </w:p>
        </w:tc>
        <w:tc>
          <w:tcPr>
            <w:tcW w:w="0" w:type="dxa"/>
            <w:vAlign w:val="bottom"/>
          </w:tcPr>
          <w:p>
            <w:pPr>
              <w:spacing w:after="0"/>
              <w:rPr>
                <w:sz w:val="1"/>
                <w:szCs w:val="1"/>
                <w:color w:val="auto"/>
              </w:rPr>
            </w:pPr>
          </w:p>
        </w:tc>
      </w:tr>
      <w:tr>
        <w:trPr>
          <w:trHeight w:val="243"/>
        </w:trPr>
        <w:tc>
          <w:tcPr>
            <w:tcW w:w="1620" w:type="dxa"/>
            <w:vAlign w:val="bottom"/>
            <w:vMerge w:val="continue"/>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6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20" w:type="dxa"/>
            <w:vAlign w:val="bottom"/>
          </w:tcPr>
          <w:p>
            <w:pPr>
              <w:spacing w:after="0"/>
              <w:rPr>
                <w:sz w:val="21"/>
                <w:szCs w:val="21"/>
                <w:color w:val="auto"/>
              </w:rPr>
            </w:pPr>
          </w:p>
        </w:tc>
        <w:tc>
          <w:tcPr>
            <w:tcW w:w="2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0" w:type="dxa"/>
            <w:vAlign w:val="bottom"/>
          </w:tcPr>
          <w:p>
            <w:pPr>
              <w:spacing w:after="0"/>
              <w:rPr>
                <w:sz w:val="1"/>
                <w:szCs w:val="1"/>
                <w:color w:val="auto"/>
              </w:rPr>
            </w:pPr>
          </w:p>
        </w:tc>
      </w:tr>
      <w:tr>
        <w:trPr>
          <w:trHeight w:val="223"/>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tcBorders>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7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2580" w:type="dxa"/>
            <w:vAlign w:val="bottom"/>
            <w:tcBorders>
              <w:top w:val="single" w:sz="8" w:color="auto"/>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February 29, 2024, there were 136 stockholders of record of our Class A common stock and 4 stockholders of record of our Class B common stock. The actual number of holders of our Class A and Class B common stock is greater than the number of record holders stated above, and includes stockholders who are beneficial owners, but whose shares are held in “street name” by brokers or other nominees. The number of holders of record presented here also does not include beneficial stockholders whose shares may be held in trust by other entities.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graph below presents our cumulative total shareholder returns on our common stock relative to the performance of the Nasdaq Global Composite Index and the Dow Jones U.S. Furnishings Index. The graph assumes $100 was invested in our Class A common stock at the market close on November 4, 2021, which was the first day our Class A common stock began trading, and its relative performance is tracked through December 31, 2023. The graph uses the closing market price on November 4, 2021 of $12.80 per share as the initial value of our Class A common stock. Data for the Nasdaq Global Composite Index and Dow Jones U.S. Furnishings Index assumes reinvestment of dividends. The performance shown in the graph below is based upon historical data and is not indicative of, nor intended to forecast, future performance of our Class A common stock.</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5589270" cy="3257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58927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prepared this Management's Discussion and Analysis (“MD&amp;A”) as an aid to understanding our financial results. It should be read together with the accompanying consolidated financial statements and related notes. It includes management’s analysis of past financial results and certain potential factors that may affect future results, potential future risks and approaches that may be used to manage those risks. Some of the statements we make in this section are forward-looking statements within the meaning of the federal securities laws. For a complete discussion of forward-looking statements, see the section in this Report entitled “Special Note Regarding Forward-Looking Statements.” In addition to the discussion of potential risks discussed in MD&amp;A, certain other risk factors may cause actual results, performance or achievements to differ materially from those expressed or implied by the following discussion. For a discussion of such risk factors, see the section in this Annual Report entitled “Risk Factors.”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discussion and analysis addresses 2023 and 2022 items and year-over-year comparisons between 2023 and 2022. Discussions regarding our financial condition and results of operations for 2022 compared to 2021 not included in this Annual Report on Form 10-K can be found in “Management’s Discussion and Analysis of Financial Condition and Results of Operations” in our Annual Report on Form 10-K for the fiscal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Consolidated Financial Statements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has been amended to give effect to the revision of our consolidated balance sheet and consolidated statements of cash flows, as more fully described in Note 1 –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to the Notes to Consolidated Financial Statements – Revision of Previously Issued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outdoor, lighting, textiles, and décor.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2023, we operated 92 Showrooms in 29 states, consisting of 80 Traditional Showrooms, 8 Design Studios and 4 Outlets.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growth, improve our results of operations and achieve and maintain profitability.</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Overall Economic Trends</w:t>
      </w:r>
      <w:r>
        <w:rPr>
          <w:rFonts w:ascii="Times New Roman" w:cs="Times New Roman" w:eastAsia="Times New Roman" w:hAnsi="Times New Roman"/>
          <w:sz w:val="18"/>
          <w:szCs w:val="18"/>
          <w:color w:val="auto"/>
        </w:rPr>
        <w:t>. The industry in which we operate is cyclical. Consequently, our net revenue is affected by general economic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conditions that affect the housing market and economic factors including the health and volatility of the stock market. We target consumers of high-end home furnishings. As a result, we believe that our sales are sensitive to a number of macroeconomic factors that influence consumer spending generally, and that our sales are particularly affected by the health of the higher end consumer and demand levels from that consumer demographic. While the overall home furnishings market may be influenced by factors such as employment levels, interest rates, new household formation and the affordability of homes for first time home buyers, the higher end of the housing market may be disproportionately influenced by other factors, including stock market prices, the number of second and third homes being purchased and sold, tax policies, interest rates, and perceived capital appreciation prospects in higher end real estate. Shifts in consumption patterns may continue to have an impact on consumer spending in the U.S. premium home furnishings market. In the past, we have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8" w:name="page49"/>
    <w:bookmarkEnd w:id="48"/>
    <w:p>
      <w:pPr>
        <w:ind w:right="600"/>
        <w:spacing w:after="0" w:line="282" w:lineRule="auto"/>
        <w:rPr>
          <w:sz w:val="20"/>
          <w:szCs w:val="20"/>
          <w:color w:val="auto"/>
        </w:rPr>
      </w:pPr>
      <w:r>
        <w:rPr>
          <w:rFonts w:ascii="Times New Roman" w:cs="Times New Roman" w:eastAsia="Times New Roman" w:hAnsi="Times New Roman"/>
          <w:sz w:val="18"/>
          <w:szCs w:val="18"/>
          <w:color w:val="auto"/>
        </w:rPr>
        <w:t>experienced volatility in our sales trends related to many of these factors and believe our sales may be impacted by these economic factors in future periods.</w:t>
      </w:r>
    </w:p>
    <w:p>
      <w:pPr>
        <w:spacing w:after="0" w:line="13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i w:val="1"/>
          <w:iCs w:val="1"/>
          <w:color w:val="auto"/>
        </w:rPr>
        <w:t>Housing Market and Housing Turnover</w:t>
      </w:r>
      <w:r>
        <w:rPr>
          <w:rFonts w:ascii="Times New Roman" w:cs="Times New Roman" w:eastAsia="Times New Roman" w:hAnsi="Times New Roman"/>
          <w:sz w:val="17"/>
          <w:szCs w:val="17"/>
          <w:color w:val="auto"/>
        </w:rPr>
        <w:t>. Our business depends on consumer demand for our products and is therefore sensitive to a number of factors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influence consumer spending, including, among other things, housing prices, new construction, other activity in the housing sector,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Strategic Initiatives. </w:t>
      </w:r>
      <w:r>
        <w:rPr>
          <w:rFonts w:ascii="Times New Roman" w:cs="Times New Roman" w:eastAsia="Times New Roman" w:hAnsi="Times New Roman"/>
          <w:sz w:val="18"/>
          <w:szCs w:val="18"/>
          <w:color w:val="auto"/>
        </w:rPr>
        <w:t>We are in the process of implementing a number of business initiatives that have had, and will continue to have, an impact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These initiatives include expanding our Showroom footprint, enhancing our digital marketing capabilities and eCommerce platform, optimizing our product assortment, expanding our supply chain infrastructure and continuing to invest in technology and related enhancements.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rates in the near term and may amplify fluctuations in our growth rates from quarter to quarter.</w:t>
      </w:r>
    </w:p>
    <w:p>
      <w:pPr>
        <w:spacing w:after="0" w:line="14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r>
        <w:rPr>
          <w:rFonts w:ascii="Times New Roman" w:cs="Times New Roman" w:eastAsia="Times New Roman" w:hAnsi="Times New Roman"/>
          <w:sz w:val="18"/>
          <w:szCs w:val="18"/>
          <w:color w:val="auto"/>
        </w:rPr>
        <w:t>. Our net revenue and gross margin are affected by our ability to purchase merchandise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quantities at competitive prices. Our level of net revenue has been adversely affected in prior periods by supply chain constraints, including the inability of our vendors to produce or ship sufficient quantities of some merchandise to match market demand from our clients, leading to higher levels of client backlog.</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Consumer Preferences and Demand</w:t>
      </w:r>
      <w:r>
        <w:rPr>
          <w:rFonts w:ascii="Times New Roman" w:cs="Times New Roman" w:eastAsia="Times New Roman" w:hAnsi="Times New Roman"/>
          <w:sz w:val="18"/>
          <w:szCs w:val="18"/>
          <w:color w:val="auto"/>
        </w:rPr>
        <w:t>. Our ability to maintain our appeal with existing clients and to attract new clients depends on our ability to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offer a compelling product 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1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Seasonality in Quarterly Results</w:t>
      </w:r>
      <w:r>
        <w:rPr>
          <w:rFonts w:ascii="Times New Roman" w:cs="Times New Roman" w:eastAsia="Times New Roman" w:hAnsi="Times New Roman"/>
          <w:sz w:val="18"/>
          <w:szCs w:val="18"/>
          <w:color w:val="auto"/>
        </w:rPr>
        <w:t>. Our quarterly results vary depending upon a variety of factors, including changes in our product offerings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merchandise assortments and categories, the opening of new retail locations, shifts in the timing of various events quarter over quarter including holidays and other events such as Showroom closures, catalog releases, promotional events and the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among the quarters being compared, and the results for any quarter are not necessarily indicative of the results that we may achieve for a full year.</w:t>
      </w:r>
    </w:p>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example, our large catalogs in the spring and fall may drive higher demand in the months they are released than in the other months in the year. Variable expenses related to demand will also be higher in those months. Net revenue related to demand is recorded in later months, depending on when the client obtains control of the merchandise.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10-K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period-to-period by removing the effect of non-recurring items.</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9" w:name="page50"/>
    <w:bookmarkEnd w:id="49"/>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4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catalogs and other direct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4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Showroom Data. </w:t>
            </w:r>
            <w:r>
              <w:rPr>
                <w:rFonts w:ascii="Times New Roman" w:cs="Times New Roman" w:eastAsia="Times New Roman" w:hAnsi="Times New Roman"/>
                <w:sz w:val="18"/>
                <w:szCs w:val="18"/>
                <w:color w:val="auto"/>
              </w:rPr>
              <w:t>As of December 31, 2023 and 2022, we operated the following:</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960" w:type="dxa"/>
            <w:vAlign w:val="bottom"/>
            <w:gridSpan w:val="2"/>
          </w:tcPr>
          <w:p>
            <w:pPr>
              <w:ind w:left="8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Showrooms</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
        </w:trPr>
        <w:tc>
          <w:tcPr>
            <w:tcW w:w="8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7"/>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6"/>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Square Footage (in thousands)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1,438</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7"/>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with in-home designers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States where we operate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1" w:right="379" w:bottom="1440" w:gutter="0" w:footer="0" w:header="0"/>
        </w:sectPr>
      </w:pPr>
    </w:p>
    <w:bookmarkStart w:id="50" w:name="page51"/>
    <w:bookmarkEnd w:id="50"/>
    <w:p>
      <w:pPr>
        <w:ind w:right="280"/>
        <w:spacing w:after="0" w:line="282" w:lineRule="auto"/>
        <w:rPr>
          <w:sz w:val="20"/>
          <w:szCs w:val="20"/>
          <w:color w:val="auto"/>
        </w:rPr>
      </w:pPr>
      <w:r>
        <w:rPr>
          <w:rFonts w:ascii="Times New Roman" w:cs="Times New Roman" w:eastAsia="Times New Roman" w:hAnsi="Times New Roman"/>
          <w:sz w:val="18"/>
          <w:szCs w:val="18"/>
          <w:color w:val="auto"/>
        </w:rPr>
        <w:t>costs associated with shipping product to our clients, partially offset by delivery fees collected from clients (recorded in net revenue on the consolidated statements of comprehensive income).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expense (income), net and income tax expense.</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w:t>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EBITDA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100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r>
      <w:tr>
        <w:trPr>
          <w:trHeight w:val="247"/>
        </w:trPr>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r>
      <w:tr>
        <w:trPr>
          <w:trHeight w:val="234"/>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24,901</w:t>
            </w:r>
          </w:p>
        </w:tc>
      </w:tr>
      <w:tr>
        <w:trPr>
          <w:trHeight w:val="218"/>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210,866</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34"/>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203,481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222,536</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-1242695</wp:posOffset>
            </wp:positionV>
            <wp:extent cx="69780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8015"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-925195</wp:posOffset>
            </wp:positionV>
            <wp:extent cx="697801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-633730</wp:posOffset>
            </wp:positionV>
            <wp:extent cx="697801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-333375</wp:posOffset>
            </wp:positionV>
            <wp:extent cx="697801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320" w:space="720"/>
            <w:col w:w="3180"/>
          </w:cols>
          <w:pgMar w:left="320" w:top="1323" w:right="359" w:bottom="1440" w:gutter="0" w:footer="0" w:header="0"/>
          <w:type w:val="continuous"/>
        </w:sectPr>
      </w:pPr>
    </w:p>
    <w:p>
      <w:pPr>
        <w:jc w:val="both"/>
        <w:ind w:right="40" w:firstLine="8"/>
        <w:spacing w:after="0" w:line="461" w:lineRule="auto"/>
        <w:tabs>
          <w:tab w:leader="none" w:pos="132"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expenses represent costs and investments not indicative of ongoing business performance, such as public offering costs, third-party consulting costs, one-time project start-up costs, severance, signing bonuses, recruiting and project-based strategic initiatives. For the year ended December 31, 2023, these other expenses consisted largely of $0.5 million of public offering costs. For the year ended December 31, 2022, these other expenses consisted largely of $5.0 million of costs related to the opening and set-up of our Dallas distribution center and $1.6 million of severance, signing bonuses and recruiting costs.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 Openings and Closings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Showrooms contribute incremental expense, new Showroom opening expense and net revenue to the Company. From January 1, 2022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 successfully opened or relocated 18 new Showrooms. Our recent Showroom growth is summarized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8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9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02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r>
    </w:tbl>
    <w:p>
      <w:pPr>
        <w:spacing w:after="0" w:line="58"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Showrooms opened during the respective periods includes both new and relocated Showrooms.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and should be read together with our consolidated financial statements and related notes.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Data:</w:t>
            </w: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747,281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703,869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340,388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taxes</w:t>
            </w: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0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4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8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231F20"/>
        </w:rPr>
        <w:t>Other Operational Data:</w:t>
      </w:r>
    </w:p>
    <w:p>
      <w:pPr>
        <w:spacing w:after="0" w:line="23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20485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9691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9125" cy="17145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Comparable growth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Demand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691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912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p>
      <w:pPr>
        <w:spacing w:after="0" w:line="50" w:lineRule="exact"/>
        <w:rPr>
          <w:sz w:val="20"/>
          <w:szCs w:val="20"/>
          <w:color w:val="auto"/>
        </w:rPr>
      </w:pPr>
    </w:p>
    <w:p>
      <w:pPr>
        <w:ind w:left="20" w:right="2240"/>
        <w:spacing w:after="0" w:line="305" w:lineRule="auto"/>
        <w:rPr>
          <w:sz w:val="20"/>
          <w:szCs w:val="20"/>
          <w:color w:val="auto"/>
        </w:rPr>
      </w:pPr>
      <w:r>
        <w:rPr>
          <w:rFonts w:ascii="Times New Roman" w:cs="Times New Roman" w:eastAsia="Times New Roman" w:hAnsi="Times New Roman"/>
          <w:sz w:val="18"/>
          <w:szCs w:val="18"/>
          <w:color w:val="auto"/>
        </w:rPr>
        <w:t>Selling, general and administrative expenses as a % of net revenue Income from operations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9691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91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69691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912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and comprehensive income as a % of net revenue</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96912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912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6912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9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4920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1,287,704</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1,228,928</w:t>
            </w:r>
          </w:p>
        </w:tc>
      </w:tr>
      <w:tr>
        <w:trPr>
          <w:trHeight w:val="257"/>
        </w:trPr>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56"/>
        </w:trPr>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57"/>
        </w:trPr>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57"/>
        </w:trPr>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57"/>
        </w:trPr>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70"/>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125,239</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136,634</w:t>
            </w:r>
          </w:p>
        </w:tc>
      </w:tr>
      <w:tr>
        <w:trPr>
          <w:trHeight w:val="265"/>
        </w:trPr>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4"/>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203,481</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222,536</w:t>
            </w:r>
          </w:p>
        </w:tc>
      </w:tr>
      <w:tr>
        <w:trPr>
          <w:trHeight w:val="252"/>
        </w:trPr>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34"/>
        </w:trPr>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3" w:lineRule="exact"/>
        <w:rPr>
          <w:sz w:val="20"/>
          <w:szCs w:val="20"/>
          <w:color w:val="auto"/>
        </w:rPr>
      </w:pPr>
    </w:p>
    <w:p>
      <w:pPr>
        <w:sectPr>
          <w:pgSz w:w="11900" w:h="16838" w:orient="portrait"/>
          <w:cols w:equalWidth="0" w:num="2">
            <w:col w:w="7060" w:space="720"/>
            <w:col w:w="3460"/>
          </w:cols>
          <w:pgMar w:left="320" w:top="1319" w:right="339" w:bottom="1440" w:gutter="0" w:footer="0" w:header="0"/>
          <w:type w:val="continuous"/>
        </w:sectPr>
      </w:pPr>
    </w:p>
    <w:p>
      <w:pPr>
        <w:ind w:left="160" w:hanging="152"/>
        <w:spacing w:after="0"/>
        <w:tabs>
          <w:tab w:leader="none" w:pos="160" w:val="left"/>
        </w:tabs>
        <w:numPr>
          <w:ilvl w:val="0"/>
          <w:numId w:val="23"/>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See “How We Assess the Performance of Our Business” for a definition of adjusted EBITDA and a reconciliation of adjusted EBITDA to net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revenue increased $58.8 million, or 4.8%, to $1,287.7 million in 2023 compared to $1,228.9 million in 2022. The increase was driven primarily by increased demand for our products in both Showrooms and eCommerce channels, as well as elements of our supply chain continuing to catch up with client demand.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growth was 1.4% in 2023 compared to 51.6% in 2022. Demand comparable growth was 7.6% in 2023 compared to 13.8% in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margin increased $15.3 million, or 2.9%, to $540.4 million in 2023 compared to $525.1 million in 2022. The increase was driven by the increase in net revenue, partially offset by increased expense related to the higher net revenue, including $16.1 million of higher product costs, $10.6 million of increased Showroom costs, $9.8 million of increased transportation costs and $3.6 million of higher credit card fees related to higher demand during these time periods.</w:t>
      </w:r>
    </w:p>
    <w:p>
      <w:pPr>
        <w:spacing w:after="0" w:line="13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decreased 70 basis points to 42.0% of net revenue in 2023 compared to 42.7% of net revenue in 2022. The gross margin decrease as a percentage of net revenue was primarily the result of higher Showroom costs, transportation costs and credit card fees, which together increased 100 basis points as a percentage of net revenue. This was partially offset by favorable product costs, contributing 40 basis points as a percentage of net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SG&amp;A expenses increased $35.7 million, or 10.5%, to $376.1 million in 2023 compared to $340.4 million in 2022. The increase was primarily driven by a $19.2 million increase in corporate expenses to support the growth of the business, a $15.8 million increase in selling expenses primarily related to new Showrooms and higher demand, the donation to The Nature Conservancy of $10.0 million and a $3.6 million increase in stock based compensation expense. This was partially offset by a $7.5 million decrease in warehouse expenses and the non-recurring costs of $5.0 million related to the opening and set-up of our Dallas distribution center.</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percentage of net revenue, selling, general and administrative expenses increased 150 basis points to 29.2% of net revenue in 2023 compared to 27.7% of net revenue in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(income), net decreased $6.7 million in 2023 compared 2022. The decrease was driven by interest income earned on money market fund investments and interest-bearing checking accounts of $8.8 million.</w:t>
      </w:r>
    </w:p>
    <w:p>
      <w:pPr>
        <w:sectPr>
          <w:pgSz w:w="11900" w:h="16838" w:orient="portrait"/>
          <w:cols w:equalWidth="0" w:num="1">
            <w:col w:w="11240"/>
          </w:cols>
          <w:pgMar w:left="320" w:top="1319"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820"/>
        <w:spacing w:after="0" w:line="453" w:lineRule="auto"/>
        <w:rPr>
          <w:sz w:val="20"/>
          <w:szCs w:val="20"/>
          <w:color w:val="auto"/>
        </w:rPr>
      </w:pPr>
      <w:r>
        <w:rPr>
          <w:rFonts w:ascii="Times New Roman" w:cs="Times New Roman" w:eastAsia="Times New Roman" w:hAnsi="Times New Roman"/>
          <w:sz w:val="18"/>
          <w:szCs w:val="18"/>
          <w:color w:val="auto"/>
        </w:rPr>
        <w:t xml:space="preserve">Income tax expense was $43.5 million in 2023 compared to $45.9 million in 2022. Our effective tax rate was 25.8% in 2023 and 25.2% in 2022. </w:t>
      </w:r>
      <w:r>
        <w:rPr>
          <w:rFonts w:ascii="Times New Roman" w:cs="Times New Roman" w:eastAsia="Times New Roman" w:hAnsi="Times New Roman"/>
          <w:sz w:val="18"/>
          <w:szCs w:val="18"/>
          <w:b w:val="1"/>
          <w:bCs w:val="1"/>
          <w:i w:val="1"/>
          <w:iCs w:val="1"/>
          <w:color w:val="auto"/>
        </w:rPr>
        <w:t>Net and Comprehensive Income</w:t>
      </w:r>
    </w:p>
    <w:p>
      <w:pPr>
        <w:spacing w:after="0" w:line="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$11.4 million to $125.2 million in 2023 compared to $136.6 million in 2022. The decrease was driven by the factors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December 31, 2023, we had cash and cash equivalents of $223.1 million.</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(1.50% at December 31, 2023 and 1.50% at December 31, 2022), whereas the applicable margin is adjusted quarterly based on the Company’s consolidated rent-adjusted total leverage ratio.</w:t>
      </w:r>
    </w:p>
    <w:p>
      <w:pPr>
        <w:spacing w:after="0" w:line="1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December 31, 2023, we had no borrowings on the 2021 Credit Facility.</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and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914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2023 and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770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2"/>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w:t>
            </w:r>
          </w:p>
        </w:tc>
      </w:tr>
      <w:tr>
        <w:trPr>
          <w:trHeight w:val="257"/>
        </w:trPr>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w:t>
            </w:r>
          </w:p>
        </w:tc>
      </w:tr>
      <w:tr>
        <w:trPr>
          <w:trHeight w:val="261"/>
        </w:trPr>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48" w:lineRule="exact"/>
        <w:rPr>
          <w:sz w:val="20"/>
          <w:szCs w:val="20"/>
          <w:color w:val="auto"/>
        </w:rPr>
      </w:pPr>
    </w:p>
    <w:p>
      <w:pPr>
        <w:sectPr>
          <w:pgSz w:w="11900" w:h="16838" w:orient="portrait"/>
          <w:cols w:equalWidth="0" w:num="2">
            <w:col w:w="7940" w:space="280"/>
            <w:col w:w="3000"/>
          </w:cols>
          <w:pgMar w:left="320" w:top="1319" w:right="359" w:bottom="1440" w:gutter="0" w:footer="0" w:header="0"/>
        </w:sect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2023, net cash provided by operating activities was $172.3 million and consisted of net income of $125.2 million and an increase in non-cash items of $90.9 million, which were partially offset by a change in working capital and other activities of $43.8 million. The use of cash from working capital was primarily driven by a decrease in client deposits of $28.8 million, a decrease in operating lease liabilities of $25.8 million primarily due to payments made under the related lease agreements, an increase in prepaid and other assets of $20.7 million, a decrease in accrued expenses of $1.5 million, which were partially offset by a decrease in merchandise inventory of $32.1 million and an increase in accounts payable of $1.2 million.</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2022, net cash provided by operating activities was $73.2 million and consisted of net income of $136.6 million, an increase in non-cash items of $80.4 million, which were partially offset by a change in working capital and other activities of $143.8 million. The use of cash from working capital was primarily driven by an increase in merchandise inventory of $78.1 million, a decrease in client deposits of $62.3 million due to improved delivery of our backlog orders and lower demand comparable growth in 2022, a decrease in operating lease liabilities of $33.7 million primarily due to payments made under the related lease agreements, an increase in prepaid and other assets of $6.9 million, which were partially offset by an increase in accrued expenses $27.7 million, an increase in accounts payable of $10.3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retail Showrooms, information technology and systems infrastructure upgrades as well as supply chain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2023 and December 31, 2022</w:t>
      </w:r>
    </w:p>
    <w:p>
      <w:pPr>
        <w:spacing w:after="0" w:line="20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2023, net cash used in investing activities was $96.7 million primarily due to investments in Showrooms, supply chain expansion and information technology and systems infrastructure.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2022, net cash used in investing activities was $51.4 million primarily due to investments in supply chain expansion, Showrooms and information technology and systems infrastructure.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4"/>
                <w:szCs w:val="24"/>
                <w:color w:val="auto"/>
              </w:rPr>
            </w:pPr>
          </w:p>
        </w:tc>
      </w:tr>
      <w:tr>
        <w:trPr>
          <w:trHeight w:val="256"/>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40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19" w:right="3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type w:val="continuous"/>
        </w:sectPr>
      </w:pPr>
    </w:p>
    <w:bookmarkStart w:id="55" w:name="page56"/>
    <w:bookmarkEnd w:id="55"/>
    <w:p>
      <w:pPr>
        <w:ind w:right="340"/>
        <w:spacing w:after="0" w:line="282" w:lineRule="auto"/>
        <w:rPr>
          <w:sz w:val="20"/>
          <w:szCs w:val="20"/>
          <w:color w:val="auto"/>
        </w:rPr>
      </w:pPr>
      <w:r>
        <w:rPr>
          <w:rFonts w:ascii="Times New Roman" w:cs="Times New Roman" w:eastAsia="Times New Roman" w:hAnsi="Times New Roman"/>
          <w:sz w:val="18"/>
          <w:szCs w:val="18"/>
          <w:color w:val="auto"/>
        </w:rPr>
        <w:t>Total company funded capital expenditures increased by $39.6 million in 2023 compared to 2022. This increase was primarily related to the opening of new Showrooms.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2023 and December 31, 2022</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2023, net cash used in financing activities was $1.8 million, primarily due to the repurchase of shares for payment of withholding taxes for equity 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net cash used in financing activities was $0.2 million, which represents principal payments under finance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liquidity is currently not dependent on the use of off-balance sheet transactions. We had no material off-balance sheet arrangements as of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consolidated financial statements have been prepared in accordance with accounting principles generally accepted in the United States which requires that certain estimates and assumptions be made that affect the amounts reported in our consolidated financial statements and related notes, as well as the related disclosures.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 Information on all of our significant accounting policies can be found in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our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critical accounting policy reflects the significant estimates and/or judgments used in the preparation of our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Lived Assets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or asset groups for impairment whenever events or change in circumstances indicate that the carrying amount of those assets may not be recoverable. Circumstances that may indicate impairment include changes in the assets or asset groups expected use, physical condition, market price, cash flow generation, significant adverse legal events, and any asset or asset group specific events. When such events or circumstances are present, we assess the recoverability of long-lived assets by determining whether the carrying value will be recovered through the expected undiscounted future cash flows resulting from the use of the asset.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regarding the impact or potential impact of recent accounting pronouncements.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0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years ended December 31, 2023, 2022 and 2021,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December 31,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Arhaus,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Arhaus, Inc. and its subsidiaries (the “Company”) as of December 31, 2023 and 2022, and the related consolidated statements of comprehensive income, of changes in stockholders’/members’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material weaknesses in internal control over financial reporting existed as of that date as the Company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 and maintain (i) an effective control environment commensurate with the Company’s financial reporting requirements, specifically an insufficient complement of professionals with an appropriate level of accounting knowledge, training and experience to appropriately analyze, record and disclose accounting matters timely and accurately, (ii)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 (iii) effective controls to address the identification of and accounting for certain non-routine or complex transactions, including the proper application of accounting principles generally accepted in the United States of America to such transactions, and (iv) effective controls over information technology general controls for information systems that are relevant to the preparation of the financial statements, specifically, program change management controls, user access controls, computer operations controls, and program development controls.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8" w:name="page59"/>
    <w:bookmarkEnd w:id="58"/>
    <w:p>
      <w:pPr>
        <w:spacing w:after="0" w:line="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 Impact of Controls Related to Financial Reporting</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completeness and accuracy of the consolidated financial statements, including the financial condition, results of operations and cash flows, is dependent on, in part, (i) maintaining a sufficient complement of professionals with an appropriate level of accounting knowledge, training, and experience to appropriately analyze, record and disclose accounting matters timely and accurately; (ii) designing and maintaining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 (iii) designing and maintaining effective controls to address the identification of and accounting for certain non-routine or complex transactions, including the proper application of accounting principles generally accepted in the United States of America to such transactions; and (iv) designing and maintaining effective controls over information technology general controls for information systems that are relevant to the preparation of the Company’s financial statements, including controls over (a) program change management, (b) user access, (c) computer operations, and (d) program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right="24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impact of controls related to financial reporting is a critical audit matter are a high degree of auditor subjectivity and effort in performing procedures and evaluating audit evidence related to business processes that affect substantially all financial statement account balances and disclosures. As described in the “Opinions on the Financial Statements and Internal Control over Financial Reporting” section and in the preceding paragraph, material weaknesses existed as of December 31, 2023 related to this matter.</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evaluating and determining the nature and extent of audit procedures performed and evidence obtained that are responsive to the material weaknesses identified. These procedures also included (i) manually testing the completeness and accuracy of system reports or other information generated by the Company’s information systems; (ii) evaluating whether segregation of duties were maintained over the preparation and recording of journal entries; (iii) testing certain non-routine or complex transactions; and (iv) manually testing and evaluating whether management had appropriately accounted for its significant accounts and disclosures to achieve complete, accurate and timely financial accounting, reporting and disclosures.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60" w:name="page61"/>
    <w:bookmarkEnd w:id="60"/>
    <w:p>
      <w:pPr>
        <w:ind w:left="416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31750</wp:posOffset>
            </wp:positionV>
            <wp:extent cx="4723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31F20"/>
              </w:rPr>
              <w:t>2022</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Restricted cash</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Merchandise inventory,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286,419</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3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Total current assets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470,548</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Operating right-of-use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257,347</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Financing right-of-use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furniture and equipment,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tax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noncurrent 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0600"/>
          </w:cols>
          <w:pgMar w:left="640" w:top="158" w:right="6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73798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7985" cy="163195"/>
                    </a:xfrm>
                    <a:prstGeom prst="rect">
                      <a:avLst/>
                    </a:prstGeom>
                    <a:noFill/>
                  </pic:spPr>
                </pic:pic>
              </a:graphicData>
            </a:graphic>
          </wp:anchor>
        </w:drawing>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Current liabilities</w:t>
            </w:r>
          </w:p>
        </w:tc>
        <w:tc>
          <w:tcPr>
            <w:tcW w:w="140" w:type="dxa"/>
            <w:vAlign w:val="bottom"/>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Accrued taxes</w:t>
            </w:r>
          </w:p>
        </w:tc>
        <w:tc>
          <w:tcPr>
            <w:tcW w:w="140" w:type="dxa"/>
            <w:vAlign w:val="bottom"/>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Accrued wages</w:t>
            </w:r>
          </w:p>
        </w:tc>
        <w:tc>
          <w:tcPr>
            <w:tcW w:w="140" w:type="dxa"/>
            <w:vAlign w:val="bottom"/>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Accrued other expenses</w:t>
            </w:r>
          </w:p>
        </w:tc>
        <w:tc>
          <w:tcPr>
            <w:tcW w:w="140" w:type="dxa"/>
            <w:vAlign w:val="bottom"/>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Client deposits</w:t>
            </w:r>
          </w:p>
        </w:tc>
        <w:tc>
          <w:tcPr>
            <w:tcW w:w="140" w:type="dxa"/>
            <w:vAlign w:val="bottom"/>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Current portion of operating lease liabilities</w:t>
            </w:r>
          </w:p>
        </w:tc>
        <w:tc>
          <w:tcPr>
            <w:tcW w:w="140" w:type="dxa"/>
            <w:vAlign w:val="bottom"/>
          </w:tcPr>
          <w:p>
            <w:pPr>
              <w:spacing w:after="0"/>
              <w:rPr>
                <w:sz w:val="19"/>
                <w:szCs w:val="19"/>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Current portion of financing lease liabilities</w:t>
            </w:r>
          </w:p>
        </w:tc>
        <w:tc>
          <w:tcPr>
            <w:tcW w:w="140" w:type="dxa"/>
            <w:vAlign w:val="bottom"/>
          </w:tcPr>
          <w:p>
            <w:pPr>
              <w:spacing w:after="0"/>
              <w:rPr>
                <w:sz w:val="20"/>
                <w:szCs w:val="20"/>
                <w:color w:val="auto"/>
              </w:rPr>
            </w:pPr>
          </w:p>
        </w:tc>
      </w:tr>
      <w:tr>
        <w:trPr>
          <w:trHeight w:val="243"/>
        </w:trPr>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140" w:type="dxa"/>
            <w:vAlign w:val="bottom"/>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Operating lease liabilities, long-term</w:t>
            </w:r>
          </w:p>
        </w:tc>
        <w:tc>
          <w:tcPr>
            <w:tcW w:w="140" w:type="dxa"/>
            <w:vAlign w:val="bottom"/>
          </w:tcPr>
          <w:p>
            <w:pPr>
              <w:spacing w:after="0"/>
              <w:rPr>
                <w:sz w:val="20"/>
                <w:szCs w:val="20"/>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Financing lease liabilities, long-term</w:t>
            </w:r>
          </w:p>
        </w:tc>
        <w:tc>
          <w:tcPr>
            <w:tcW w:w="140" w:type="dxa"/>
            <w:vAlign w:val="bottom"/>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rent and lease incentives</w:t>
            </w:r>
          </w:p>
        </w:tc>
        <w:tc>
          <w:tcPr>
            <w:tcW w:w="140" w:type="dxa"/>
            <w:vAlign w:val="bottom"/>
          </w:tcPr>
          <w:p>
            <w:pPr>
              <w:spacing w:after="0"/>
              <w:rPr>
                <w:sz w:val="19"/>
                <w:szCs w:val="19"/>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140" w:type="dxa"/>
            <w:vAlign w:val="bottom"/>
          </w:tcPr>
          <w:p>
            <w:pPr>
              <w:spacing w:after="0"/>
              <w:rPr>
                <w:sz w:val="20"/>
                <w:szCs w:val="20"/>
                <w:color w:val="auto"/>
              </w:rPr>
            </w:pPr>
          </w:p>
        </w:tc>
      </w:tr>
      <w:tr>
        <w:trPr>
          <w:trHeight w:val="270"/>
        </w:trPr>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Commitments and contingencies (Note 13)</w:t>
            </w:r>
          </w:p>
        </w:tc>
        <w:tc>
          <w:tcPr>
            <w:tcW w:w="140" w:type="dxa"/>
            <w:vAlign w:val="bottom"/>
          </w:tcPr>
          <w:p>
            <w:pPr>
              <w:spacing w:after="0"/>
              <w:rPr>
                <w:sz w:val="24"/>
                <w:szCs w:val="24"/>
                <w:color w:val="auto"/>
              </w:rPr>
            </w:pPr>
          </w:p>
        </w:tc>
      </w:tr>
      <w:tr>
        <w:trPr>
          <w:trHeight w:val="445"/>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Stockholders’ equity</w:t>
            </w:r>
          </w:p>
        </w:tc>
        <w:tc>
          <w:tcPr>
            <w:tcW w:w="140" w:type="dxa"/>
            <w:vAlign w:val="bottom"/>
          </w:tcPr>
          <w:p>
            <w:pPr>
              <w:spacing w:after="0"/>
              <w:rPr>
                <w:sz w:val="24"/>
                <w:szCs w:val="24"/>
                <w:color w:val="auto"/>
              </w:rPr>
            </w:pPr>
          </w:p>
        </w:tc>
      </w:tr>
      <w:tr>
        <w:trPr>
          <w:trHeight w:val="21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Class A shares, par value $0.001 per share (600,000,000 shares authorized, 53,254,088 shares issued</w:t>
            </w:r>
          </w:p>
        </w:tc>
        <w:tc>
          <w:tcPr>
            <w:tcW w:w="140" w:type="dxa"/>
            <w:vAlign w:val="bottom"/>
          </w:tcPr>
          <w:p>
            <w:pPr>
              <w:spacing w:after="0"/>
              <w:rPr>
                <w:sz w:val="18"/>
                <w:szCs w:val="18"/>
                <w:color w:val="auto"/>
              </w:rPr>
            </w:pPr>
          </w:p>
        </w:tc>
      </w:tr>
      <w:tr>
        <w:trPr>
          <w:trHeight w:val="203"/>
        </w:trPr>
        <w:tc>
          <w:tcPr>
            <w:tcW w:w="7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and 53,169,711 outstanding as of December 31, 2023; 51,437,348 shares issued and outstanding as of</w:t>
            </w:r>
          </w:p>
        </w:tc>
        <w:tc>
          <w:tcPr>
            <w:tcW w:w="140" w:type="dxa"/>
            <w:vAlign w:val="bottom"/>
          </w:tcPr>
          <w:p>
            <w:pPr>
              <w:spacing w:after="0"/>
              <w:rPr>
                <w:sz w:val="17"/>
                <w:szCs w:val="17"/>
                <w:color w:val="auto"/>
              </w:rPr>
            </w:pPr>
          </w:p>
        </w:tc>
      </w:tr>
      <w:tr>
        <w:trPr>
          <w:trHeight w:val="25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3"/>
        </w:trPr>
        <w:tc>
          <w:tcPr>
            <w:tcW w:w="7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Class B shares, par value $0.001 par value per share (100,000,000 shares authorized, 87,115,600</w:t>
            </w:r>
          </w:p>
        </w:tc>
        <w:tc>
          <w:tcPr>
            <w:tcW w:w="140" w:type="dxa"/>
            <w:vAlign w:val="bottom"/>
          </w:tcPr>
          <w:p>
            <w:pPr>
              <w:spacing w:after="0"/>
              <w:rPr>
                <w:sz w:val="17"/>
                <w:szCs w:val="17"/>
                <w:color w:val="auto"/>
              </w:rPr>
            </w:pPr>
          </w:p>
        </w:tc>
      </w:tr>
      <w:tr>
        <w:trPr>
          <w:trHeight w:val="202"/>
        </w:trPr>
        <w:tc>
          <w:tcPr>
            <w:tcW w:w="7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shares issued and outstanding as of December 31, 2023; 87,115,600 shares issued and outstanding as</w:t>
            </w:r>
          </w:p>
        </w:tc>
        <w:tc>
          <w:tcPr>
            <w:tcW w:w="140" w:type="dxa"/>
            <w:vAlign w:val="bottom"/>
          </w:tcPr>
          <w:p>
            <w:pPr>
              <w:spacing w:after="0"/>
              <w:rPr>
                <w:sz w:val="17"/>
                <w:szCs w:val="17"/>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of December 31, 2022 )</w:t>
            </w:r>
          </w:p>
        </w:tc>
        <w:tc>
          <w:tcPr>
            <w:tcW w:w="140" w:type="dxa"/>
            <w:vAlign w:val="bottom"/>
          </w:tcPr>
          <w:p>
            <w:pPr>
              <w:spacing w:after="0"/>
              <w:rPr>
                <w:sz w:val="20"/>
                <w:szCs w:val="20"/>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Retained earnings</w:t>
            </w:r>
          </w:p>
        </w:tc>
        <w:tc>
          <w:tcPr>
            <w:tcW w:w="140" w:type="dxa"/>
            <w:vAlign w:val="bottom"/>
          </w:tcPr>
          <w:p>
            <w:pPr>
              <w:spacing w:after="0"/>
              <w:rPr>
                <w:sz w:val="20"/>
                <w:szCs w:val="20"/>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-3616960</wp:posOffset>
            </wp:positionV>
            <wp:extent cx="673798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-3325495</wp:posOffset>
            </wp:positionV>
            <wp:extent cx="673798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798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-3034030</wp:posOffset>
            </wp:positionV>
            <wp:extent cx="67379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-2742565</wp:posOffset>
            </wp:positionV>
            <wp:extent cx="673798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798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-2433955</wp:posOffset>
            </wp:positionV>
            <wp:extent cx="6737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-2142490</wp:posOffset>
            </wp:positionV>
            <wp:extent cx="67379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-1550670</wp:posOffset>
            </wp:positionV>
            <wp:extent cx="6737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-1268095</wp:posOffset>
            </wp:positionV>
            <wp:extent cx="67379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-702310</wp:posOffset>
            </wp:positionV>
            <wp:extent cx="6737985" cy="419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7985" cy="419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673798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798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-1851025</wp:posOffset>
            </wp:positionV>
            <wp:extent cx="673798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79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63,699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62,636</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9,638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15,185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42,502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173,808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202,587</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45,557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904</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2"/>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95"/>
              </w:rPr>
              <w:t>351,293</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373,289</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362,598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295,657</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53,870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51,835</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4,143</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95"/>
              </w:rPr>
              <w:t>773,856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727,389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-7620</wp:posOffset>
            </wp:positionV>
            <wp:extent cx="9772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-916940</wp:posOffset>
            </wp:positionV>
            <wp:extent cx="9772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52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w:t>
            </w:r>
          </w:p>
        </w:tc>
      </w:tr>
      <w:tr>
        <w:trPr>
          <w:trHeight w:val="657"/>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145,292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w:t>
            </w:r>
          </w:p>
        </w:tc>
      </w:t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194,807</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189,504</w:t>
            </w:r>
          </w:p>
        </w:tc>
      </w:tr>
    </w:tbl>
    <w:p>
      <w:pPr>
        <w:spacing w:after="0" w:line="1" w:lineRule="exact"/>
        <w:rPr>
          <w:sz w:val="20"/>
          <w:szCs w:val="20"/>
          <w:color w:val="auto"/>
        </w:rPr>
      </w:pPr>
    </w:p>
    <w:p>
      <w:pPr>
        <w:sectPr>
          <w:pgSz w:w="11900" w:h="16838" w:orient="portrait"/>
          <w:cols w:equalWidth="0" w:num="2">
            <w:col w:w="7600" w:space="720"/>
            <w:col w:w="2280"/>
          </w:cols>
          <w:pgMar w:left="640" w:top="158" w:right="6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31F20"/>
              </w:rPr>
              <w:t>Total Arhaus, Inc. stockholders’ equity</w:t>
            </w:r>
          </w:p>
        </w:tc>
        <w:tc>
          <w:tcPr>
            <w:tcW w:w="4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340,238</w:t>
            </w:r>
          </w:p>
        </w:tc>
        <w:tc>
          <w:tcPr>
            <w:tcW w:w="10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209,695</w:t>
            </w:r>
          </w:p>
        </w:tc>
      </w:tr>
      <w:tr>
        <w:trPr>
          <w:trHeight w:val="248"/>
        </w:trPr>
        <w:tc>
          <w:tcPr>
            <w:tcW w:w="7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1,114,094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937,084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158" w:right="65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231F20"/>
        </w:rPr>
        <w:t>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22860</wp:posOffset>
            </wp:positionV>
            <wp:extent cx="5306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rPr>
              <w:t>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796,922</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703,869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466,989</w:t>
            </w:r>
          </w:p>
        </w:tc>
      </w:tr>
      <w:tr>
        <w:trPr>
          <w:trHeight w:val="22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329,933</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296,117</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164,311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Less: Net income attributable to noncontrolling interest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and comprehensive income attributable to Arhaus,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139,471,110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138,094,180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116,013,492</w:t>
            </w: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4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diluted</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140,096,732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139,605,550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119,521,442</w:t>
            </w: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Stockholders’/Members’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22860</wp:posOffset>
            </wp:positionV>
            <wp:extent cx="39604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10"/>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Common Shares in Homeworks</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gridSpan w:val="10"/>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Stockholders' / Members' Equity (Deficit)</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3"/>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 Members'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180" w:type="dxa"/>
            <w:vAlign w:val="bottom"/>
            <w:gridSpan w:val="1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Shares  Amount  Shares  Amount  Shares  Amount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4180" w:type="dxa"/>
            <w:vAlign w:val="bottom"/>
            <w:gridSpan w:val="18"/>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22"/>
        </w:trPr>
        <w:tc>
          <w:tcPr>
            <w:tcW w:w="1160" w:type="dxa"/>
            <w:vAlign w:val="bottom"/>
            <w:tcBorders>
              <w:top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60" w:type="dxa"/>
            <w:vAlign w:val="bottom"/>
            <w:gridSpan w:val="2"/>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(28,422)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(7,689)</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(34,441)</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23,843</w:t>
            </w:r>
          </w:p>
        </w:tc>
        <w:tc>
          <w:tcPr>
            <w:tcW w:w="0" w:type="dxa"/>
            <w:vAlign w:val="bottom"/>
          </w:tcPr>
          <w:p>
            <w:pPr>
              <w:spacing w:after="0"/>
              <w:rPr>
                <w:sz w:val="1"/>
                <w:szCs w:val="1"/>
                <w:color w:val="auto"/>
              </w:rPr>
            </w:pPr>
          </w:p>
        </w:tc>
      </w:tr>
      <w:tr>
        <w:trPr>
          <w:trHeight w:val="210"/>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distribution</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Shareholder</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0" w:type="dxa"/>
            <w:vAlign w:val="bottom"/>
          </w:tcPr>
          <w:p>
            <w:pPr>
              <w:spacing w:after="0"/>
              <w:rPr>
                <w:sz w:val="1"/>
                <w:szCs w:val="1"/>
                <w:color w:val="auto"/>
              </w:rPr>
            </w:pPr>
          </w:p>
        </w:tc>
      </w:tr>
      <w:tr>
        <w:trPr>
          <w:trHeight w:val="193"/>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distribution</w:t>
            </w:r>
          </w:p>
        </w:tc>
        <w:tc>
          <w:tcPr>
            <w:tcW w:w="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Equity based</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98"/>
        </w:trPr>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5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Pre-IPO dividend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interests of</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0" w:type="dxa"/>
            <w:vAlign w:val="bottom"/>
          </w:tcPr>
          <w:p>
            <w:pPr>
              <w:spacing w:after="0"/>
              <w:rPr>
                <w:sz w:val="1"/>
                <w:szCs w:val="1"/>
                <w:color w:val="auto"/>
              </w:rPr>
            </w:pPr>
          </w:p>
        </w:tc>
      </w:tr>
      <w:tr>
        <w:trPr>
          <w:trHeight w:val="193"/>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Arhaus, LLC</w:t>
            </w:r>
          </w:p>
        </w:tc>
        <w:tc>
          <w:tcPr>
            <w:tcW w:w="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Shareholder</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(49,565)</w:t>
            </w:r>
          </w:p>
        </w:tc>
        <w:tc>
          <w:tcPr>
            <w:tcW w:w="0" w:type="dxa"/>
            <w:vAlign w:val="bottom"/>
          </w:tcPr>
          <w:p>
            <w:pPr>
              <w:spacing w:after="0"/>
              <w:rPr>
                <w:sz w:val="1"/>
                <w:szCs w:val="1"/>
                <w:color w:val="auto"/>
              </w:rPr>
            </w:pPr>
          </w:p>
        </w:tc>
      </w:tr>
      <w:tr>
        <w:trPr>
          <w:trHeight w:val="198"/>
        </w:trPr>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5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Initial public</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offering less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underwriter</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8"/>
              </w:rPr>
              <w:t>12,903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157,245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157,258</w:t>
            </w:r>
          </w:p>
        </w:tc>
        <w:tc>
          <w:tcPr>
            <w:tcW w:w="0" w:type="dxa"/>
            <w:vAlign w:val="bottom"/>
          </w:tcPr>
          <w:p>
            <w:pPr>
              <w:spacing w:after="0"/>
              <w:rPr>
                <w:sz w:val="1"/>
                <w:szCs w:val="1"/>
                <w:color w:val="auto"/>
              </w:rPr>
            </w:pPr>
          </w:p>
        </w:tc>
      </w:tr>
      <w:tr>
        <w:trPr>
          <w:trHeight w:val="18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1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Class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 and B</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vested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incentive unit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holders of</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Arhaus, LLC</w:t>
            </w: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exchange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8"/>
              </w:rPr>
              <w:t>31,267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16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Controlling</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adjustment, in</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exchange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B</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Shareholder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capital</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contribution</w:t>
            </w:r>
          </w:p>
        </w:tc>
        <w:tc>
          <w:tcPr>
            <w:tcW w:w="5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16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60" w:type="dxa"/>
            <w:vAlign w:val="bottom"/>
            <w:gridSpan w:val="2"/>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November 8,</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50,007</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86,940</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(129,670)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160,993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31,460</w:t>
            </w: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13,089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c>
          <w:tcPr>
            <w:tcW w:w="0" w:type="dxa"/>
            <w:vAlign w:val="bottom"/>
          </w:tcPr>
          <w:p>
            <w:pPr>
              <w:spacing w:after="0"/>
              <w:rPr>
                <w:sz w:val="1"/>
                <w:szCs w:val="1"/>
                <w:color w:val="auto"/>
              </w:rPr>
            </w:pPr>
          </w:p>
        </w:tc>
      </w:tr>
      <w:tr>
        <w:trPr>
          <w:trHeight w:val="145"/>
        </w:trPr>
        <w:tc>
          <w:tcPr>
            <w:tcW w:w="1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Deferred tax</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impact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Reorganization</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partnership to</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corporation</w:t>
            </w:r>
          </w:p>
        </w:tc>
        <w:tc>
          <w:tcPr>
            <w:tcW w:w="5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Times New Roman" w:cs="Times New Roman" w:eastAsia="Times New Roman" w:hAnsi="Times New Roman"/>
          <w:sz w:val="14"/>
          <w:szCs w:val="14"/>
          <w:color w:val="auto"/>
        </w:rPr>
        <w:t>Transfer of Class</w:t>
      </w:r>
    </w:p>
    <w:p>
      <w:pPr>
        <w:ind w:left="180" w:right="9760" w:hanging="9"/>
        <w:spacing w:after="0" w:line="213" w:lineRule="auto"/>
        <w:tabs>
          <w:tab w:leader="none" w:pos="3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to Class A common stock for long-tenured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employees</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7,315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0" w:type="dxa"/>
            <w:vAlign w:val="bottom"/>
          </w:tcPr>
          <w:p>
            <w:pPr>
              <w:spacing w:after="0"/>
              <w:rPr>
                <w:sz w:val="1"/>
                <w:szCs w:val="1"/>
                <w:color w:val="auto"/>
              </w:rPr>
            </w:pPr>
          </w:p>
        </w:tc>
      </w:tr>
      <w:tr>
        <w:trPr>
          <w:trHeight w:val="143"/>
        </w:trPr>
        <w:tc>
          <w:tcPr>
            <w:tcW w:w="11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Equity based</w:t>
            </w:r>
          </w:p>
        </w:tc>
        <w:tc>
          <w:tcPr>
            <w:tcW w:w="76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gridSpan w:val="3"/>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6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50,428</w:t>
            </w:r>
          </w:p>
        </w:tc>
        <w:tc>
          <w:tcPr>
            <w:tcW w:w="8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2"/>
                <w:szCs w:val="12"/>
                <w:color w:val="auto"/>
              </w:rPr>
            </w:pPr>
          </w:p>
        </w:tc>
        <w:tc>
          <w:tcPr>
            <w:tcW w:w="7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$ 186,209</w:t>
            </w:r>
          </w:p>
        </w:tc>
        <w:tc>
          <w:tcPr>
            <w:tcW w:w="80" w:type="dxa"/>
            <w:vAlign w:val="bottom"/>
          </w:tcPr>
          <w:p>
            <w:pPr>
              <w:spacing w:after="0"/>
              <w:rPr>
                <w:sz w:val="12"/>
                <w:szCs w:val="12"/>
                <w:color w:val="auto"/>
              </w:rPr>
            </w:pPr>
          </w:p>
        </w:tc>
        <w:tc>
          <w:tcPr>
            <w:tcW w:w="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0" w:type="dxa"/>
            <w:vAlign w:val="bottom"/>
          </w:tcPr>
          <w:p>
            <w:pPr>
              <w:spacing w:after="0"/>
              <w:rPr>
                <w:sz w:val="1"/>
                <w:szCs w:val="1"/>
                <w:color w:val="auto"/>
              </w:rPr>
            </w:pPr>
          </w:p>
        </w:tc>
      </w:tr>
      <w:tr>
        <w:trPr>
          <w:trHeight w:val="196"/>
        </w:trPr>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gridSpan w:val="3"/>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158" w:right="55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Stockholders’/Members’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22860</wp:posOffset>
            </wp:positionV>
            <wp:extent cx="39604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10"/>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Common Shares in Homeworks</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gridSpan w:val="10"/>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Stockholders' / Members' Equity (Deficit)</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2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1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3"/>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 Members'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40" w:type="dxa"/>
            <w:vAlign w:val="bottom"/>
            <w:tcBorders>
              <w:bottom w:val="single" w:sz="8" w:color="auto"/>
            </w:tcBorders>
            <w:gridSpan w:val="3"/>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40" w:type="dxa"/>
            <w:vAlign w:val="bottom"/>
            <w:tcBorders>
              <w:bottom w:val="single" w:sz="8" w:color="auto"/>
            </w:tcBorders>
            <w:gridSpan w:val="3"/>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40" w:type="dxa"/>
            <w:vAlign w:val="bottom"/>
            <w:tcBorders>
              <w:bottom w:val="single" w:sz="8" w:color="auto"/>
            </w:tcBorders>
            <w:gridSpan w:val="3"/>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4"/>
        </w:trPr>
        <w:tc>
          <w:tcPr>
            <w:tcW w:w="1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136,634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136,634</w:t>
            </w: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Adjustment to</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deferred tax</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asset impact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Reorganization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partnership to</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8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 corporation</w:t>
            </w: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6"/>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based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51,437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87,116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20,053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0" w:type="dxa"/>
            <w:vAlign w:val="bottom"/>
          </w:tcPr>
          <w:p>
            <w:pPr>
              <w:spacing w:after="0"/>
              <w:rPr>
                <w:sz w:val="1"/>
                <w:szCs w:val="1"/>
                <w:color w:val="auto"/>
              </w:rPr>
            </w:pPr>
          </w:p>
        </w:tc>
      </w:tr>
      <w:tr>
        <w:trPr>
          <w:trHeight w:val="186"/>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125,239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125,239</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1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Adjustment to</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deferred tax</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asset impact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Reorganization</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partnership to</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corporation</w:t>
            </w: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Shareholder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capital</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contribution</w:t>
            </w: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1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Equity based</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0" w:type="dxa"/>
            <w:vAlign w:val="bottom"/>
          </w:tcPr>
          <w:p>
            <w:pPr>
              <w:spacing w:after="0"/>
              <w:rPr>
                <w:sz w:val="1"/>
                <w:szCs w:val="1"/>
                <w:color w:val="auto"/>
              </w:rPr>
            </w:pPr>
          </w:p>
        </w:tc>
      </w:tr>
      <w:tr>
        <w:trPr>
          <w:trHeight w:val="198"/>
        </w:trPr>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Shares withheld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to cover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employees'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withholding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taxes for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equity based</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8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60" w:type="dxa"/>
            <w:vAlign w:val="bottom"/>
            <w:gridSpan w:val="2"/>
            <w:shd w:val="clear" w:color="auto" w:fill="CCEEFF"/>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52,669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87,116</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145,292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194,807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340,238</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158" w:right="5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22860</wp:posOffset>
            </wp:positionV>
            <wp:extent cx="3488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9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125,239</w:t>
            </w:r>
          </w:p>
        </w:tc>
        <w:tc>
          <w:tcPr>
            <w:tcW w:w="80" w:type="dxa"/>
            <w:vAlign w:val="bottom"/>
          </w:tcPr>
          <w:p>
            <w:pPr>
              <w:spacing w:after="0"/>
              <w:rPr>
                <w:sz w:val="22"/>
                <w:szCs w:val="22"/>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23,922</w:t>
            </w:r>
          </w:p>
        </w:tc>
      </w:tr>
      <w:tr>
        <w:trPr>
          <w:trHeight w:val="25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33,306</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fees and interest on finance/capital lease in</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principal paid</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5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9,771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expense associated with Term Loan exit fee</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44,544</w:t>
            </w: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furniture and equipment</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lease incentives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proceeds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37"/>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inventory</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(100,321)</w:t>
            </w:r>
          </w:p>
        </w:tc>
      </w:tr>
      <w:tr>
        <w:trPr>
          <w:trHeight w:val="257"/>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(20,721)</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r>
      <w:tr>
        <w:trPr>
          <w:trHeight w:val="25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57"/>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5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w:t>
            </w:r>
          </w:p>
        </w:tc>
      </w:tr>
      <w:tr>
        <w:trPr>
          <w:trHeight w:val="257"/>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(25,794)</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 and lease incentives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57"/>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Client deposits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(28,779)</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110,802</w:t>
            </w:r>
          </w:p>
        </w:tc>
      </w:tr>
      <w:tr>
        <w:trPr>
          <w:trHeight w:val="237"/>
        </w:trPr>
        <w:tc>
          <w:tcPr>
            <w:tcW w:w="5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172,299</w:t>
            </w:r>
          </w:p>
        </w:tc>
        <w:tc>
          <w:tcPr>
            <w:tcW w:w="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139,834</w:t>
            </w: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(97,055)</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(96,722)</w:t>
            </w:r>
          </w:p>
        </w:tc>
        <w:tc>
          <w:tcPr>
            <w:tcW w:w="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fees associated with early extinguishment of debt</w:t>
            </w:r>
          </w:p>
        </w:tc>
        <w:tc>
          <w:tcPr>
            <w:tcW w:w="10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related party notes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under capital leases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under finance leases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Term Loan exit fee derivative</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pre-IPO dividend to noncontrolling interests of Arhaus, LLC</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distributions</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(61,915)</w:t>
            </w:r>
          </w:p>
        </w:tc>
      </w:tr>
      <w:tr>
        <w:trPr>
          <w:trHeight w:val="198"/>
        </w:trPr>
        <w:tc>
          <w:tcPr>
            <w:tcW w:w="5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of shares for payment of withholding taxes for equity based</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w:t>
            </w:r>
          </w:p>
        </w:tc>
        <w:tc>
          <w:tcPr>
            <w:tcW w:w="10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198"/>
        </w:trPr>
        <w:tc>
          <w:tcPr>
            <w:tcW w:w="5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issuance of Class A common stock sold in IPO, net of</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costs</w:t>
            </w:r>
          </w:p>
        </w:tc>
        <w:tc>
          <w:tcPr>
            <w:tcW w:w="106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157,258</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22860</wp:posOffset>
            </wp:positionV>
            <wp:extent cx="47491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offering costs</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5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37"/>
        </w:trPr>
        <w:tc>
          <w:tcPr>
            <w:tcW w:w="67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r>
      <w:tr>
        <w:trPr>
          <w:trHeight w:val="23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66,906</w:t>
            </w: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130,908</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64,002</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received in cash</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6"/>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Conversion of units of Arhaus, LLC to shares of Arhaus, Inc.</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Contribution of deferred tax asset from wholly owned subsidiary</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contribution from CEO related to long-tenured employee award</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contribution from CEO for deferred compensation plan</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198"/>
        </w:trPr>
        <w:tc>
          <w:tcPr>
            <w:tcW w:w="676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Adjustment to deferred tax asset impact of Reorganization from partnership to a</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1"/>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Derecognition of build-to-suit assets as a result of ASC 842 adoption</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furniture and equipment additions due to build-to-suit lease transactions</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w:t>
            </w: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contributions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lease obligation</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merchandise sales channels in sophisticated, family friendly and unique lifestyle settings. We position our retail locations as Showrooms for our brand, while our website acts as a virtual extension of our Showrooms. The Company operated 92 Showrooms at December 31, 2023.</w:t>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Initial Public Offering</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remainder of the net proceeds were used for general corporate purposes, including payment of fees and expenses in connection with the IPO and to replenish working capital following a pre-IPO payment in the amount of $100.0 million which consisted of a $50.7 million dividend to noncontrolling interests and a $49.3 million distribution to the owners of Homeworks.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reorganized its ownership structure from a limited liability company to a corporation for the purpose of issuing common stock on a publicly traded exchange.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consolidated financial statements for periods prior to the Reorganization have been adjusted to retrospectively combine the previously separate entities for presentation purposes.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Reorganization transactions included:</w:t>
      </w:r>
    </w:p>
    <w:p>
      <w:pPr>
        <w:spacing w:after="0" w:line="185" w:lineRule="exact"/>
        <w:rPr>
          <w:sz w:val="20"/>
          <w:szCs w:val="20"/>
          <w:color w:val="auto"/>
        </w:rPr>
      </w:pPr>
    </w:p>
    <w:p>
      <w:pPr>
        <w:ind w:left="660" w:right="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certificate of incorporation of Arhaus, Inc., to authorize two classes of common stock, Class A common stock and Class B common stock and to authorize the Company to issue up to 750,000,000 shares of common stock, consisting of 600,000,000 share of Class A common stock, par value of $0.001 per share, 100,000,000 shares of Class B common stock, par value of $0.001 and 50,000,000 shares of Preferred Stock, par value of $0.001; and</w:t>
      </w:r>
    </w:p>
    <w:p>
      <w:pPr>
        <w:spacing w:after="0" w:line="2"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of the units of LLC held by FS Arhaus, Homeworks, John Reed (“Reed”) through the John P. Reed Trust dated April 29, 1985, as Amended (“Reed Revocable Trust”) and the Management Unitholders, pursuant to the mergers and exchanges described below, and the issuance in those transactions of Class A common stock to the holders of FS Arhaus and the Management Unitholders and Class B common stock to Homeworks, Reed and the Reed Revocable Trust.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steps describe the transactions that were completed to effect the Reorganization on November 8, 2021:</w:t>
      </w:r>
    </w:p>
    <w:p>
      <w:pPr>
        <w:spacing w:after="0" w:line="185" w:lineRule="exact"/>
        <w:rPr>
          <w:sz w:val="20"/>
          <w:szCs w:val="20"/>
          <w:color w:val="auto"/>
        </w:rPr>
      </w:pPr>
    </w:p>
    <w:p>
      <w:pPr>
        <w:ind w:left="660" w:right="4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The Company formed two wholly owned subsidiaries, Ash Merger Sub 1, Inc. (“Merger Sub 1”), a Delaware corporation, and Ash Merger Sub 2, Inc. (“Merger Sub 2”), a Delaware corporation;</w:t>
      </w:r>
    </w:p>
    <w:p>
      <w:pPr>
        <w:ind w:left="660" w:right="4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2(a): Merger Sub 1 merged with and into FS Arhaus, with FS Arhaus surviving the merger, or Surviving Corporation 1, and became a wholly owned subsidiary of the Company and the holders of FS Arhaus received shares of Class A common stock;</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right="34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2(b): Merger Sub 2 merged with and into Homeworks, with Homeworks surviving the merger, or Surviving Corporation 2, and became a wholly owned subsidiary of the Company and the owners of Homeworks received shares of Class B common stock;</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2(c): The Management Unitholders contributed their units in LLC to the Company in exchange for shares of Class A common stock;</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2(d): Reed and the Reed Revocable Trust contributed their respective units in LLC to the Company in exchange for shares of Class B common stock;</w:t>
      </w:r>
    </w:p>
    <w:p>
      <w:pPr>
        <w:ind w:left="660" w:right="1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2(e): The Company contributed the units of LLC that it owns directly to Surviving Corporation 1 and Surviving Corporation 2 in proportion to the units of LLC owned by Surviving Corporation 1 and Surviving Corporation 2; and</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The Company issued shares of Class A common stock to the purchasers in the IPO.</w:t>
      </w:r>
    </w:p>
    <w:p>
      <w:pPr>
        <w:spacing w:after="0" w:line="16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result of the Reorganization,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issued, 2,520,229 shares of Class A common stock and 596,598 shares of Class B common stock issued to Management Unitholders were subject to certain vesting conditions specified in individual award agreements and were issued as restricted stock with the exact time-based vesting provisions as the incentive units that were exchanged for such shares. If the vesting conditions of the restricted stock are not satisfied, such restricted stock will be forfeited and cancelled.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Issued Consolidated Financial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the Company identified an error within the consolidated balance sheet as of December 31, 2022,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consolidated statement of cash flows for the years ended December 31, 2022 and 2021. The Company has evaluated the errors both quantitatively and qualitatively and concluded they were not material, individually or in the aggregate, to such prior period consolidated financial statements and concluded to revise such prior period consolidated financial statements.</w:t>
      </w:r>
    </w:p>
    <w:p>
      <w:pPr>
        <w:spacing w:after="0" w:line="21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revision of the Company’s prior period consolidated financial statements, we determined it was appropriate to correct for certain other previously identified immaterial errors. Additionally, although not presented herein, we revised the consolidated balance sheet as of December 31, 2021 in conjunction with the revision of the consolidated statement of cash flows for the year ended December 31, 2021.</w:t>
      </w:r>
    </w:p>
    <w:p>
      <w:pPr>
        <w:spacing w:after="0" w:line="20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We have also revised impacted amounts within the accompanying notes to the consolidated financial statements, as applicable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Specifically, Note 2 - </w:t>
      </w:r>
      <w:r>
        <w:rPr>
          <w:rFonts w:ascii="Times New Roman" w:cs="Times New Roman" w:eastAsia="Times New Roman" w:hAnsi="Times New Roman"/>
          <w:sz w:val="18"/>
          <w:szCs w:val="18"/>
          <w:i w:val="1"/>
          <w:iCs w:val="1"/>
          <w:color w:val="auto"/>
        </w:rPr>
        <w:t>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Presentation and Summary of Significant Accounting Policies</w:t>
      </w:r>
      <w:r>
        <w:rPr>
          <w:rFonts w:ascii="Times New Roman" w:cs="Times New Roman" w:eastAsia="Times New Roman" w:hAnsi="Times New Roman"/>
          <w:sz w:val="18"/>
          <w:szCs w:val="18"/>
          <w:color w:val="auto"/>
        </w:rPr>
        <w:t>, Note 3 -</w:t>
      </w:r>
      <w:r>
        <w:rPr>
          <w:rFonts w:ascii="Times New Roman" w:cs="Times New Roman" w:eastAsia="Times New Roman" w:hAnsi="Times New Roman"/>
          <w:sz w:val="18"/>
          <w:szCs w:val="18"/>
          <w:i w:val="1"/>
          <w:iCs w:val="1"/>
          <w:color w:val="auto"/>
        </w:rPr>
        <w:t xml:space="preserve"> Property, Furniture and Equipment</w:t>
      </w:r>
      <w:r>
        <w:rPr>
          <w:rFonts w:ascii="Times New Roman" w:cs="Times New Roman" w:eastAsia="Times New Roman" w:hAnsi="Times New Roman"/>
          <w:sz w:val="18"/>
          <w:szCs w:val="18"/>
          <w:color w:val="auto"/>
        </w:rPr>
        <w:t>, and Note 7 -</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impact of these corrections for the periods presented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4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470,548</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257,347</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135,066</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140,613</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931,792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937,084</w:t>
            </w:r>
          </w:p>
        </w:tc>
      </w:tr>
      <w:tr>
        <w:trPr>
          <w:trHeight w:val="270"/>
        </w:trPr>
        <w:tc>
          <w:tcPr>
            <w:tcW w:w="5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373,783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373,289</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289,871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295,657</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722,097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727,389</w:t>
            </w: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931,792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937,084</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340" w:type="dxa"/>
            <w:vAlign w:val="bottom"/>
          </w:tcPr>
          <w:p>
            <w:pPr>
              <w:spacing w:after="0"/>
              <w:rPr>
                <w:sz w:val="19"/>
                <w:szCs w:val="19"/>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2,442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3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14,014</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(3,718)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340" w:type="dxa"/>
            <w:vAlign w:val="bottom"/>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(1,276)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340" w:type="dxa"/>
            <w:vAlign w:val="bottom"/>
          </w:tcPr>
          <w:p>
            <w:pPr>
              <w:spacing w:after="0"/>
              <w:rPr>
                <w:sz w:val="19"/>
                <w:szCs w:val="19"/>
                <w:color w:val="auto"/>
              </w:rPr>
            </w:pPr>
          </w:p>
        </w:tc>
      </w:tr>
      <w:tr>
        <w:trPr>
          <w:trHeight w:val="256"/>
        </w:trPr>
        <w:tc>
          <w:tcPr>
            <w:tcW w:w="5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tcPr>
          <w:p>
            <w:pPr>
              <w:spacing w:after="0"/>
              <w:rPr>
                <w:sz w:val="22"/>
                <w:szCs w:val="22"/>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8"/>
              </w:rPr>
              <w:t>1,276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340" w:type="dxa"/>
            <w:vAlign w:val="bottom"/>
          </w:tcPr>
          <w:p>
            <w:pPr>
              <w:spacing w:after="0"/>
              <w:rPr>
                <w:sz w:val="19"/>
                <w:szCs w:val="19"/>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1,276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340" w:type="dxa"/>
            <w:vAlign w:val="bottom"/>
          </w:tcPr>
          <w:p>
            <w:pPr>
              <w:spacing w:after="0"/>
              <w:rPr>
                <w:sz w:val="19"/>
                <w:szCs w:val="19"/>
                <w:color w:val="auto"/>
              </w:rPr>
            </w:pPr>
          </w:p>
        </w:tc>
      </w:tr>
      <w:tr>
        <w:trPr>
          <w:trHeight w:val="257"/>
        </w:trPr>
        <w:tc>
          <w:tcPr>
            <w:tcW w:w="5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tcPr>
          <w:p>
            <w:pPr>
              <w:spacing w:after="0"/>
              <w:rPr>
                <w:sz w:val="22"/>
                <w:szCs w:val="22"/>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incentives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(4,312)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34"/>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3,718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340" w:type="dxa"/>
            <w:vAlign w:val="bottom"/>
          </w:tcPr>
          <w:p>
            <w:pPr>
              <w:spacing w:after="0"/>
              <w:rPr>
                <w:sz w:val="20"/>
                <w:szCs w:val="20"/>
                <w:color w:val="auto"/>
              </w:rPr>
            </w:pPr>
          </w:p>
        </w:tc>
      </w:tr>
      <w:tr>
        <w:trPr>
          <w:trHeight w:val="927"/>
        </w:trPr>
        <w:tc>
          <w:tcPr>
            <w:tcW w:w="55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88"/>
        </w:trPr>
        <w:tc>
          <w:tcPr>
            <w:tcW w:w="5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4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(8,673)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17,595</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(3,088)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deferred rent and lease incentives</w:t>
            </w:r>
          </w:p>
        </w:tc>
        <w:tc>
          <w:tcPr>
            <w:tcW w:w="24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4,518</w:t>
            </w:r>
          </w:p>
        </w:tc>
        <w:tc>
          <w:tcPr>
            <w:tcW w:w="180" w:type="dxa"/>
            <w:vAlign w:val="bottom"/>
          </w:tcPr>
          <w:p>
            <w:pPr>
              <w:spacing w:after="0"/>
              <w:rPr>
                <w:sz w:val="19"/>
                <w:szCs w:val="19"/>
                <w:color w:val="auto"/>
              </w:rPr>
            </w:pPr>
          </w:p>
        </w:tc>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5,352</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(6,409)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139,834</w:t>
            </w:r>
          </w:p>
        </w:tc>
      </w:tr>
      <w:tr>
        <w:trPr>
          <w:trHeight w:val="256"/>
        </w:trPr>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6,409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8"/>
              </w:rPr>
              <w:t>6,409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r>
      <w:tr>
        <w:trPr>
          <w:trHeight w:val="256"/>
        </w:trPr>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incentives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(5,352)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8"/>
              </w:rPr>
              <w:t>3,088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accounting policies applied in the preparation of the consolidated financial statements are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accounting principles generally accepted in the United States of America (“U.S. GAAP”). The consolidated financial statements include our accounts and those of our wholly owned subsidiaries. Accordingly, all intercompany balances and transactions have been eliminated through the consolidation process. Certain prior year amounts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estimates and assumptions that affect the reported amounts of assets and liabilities, disclosures of contingent assets and liabilities at the date of the consolidated financial statements and the reported amounts of revenues and expenses during the reporting period. Actual results could differ from those estimates.</w:t>
      </w:r>
    </w:p>
    <w:p>
      <w:pPr>
        <w:spacing w:after="0" w:line="15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accounting estimates and other matters included within our consolidated financial statements and notes to the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a high-quality financial institutions with investment-grade ratings.</w:t>
      </w:r>
    </w:p>
    <w:p>
      <w:pPr>
        <w:spacing w:after="0" w:line="122"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From time to time, the Company invests in Level 1 cash and cash equivalent investments such as money market funds and interest-bearing checking accounts. For the years ended December 31, 2023 and 2022, the Company earned $8.8 million and $1.9 million in interest income, respectively. The Company did not have cash and cash equivalent investments for the year</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2021. Interest income is included within interest expense (income), net on our consolidated statements of comprehensive income.</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$19.9 million and $13.0 million at December 31, 2023 and 2022, respectively, for amounts in-transit from credit card companies since settlement is reasonably assured and not restricted.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maintains certain cash balances restricted as to withdrawal or use. Restricted cash is comprised primarily of cash used as collateral for the Company’s credit card sales processing partner, a portion of our workers’ compensation obligations that our insurance carrier requires us to collateralize and a portion of our customs obligation that the U.S Customs and Border Protection requires us to collateralize.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accounts receivables are $2.4 million and $1.7 million, respectively, at December 31, 2023 and 2022, net of allowance for expected credit losses of $0.6 million and $0.7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revenue consists of sales to clients, net of returns and discounts. Net revenue and cost of goods sold are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reserve is recorded for projected merchandise returns based on actual historical return rates. The Company provides an allowance for sales returns based on historical return rates, which is presented on a gross basis. The allowance for sales returns is presented within accrued other expenses and the estimated value of the right of return asset for merchandise is presented within prepaid expense and other current assets on the consolidated balance sheets.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Returned merchandise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of $8.0 million and $8.3 million at December 31, 2023 and 2022, respectively, is recorded in the accrued other expenses line item on the consolidated balance sheets.</w:t>
      </w:r>
    </w:p>
    <w:p>
      <w:pPr>
        <w:spacing w:after="0" w:line="1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collects various taxes as an agent in connection with the sale of merchandise and remits these amounts to the respective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taxes are included within accrued taxes line item of the consolidated balance sheets until remitted to the respective taxing authorities.</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Shipping and handling is recognized as an activity to fulfill the performance obligation of transferring merchandise to clients, therefore the fees are recorded in net revenue. The costs incurred by the Company for shipping and handling are included in cost of goods sold, and the costs of shipping and handling activities are accrued for in the same period as the delivery to clients.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substantially all client deposits as of December 31, 2023 will be recognized within the next 12 months as the performance obligations are satisfied.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 Credit Card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an agreement with a Credit Card Issuer (“Issuer”) to provide clients with private label credit cards (the “Card Agreement”) which was amended on January 13, 2021 to extend the term of the agreement through August 31, 2026. Each private label credit card bears the Arhaus brand logo and can only be used at the Company’s Showroom locations or website. The Issuer is the sole owner of the accounts issued under the private label credit card program and absorbs the losses associated with non-payment by the private label card holders.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term of the Card Agreement, the Company receives a percentage of private label credit card sales from the Issuer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and are recorded within net revenue in the consolidated statements of comprehensive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Loyalty Reward Program</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offers a loyalty reward program for clients who use the Company’s private label credit card to receive rewards based on the client’s merchandise purchases. The liabilities associated with the rewards are established on the consolidated balance sheets when the rewards are issued and are removed from the consolidated balance sheets, either when used by the client or upon expiration (three months from when the reward is issued). At December 31, 2023 and 2022, outstanding liabilities related to the loyalty reward program of $1.4 million and $1.5 million, respectively, are included within the accrued other expenses line item of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Inventory</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merchandise inventory is comprised primarily of finished goods and is carried at the lower of cost or net realizable value, with cost determined on a weighted-average cost method. To determine if the value of inventory should be marked down, below original cost, we use estimates to determine the lower of cost or net realizable value, which considers current and anticipated demand, client preference and merchandise age.</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annual physical inventory counts.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Merchandise inventory includes reserves of $7.6 million and $5.7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5"/>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(amounts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7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2"/>
                <w:szCs w:val="22"/>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 receivable</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return asset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advertising</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Prepaid cloud computing arrangements, net</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r>
    </w:tbl>
    <w:p>
      <w:pPr>
        <w:spacing w:after="0" w:line="58"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Presented net of accumulated amortization of $2.7 million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Except for costs associated with the semi-annual catalogs, the Company expenses advertising costs as incurred. Advertising costs amounted to $43.0 million, $38.7 million and $35.9 million for the years ended December 31, 2023, 2022 and 2021,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leases real estate for our Showrooms, corporate headquarters, distribution centers, and equipment. We determine if a contract contains a lease at inception based on our right to control the use of an identified asset and our right to obtain substantially all the economic benefits from the use of that identified asset. Our leases often have the option to renew lease terms, in addition, certain lease agreements may be terminated prior to their original expiration date. The Company assesses these options to determine if we are reasonably certain of exercising them based on all relevant economic and financial factors. Any options that meet these criteria are included in the lease term at lease commencement. Our lease agreements do not contain any material residual value guarantees or material restrictive covenants.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We determine the lease classification and begin to recognize lease and any related expenses upon the lease’s commencement, which for real estate leases is generally when we take possession or control of the asset.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Lease arrangements may require the landlord to provide tenant allowances for the Company’s real estate leases. Standard tenant allowances received from landlords, typically those received under operating lease agreements, are recorded as cash and cash equivalents with an offset recorded in operating right-of-use assets on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Classification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real estate and equipment leases are classified as finance leases. Lease characteristics that we evaluate to</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determine lease classification include, but are not limited to, the lease term, incremental borrowing rate, fair value of the leased asset and the economic life of the leased asset. Lease related assets classified as financing leases are included in financing right-of-use assets on the consolidated balance sheets. Financing lease assets and liabilities are recognized at the commencement date of the lease based on the present value of future minimum lease payments. For finance leases, interest expense is presented for the lease liability in the interest expense (income), net line item of our consolidated statements of comprehensive income, consistent with how other interest expense is presented. The Company presents amortization of the right-of-use asset in the selling, general and administrative expense line item of our consolidated statements of comprehensive income, consistent with presentation of depreciation or amortization of similar assets.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Leases that do not meet the definition of a finance lease are considered operating leases. Lease related assets classified as operating leases are included in operating right-of-use assets on the consolidated balance sheets. Operating lease assets and liabilities are recognized at the commencement date of the lease based on the present value of lease payments over the lease term. For operating leases, the Company presents lease expense in cost of goods sold and selling, general and administrative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expense line items based on the nature of the expense, which are components of income from operations of our consolidated statements of comprehensive income. The Company recognizes lease cost on a straight-line basis over the term of the lease.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Payments</w:t>
      </w:r>
    </w:p>
    <w:p>
      <w:pPr>
        <w:spacing w:after="0" w:line="2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majority of the real estate lease agreements include minimum rent payments which are subject to stated lease escalations over the lease term and eligible renewal periods. These stated fixed payments, through the lease term, are included in our measurement of the lease right-of-use assets and lease liabilities upon lease commencement.</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Depending on particular Showroom leases, the Company can also owe variable rental payments if particular Showrooms meet certain sales figures. Due to the variable and unpredictable nature of such payments, the Company does not recognize a lease right-of-use asset and lease liability related to such payments. Estimated variable rental payments are included in accrued expenses on the consolidated balance sheets in the period they are incurred and until such payments are made, and the related lease cost is included in cost of goods sold on the consolidated statements of comprehensive income.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Borrowing Rate</w:t>
      </w:r>
    </w:p>
    <w:p>
      <w:pPr>
        <w:spacing w:after="0" w:line="29"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 xml:space="preserve">When readily available,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See Note 7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on how the Company estimated the IBR.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Furniture and Equipment</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stated at cost, net of accumulated depreciation and amortization. Depreciation and amortization is calculated using the straight-line method generally using the following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 type</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 Life-Years</w:t>
            </w:r>
          </w:p>
        </w:tc>
      </w:tr>
      <w:tr>
        <w:trPr>
          <w:trHeight w:val="22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7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Lesser of the intended useful life of the underlying asset or lease term</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Landlord improvements</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the intended useful life of the underlying asset or lease term</w:t>
            </w: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7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r>
    </w:tbl>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$29.4 million, $24.9 million and $23.9 million for the years ended December 31, 2023, 2022 and 2021, respectively.</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Capitalization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software developed or obtained for internal use, the Company capitalizes direct external costs associated with developing or obtaining internal-use software. Capitalized costs related to internal-use software under development are treated as construction-in-progress until the program, feature or functionality is ready for its intended use, at which time depreciation commences. These costs are amortized on a straight-line basis over the estimated useful life of the software, which generally is three years. The Company expenses any data conversion or training costs as incurred. Capitalized software costs are included in property, furniture and equipment, net in the consolidated balance sheets.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defers costs incurred with the implementation of a cloud computing arrangement (“CCA”) that is a service contract, consistent with our policy for software developed or obtained for internal use. The deferred implementation costs of cloud computing arrangements are amortized on a straight-line basis over the term of the cloud computing arrangement, ranging from two to five years, in the same line item in the consolidated statements of comprehensive income as the associated hosting fees. The eligible implementation costs incurred of a cloud computing arrangement are included in prepaid and other current assets and other noncurrent assets in the consolidated balance sheets, and in operating cash flows of the consolidated statements of cash flows. Deferred CCA implementation costs were $4.8 million, net of accumulated amortization of $0.7 million for the year ended December 31,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test goodwill for impairment on an annual basis in the fourth quarter of each year, and more frequently if events or changes in circumstances indicate that it might be impaired. Circumstances that may indicate impairment include, but are not limited to:</w:t>
      </w:r>
    </w:p>
    <w:p>
      <w:pPr>
        <w:spacing w:after="0" w:line="12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economic conditions, limitations on accessing capital, or other developments in equity and credit markets;</w:t>
      </w:r>
    </w:p>
    <w:p>
      <w:pPr>
        <w:spacing w:after="0" w:line="27" w:lineRule="exact"/>
        <w:rPr>
          <w:rFonts w:ascii="Times New Roman" w:cs="Times New Roman" w:eastAsia="Times New Roman" w:hAnsi="Times New Roman"/>
          <w:sz w:val="18"/>
          <w:szCs w:val="18"/>
          <w:color w:val="auto"/>
        </w:rPr>
      </w:pPr>
    </w:p>
    <w:p>
      <w:pPr>
        <w:ind w:left="660" w:right="68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that have a negative effect on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key personnel, strategy, or clients;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decrease in share price in either absolute terms or relative to peers.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 50 percent. If the qualitative assessment leads to a determination that the reporting unit’s fair value is likely less than its carrying value, or if we elect to bypass the qualitative assessment altogether, we are required to perform a quantitative impairment test (“Step 1”) by calculating the fair value of the reporting unit and comparing the fair value with its associated carrying value. We will recognize an impairment charge for the amount by which the carrying amount exceeds the reporting unit’s fair value.</w:t>
      </w:r>
    </w:p>
    <w:p>
      <w:pPr>
        <w:spacing w:after="0" w:line="14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determine fair values using an equally weighted combination of the discounted cash flow approach (“income approach”) and the guideline public company method (“market approach”), based upon the relevance and availability of the data at the time we perform the valuation.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for impairment whenever events or changes in circumstances indicate that the carrying amount of those assets may not be recoverable. Circumstances that may indicate impairment include, but are not limited to:</w:t>
      </w:r>
    </w:p>
    <w:p>
      <w:pPr>
        <w:spacing w:after="0" w:line="13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 or asset group;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 long-lived asset or asset group is being used or in its physical condition;</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or asset group, including an adverse action or assessment by a regulator;</w:t>
      </w:r>
    </w:p>
    <w:p>
      <w:pPr>
        <w:ind w:left="660" w:right="4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 or asset group;</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right="8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or cash flow loss combined with a history of operating or cash flow losses or a projection or forecast that demonstrates continuing losses associated with the use of a long-lived asset or asset group; and</w:t>
      </w:r>
    </w:p>
    <w:p>
      <w:pPr>
        <w:ind w:left="660" w:right="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w:t>
      </w:r>
    </w:p>
    <w:p>
      <w:pPr>
        <w:spacing w:after="0" w:line="1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 asset group is defined as the lowest level for which identifiable cash flows are available and largely independent of the cash flows of other groups of assets, which for our Showrooms is the individual Showroom level.</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those circumstances that may indicate an impairment,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management’s analysis there were no events or circumstances identified during 2023 or 2022 indicating a potential impairment of any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Warranties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at the time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37"/>
        </w:trPr>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3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r>
      <w:tr>
        <w:trPr>
          <w:trHeight w:val="241"/>
        </w:trPr>
        <w:tc>
          <w:tcPr>
            <w:tcW w:w="796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Balance as of end of the period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1"/>
        </w:trPr>
        <w:tc>
          <w:tcPr>
            <w:tcW w:w="79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42"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$4.1 million and $3.7 million were recorded in accrued other expenses at December 31, 2023 and 2022, respectively. The remainder is recorded in other long-term liabilities.</w:t>
      </w:r>
    </w:p>
    <w:p>
      <w:pPr>
        <w:spacing w:after="0" w:line="1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warranties issued during the respective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take into account all expected future events then known to us, other than changes in the tax law or rates which have not yet been enacted and which are not permitted to be considered. We may record a valuation allowance to reduce our net deferred tax assets to the amount that is more-likely-than-not to be realized. The determination as to whether a deferred tax asset will be realized is made on a jurisdictional basis and is based upon the weight of available evidence. Future taxable income of the appropriate character in either the carryback or carryforward period under the tax law and ongoing prudent and feasible tax planning are considered in determining the amount of the valuation allowance, and the amount of the allowance is subject to adjustment in the future. Specifically, in the event we were to determine that it is not more-likely-than-not that we would be able to realize our net deferred tax assets in the future, an adjustment to the valuation allowance would decrease net income in the period such determination is made. This allowance does not alter our ability to utilize the underlying tax net operating loss and credit carryforwards in the future, the utilization of which requires future taxable income.</w:t>
      </w:r>
    </w:p>
    <w:p>
      <w:pPr>
        <w:spacing w:after="0" w:line="1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accounting standard for uncertainty in income taxes prescribes a recognition threshold that a tax position is required to meet before being recognized in the financial statements and provides guidance on subsequent recognition, derecognition,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measurement based on management’s best judgement given the facts, circumstances, and information available at the reporting date. Differences between tax positions taken in a tax return and amounts recognized in the financial statements generally result in an increase in liability for income taxes payable or a reduction of an income tax refund receivable, or a reduction in a deferred tax asset or an increase in a deferred tax liability, or both. At December 31, 2023 and 2022, the Company assessed its income tax positions and concluded that it had no unrecognized tax benefits. We recognize interest and penalties related to unrecognized tax benefits in income tax expense on the consolidated statements of comprehensive income. No such interest and penalties were recorded for the years ended December 31, 2023, 2022 or 2021.</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Therefore, no provision for federal income taxes are included in these consolidated financial statements prior to the Reorganization. Subsequent to the Reorganization, Arhaus, LLC’s taxable income flows through to FS Arhaus and Homeworks who are subject to U.S. federal and state corporate income taxes.</w:t>
      </w:r>
    </w:p>
    <w:p>
      <w:pPr>
        <w:spacing w:after="0" w:line="1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is subject to federal, state and local income tax examinations by tax authorities. With few exceptions, the Company is no longer subject to federal, state and local tax examinations for the years before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goods sold includes the direct cost of purchased merchandise, 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SG&amp;A expenses as a percentage of net revenue are usually higher in lower-volume quarters and lower in higher-volume quarters because a significant portion of the costs are fixed.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December 31, 2023 and 2022 of $0.5 million and $1.0 million, respectively, is recorded in the accrued other expenses line item of the consolidated balance sheets. The Company recognizes income associated with breakage proportional to actual gift card redemptions. For the year ended December 31, 2023, breakage income was $0.8 million. For the years ended December 31, 2022 and 2021, breakage was minimal.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 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We had liabilities of $1.4 million and $1.0 million at December 31, 2023 and 2022, respectively, recorded in the accrued other expenses line item of the consolidated balance sheets.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carry workers’ compensation insurance subject to a deductible amount for which we are responsible on each claim. We had liabilities related to workers’ compensation claims of $0.6 million and $0.5 million at December 31, 2023 and 2022, respectively, recorded in the accrued taxes line item of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 Risk</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Approximately 15%, 13% and 18% of the Company’s merchandise was purchased from one vendor for the years ended December 31, 2023, 2022 and 2021, respectively. No other vendor made up more than 10% of purchases for the years ended 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December 31, 2023 and 2022. See Note 7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discussion of our lease obligations and Note 10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discussion of our equity based compensation instruments.</w:t>
      </w:r>
    </w:p>
    <w:p>
      <w:pPr>
        <w:spacing w:after="0" w:line="13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660" w:right="1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for identical, unrestricted assets and liabilities that the reporting entity has the ability to access at the measurement date.</w:t>
      </w:r>
    </w:p>
    <w:p>
      <w:pPr>
        <w:spacing w:after="0" w:line="135" w:lineRule="exact"/>
        <w:rPr>
          <w:sz w:val="20"/>
          <w:szCs w:val="20"/>
          <w:color w:val="auto"/>
        </w:rPr>
      </w:pPr>
    </w:p>
    <w:p>
      <w:pPr>
        <w:ind w:left="660" w:right="4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Inputs other than quoted prices included within Level 1 that are observable for the asset and liability or can be corroborated with observable market data for substantially the entire contractual term of the asset or liability.</w:t>
      </w:r>
    </w:p>
    <w:p>
      <w:pPr>
        <w:spacing w:after="0" w:line="121"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3</w:t>
        <w:tab/>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Fees</w:t>
      </w:r>
    </w:p>
    <w:p>
      <w:pPr>
        <w:spacing w:after="0" w:line="2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Debt issuance costs were recorded as part of the establishment of the Company’s financing arrangements (see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debt issuance costs were recorded within the other noncurrent assets line item on the consolidated balance sheets and are amortized as interest expense over the contractual life of the debt structure using the straight-line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of the Company held by FS Arhaus. The Company identifies its noncontrolling interests separately within the Company’s consolidated statements of changes in stockholders’/members’ equity (deficit). The amounts of consolidated net and comprehensive income attributable to the Company and to the noncontrolling interest are presented separately on the Company’s consolidated statements of comprehensive income. As part of the Reorganization, the noncontrolling interest held by FS Arhaus was exchanged for shares of Class A common stock. Accordingly, net and comprehensive income attributable to noncontrolling interest shown for 2021 on the consolidated statements of comprehensive income only represents income statement activity until the day of the Reorganization.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the Company adopted the 2021 Equity Incentive Plan (the “2021 Equity Plan”), which authorized the Company to grant stock options (either incentive or non-qualified), stock appreciation rights (“SARs”), restricted stock, restricted stock units (“RSUs”), performance shares, performance share units (“PSUs”) and other stock-based awards with respect to our Class A common stock. During the years ended December 31, 2023 and 2022, the Company granted RSU and PSU awards to certain of the Company’s named executive officers and other key employees under the 2021 Equity Plan. The Company also granted RSU awards to certain members of the Board of Directors. The fair value of each RSU and PSU</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award is based on the grant date market price and recognizes costs as expense over the vesting period. Forfeitures are accounted for as they occur. See Note 10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further discussion on the awards granted under the 2021 Equity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 per share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Basic net and comprehensive income per share is computed as net income attributable to Arhaus, Inc. divided by the weighted-average number of common shares outstanding for the period. Diluted net and comprehensive income per share is computed as net income attributable to Arhaus, Inc. divided by the weighted-average number of common shares outstanding for the period and common share equivalents under equity plans using the treasury stock method. Potential dilutive securities are excluded from the computation of diluted net income per share if their effect is anti-dilutive.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Adopted</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did not adopt any Accounting Standard Updates (“ASU”) during the year ended December 31, 2023 that had a material impact on our accounting policies or our consolidated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Leases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w:t>
      </w:r>
    </w:p>
    <w:p>
      <w:pPr>
        <w:spacing w:after="0" w:line="14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adopted Accounting Standards Codification (“ASC”) ASC 842 as of January 1, 2022, using the modified retrospective approach by applying the transition provisions at the beginning of the period of adoption. Comparative periods will continue to be presented in accordance with ASC 840. The Company elected the package of practical expedients permitted under the transition guidance, which allowed the Company to carryforward the historical lease classification, lease identification and initial direct costs. The Company did not elect the “Land Easements” or “Hindsight” practical expedients. Additionally, the Company made the following accounting policy elections in connection with the adoption:</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short-term leases from our consolidated balance sheets;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both the lease and non-lease components as a single component and account for it as a lease.</w:t>
      </w:r>
    </w:p>
    <w:p>
      <w:pPr>
        <w:spacing w:after="0" w:line="16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As a result, the Company measured the right-of-use asset and lease liability for operating and finance leases as of January 1, 2022, using the remaining portion of the lease term that was determined under ASC 840. The adoption resulted in $242.0 million recognized as total right-of-use assets and $326.5 million recognized as total lease liabilities on our consolidated balance sheets as of January 1, 2022. For certain previous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 See Note 7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2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adopted the standard as of January 1, 2022. The adoption of this standard did not have a material impact on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following table summarizes accounting standards which we have not yet adopted but will be adopting. ASU 2023-01 is effective for annual periods beginning after December 15, 2023. We believe the adoption will not have a material impact on our accounting policies or our consolidated financial statements and related disclosures. ASU 2023-07 is effective for annual periods beginning after December 15, 2023. We believe the adoption will not have a material impact on our accounting policies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or our financial position or results of operations but could have a material impact on our related disclosures. ASU 2023-09 is effective for annual periods beginning after December 15, 2024. We believe the adoption will not have a material impact on our accounting policies or our financial position or results of operations but could have a material impact on our related disclosures.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ASU</w:t>
            </w:r>
          </w:p>
        </w:tc>
        <w:tc>
          <w:tcPr>
            <w:tcW w:w="2880" w:type="dxa"/>
            <w:vAlign w:val="bottom"/>
          </w:tcPr>
          <w:p>
            <w:pPr>
              <w:spacing w:after="0"/>
              <w:rPr>
                <w:sz w:val="20"/>
                <w:szCs w:val="20"/>
                <w:color w:val="auto"/>
              </w:rPr>
            </w:pPr>
          </w:p>
        </w:tc>
        <w:tc>
          <w:tcPr>
            <w:tcW w:w="392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2023-01</w:t>
            </w:r>
          </w:p>
        </w:tc>
        <w:tc>
          <w:tcPr>
            <w:tcW w:w="100" w:type="dxa"/>
            <w:vAlign w:val="bottom"/>
            <w:tcBorders>
              <w:top w:val="single" w:sz="8" w:color="CCEEFF"/>
            </w:tcBorders>
            <w:shd w:val="clear" w:color="auto" w:fill="CCEEFF"/>
          </w:tcPr>
          <w:p>
            <w:pPr>
              <w:spacing w:after="0"/>
              <w:rPr>
                <w:sz w:val="19"/>
                <w:szCs w:val="19"/>
                <w:color w:val="auto"/>
              </w:rPr>
            </w:pPr>
          </w:p>
        </w:tc>
        <w:tc>
          <w:tcPr>
            <w:tcW w:w="68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 (Topic 842): Common Control Arrangements</w:t>
            </w: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 2023-07</w:t>
            </w: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Reporting (Topic 280): Improvements to Reportable Segment Disclosures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2023-09</w:t>
            </w:r>
          </w:p>
        </w:tc>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(Topic 740): Improvements to Income Tax Disclosures</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Property, Furniture and Equipment</w:t>
            </w: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furniture and equipment, net consists of the following (amounts in thousands):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3"/>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80,638</w:t>
            </w:r>
          </w:p>
        </w:tc>
        <w:tc>
          <w:tcPr>
            <w:tcW w:w="68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50,776</w:t>
            </w:r>
          </w:p>
        </w:tc>
        <w:tc>
          <w:tcPr>
            <w:tcW w:w="0" w:type="dxa"/>
            <w:vAlign w:val="bottom"/>
          </w:tcPr>
          <w:p>
            <w:pPr>
              <w:spacing w:after="0"/>
              <w:rPr>
                <w:sz w:val="1"/>
                <w:szCs w:val="1"/>
                <w:color w:val="auto"/>
              </w:rPr>
            </w:pPr>
          </w:p>
        </w:tc>
      </w:tr>
      <w:tr>
        <w:trPr>
          <w:trHeight w:val="257"/>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Landlord improvements</w:t>
            </w:r>
          </w:p>
        </w:tc>
        <w:tc>
          <w:tcPr>
            <w:tcW w:w="3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177,593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150,545</w:t>
            </w:r>
          </w:p>
        </w:tc>
        <w:tc>
          <w:tcPr>
            <w:tcW w:w="0" w:type="dxa"/>
            <w:vAlign w:val="bottom"/>
          </w:tcPr>
          <w:p>
            <w:pPr>
              <w:spacing w:after="0"/>
              <w:rPr>
                <w:sz w:val="1"/>
                <w:szCs w:val="1"/>
                <w:color w:val="auto"/>
              </w:rPr>
            </w:pPr>
          </w:p>
        </w:tc>
      </w:tr>
      <w:tr>
        <w:trPr>
          <w:trHeight w:val="257"/>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57"/>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Computer and equipment</w:t>
            </w:r>
          </w:p>
        </w:tc>
        <w:tc>
          <w:tcPr>
            <w:tcW w:w="3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46,963</w:t>
            </w:r>
          </w:p>
        </w:tc>
        <w:tc>
          <w:tcPr>
            <w:tcW w:w="0" w:type="dxa"/>
            <w:vAlign w:val="bottom"/>
          </w:tcPr>
          <w:p>
            <w:pPr>
              <w:spacing w:after="0"/>
              <w:rPr>
                <w:sz w:val="1"/>
                <w:szCs w:val="1"/>
                <w:color w:val="auto"/>
              </w:rPr>
            </w:pPr>
          </w:p>
        </w:tc>
      </w:tr>
      <w:tr>
        <w:trPr>
          <w:trHeight w:val="256"/>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8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40,799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280,266</w:t>
            </w:r>
          </w:p>
        </w:tc>
        <w:tc>
          <w:tcPr>
            <w:tcW w:w="0" w:type="dxa"/>
            <w:vAlign w:val="bottom"/>
          </w:tcPr>
          <w:p>
            <w:pPr>
              <w:spacing w:after="0"/>
              <w:rPr>
                <w:sz w:val="1"/>
                <w:szCs w:val="1"/>
                <w:color w:val="auto"/>
              </w:rPr>
            </w:pPr>
          </w:p>
        </w:tc>
      </w:tr>
      <w:tr>
        <w:trPr>
          <w:trHeight w:val="256"/>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(62,571)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57"/>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Landlord improvement accumulated depreciation</w:t>
            </w:r>
          </w:p>
        </w:tc>
        <w:tc>
          <w:tcPr>
            <w:tcW w:w="36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(87,763)</w:t>
            </w:r>
          </w:p>
        </w:tc>
        <w:tc>
          <w:tcPr>
            <w:tcW w:w="0" w:type="dxa"/>
            <w:vAlign w:val="bottom"/>
          </w:tcPr>
          <w:p>
            <w:pPr>
              <w:spacing w:after="0"/>
              <w:rPr>
                <w:sz w:val="1"/>
                <w:szCs w:val="1"/>
                <w:color w:val="auto"/>
              </w:rPr>
            </w:pPr>
          </w:p>
        </w:tc>
      </w:tr>
      <w:tr>
        <w:trPr>
          <w:trHeight w:val="22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6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140,613</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Other Expenses</w:t>
            </w: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420" w:type="dxa"/>
            <w:vAlign w:val="bottom"/>
            <w:gridSpan w:val="3"/>
            <w:vMerge w:val="continue"/>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other expenses consist of the following (amounts in thousands):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 program</w:t>
            </w:r>
          </w:p>
        </w:tc>
        <w:tc>
          <w:tcPr>
            <w:tcW w:w="3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30"/>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returns</w:t>
            </w:r>
          </w:p>
        </w:tc>
        <w:tc>
          <w:tcPr>
            <w:tcW w:w="28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30"/>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showroom costs</w:t>
            </w:r>
          </w:p>
        </w:tc>
        <w:tc>
          <w:tcPr>
            <w:tcW w:w="3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16,169</w:t>
            </w:r>
          </w:p>
        </w:tc>
        <w:tc>
          <w:tcPr>
            <w:tcW w:w="0" w:type="dxa"/>
            <w:vAlign w:val="bottom"/>
          </w:tcPr>
          <w:p>
            <w:pPr>
              <w:spacing w:after="0"/>
              <w:rPr>
                <w:sz w:val="1"/>
                <w:szCs w:val="1"/>
                <w:color w:val="auto"/>
              </w:rPr>
            </w:pPr>
          </w:p>
        </w:tc>
      </w:tr>
      <w:tr>
        <w:trPr>
          <w:trHeight w:val="230"/>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8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cards</w:t>
            </w:r>
          </w:p>
        </w:tc>
        <w:tc>
          <w:tcPr>
            <w:tcW w:w="28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3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other expenses</w:t>
            </w:r>
          </w:p>
        </w:tc>
        <w:tc>
          <w:tcPr>
            <w:tcW w:w="3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35,169</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0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2023, we reviewed Arhaus Consolidated, our one reporting unit’s goodwill for impairment by performing a qualitative assessment in the fourth quarter. Based on the results, we determined that it was more likely than not the fair value of goodwill recorded exceeded the current carrying value and concluded no impairment existed.</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there was no change in the recorded goodwill balances and we have not recorded any historical goodwill impairments.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a term loan of $40.0 million (the “Term Loan”). 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 holder informed the Company it would decline the option to receive the $3.0 million and elect to receive a payout equivalent to 4.0% of the equity value. The exit fee was treated as a derivative and adjusted to fair value each reporting period. In connection with the Company’s IPO, the fair value of the exit fee was determined to be $64.1 million and was paid by the Company in November 2021, using proceeds from the IPO. The Company recorded $44.5 million of derivative expense for the year ended December 31, 2021 in selling, general and administrative expenses within the consolidated statements of comprehensive income.</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25, 2020, the Company entered into a credit agreement (the “Revolver”), which included a revolving credit facility of $30.0 million with availability limited pursuant to a borrowing base formula based on specified percentages of eligible inventory, net of reserves. Amortization expense related to deferred financing fees was $0.4 million for the year ended December 31, 2021 and is included in interest expense (income), net within the consolidated statements of comprehensive income. The Revolver was set to expire on June 25, 2023.</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4, 2021 the Company terminated the Revolver of which there were no borrowings drawn. The termination of the Revolver resulted in a $1.4 million loss on extinguishment of debt. The loss, which included a $0.6 million early termination fee and a write off of the remaining unamortized loan costs of $0.8 million, is included in the loss on extinguishment of debt within the consolidated statements of comprehensive income for the year ended December 31, 2021.</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(1.50% at December 31, 2023, 1.50% at December 31, 2022 and 1.75% at December 31, 2021), whereas the applicable margin is adjusted quarterly based on the Company’s consolidated rent-adjusted total leverage ratio.</w:t>
      </w:r>
    </w:p>
    <w:p>
      <w:pPr>
        <w:spacing w:after="0" w:line="16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December 31, 2023 and 2022, we had no borrowings on the 2021 Credit Facility. Deferred financing costs related to the 2021 Credit Facility of $0.4 million and $0.4 million at December 31, 2023 and 2022, respectively, were recorded in other noncurrent assets on the consolidated balance sheets and will be amortized over the term of the 2021 Credit Facility on a straight-line basis. Accumulated amortization related to deferred financing costs for the 2021 Credit Facility was $0.1 million and $0.1 million as of December 31, 2023 and 2022, respectively.</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debt covenants at December 31, 2023 and 2022, and expects to remain in compliance over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fiscal 2022, we adopted ASU 2016-02, Leases (Topic 842) and all related amendments as discussed in 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Summary of Significant Accounting Policies</w:t>
      </w:r>
      <w:r>
        <w:rPr>
          <w:rFonts w:ascii="Times New Roman" w:cs="Times New Roman" w:eastAsia="Times New Roman" w:hAnsi="Times New Roman"/>
          <w:sz w:val="18"/>
          <w:szCs w:val="18"/>
          <w:color w:val="auto"/>
        </w:rPr>
        <w:t>. The Company leases real estate and equipment under operating and finance leases,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are from related parties as discussed in Note 14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insurance and maintenance costs. Depending on particular Showroom leases, the Company can also owe a percentage rent payment if particular Showrooms meet certain sales figures.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recognized in our consolidated balance sheets related to leases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 Classification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257,347</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340,992</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295,869</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362,598</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295,657</w:t>
            </w: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408,155</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334,907</w:t>
            </w:r>
          </w:p>
        </w:tc>
      </w:tr>
      <w:tr>
        <w:trPr>
          <w:trHeight w:val="256"/>
        </w:trPr>
        <w:tc>
          <w:tcPr>
            <w:tcW w:w="31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53,870</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51,835</w:t>
            </w: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9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52,366</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462,929</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387,273</w:t>
            </w:r>
          </w:p>
        </w:tc>
      </w:tr>
      <w:tr>
        <w:trPr>
          <w:trHeight w:val="21"/>
        </w:trPr>
        <w:tc>
          <w:tcPr>
            <w:tcW w:w="3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recognized within our consolidated statements of comprehensive income are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49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3"/>
                <w:szCs w:val="13"/>
                <w:color w:val="auto"/>
              </w:rPr>
            </w:pPr>
          </w:p>
        </w:tc>
        <w:tc>
          <w:tcPr>
            <w:tcW w:w="9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spacing w:after="0"/>
              <w:rPr>
                <w:sz w:val="21"/>
                <w:szCs w:val="21"/>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4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42,836</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4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98,947</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$0.4 million and $0.4 million of month-to-month lease costs for the years ended December 31, 2023 and 2022, respectively.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calculated under ASC 840 for the year ended December 31, 2021 was $66.5 million. Percentage rent expense calculated under ASC 840 for the year ended December 31, 2021 was $6.1 million. Amortization of landlord improvements calculated under ASC 840 for the year ended December 31, 2021 was $13.5 million.</w:t>
      </w:r>
    </w:p>
    <w:p>
      <w:pPr>
        <w:spacing w:after="0" w:line="14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certain to exercise the option on the basis of economic factors. The weighted average remaining lease terms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19"/>
                <w:szCs w:val="19"/>
                <w:color w:val="auto"/>
              </w:rPr>
            </w:pPr>
          </w:p>
        </w:tc>
      </w:tr>
      <w:tr>
        <w:trPr>
          <w:trHeight w:val="238"/>
        </w:trPr>
        <w:tc>
          <w:tcPr>
            <w:tcW w:w="8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9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3"/>
        </w:trPr>
        <w:tc>
          <w:tcPr>
            <w:tcW w:w="8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9.14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3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20.84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r>
    </w:tbl>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readily available,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9"/>
                <w:szCs w:val="19"/>
                <w:color w:val="auto"/>
              </w:rPr>
            </w:pPr>
          </w:p>
        </w:tc>
      </w:tr>
      <w:tr>
        <w:trPr>
          <w:trHeight w:val="238"/>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1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6.03 %</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9.64 %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liabilities at December 31, 2023 are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2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 Liabilities</w:t>
            </w:r>
          </w:p>
        </w:tc>
        <w:tc>
          <w:tcPr>
            <w:tcW w:w="260" w:type="dxa"/>
            <w:vAlign w:val="bottom"/>
          </w:tcPr>
          <w:p>
            <w:pPr>
              <w:spacing w:after="0"/>
              <w:rPr>
                <w:sz w:val="21"/>
                <w:szCs w:val="21"/>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Lease</w:t>
            </w: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50"/>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73,741</w:t>
            </w:r>
          </w:p>
        </w:tc>
        <w:tc>
          <w:tcPr>
            <w:tcW w:w="0" w:type="dxa"/>
            <w:vAlign w:val="bottom"/>
          </w:tcPr>
          <w:p>
            <w:pPr>
              <w:spacing w:after="0"/>
              <w:rPr>
                <w:sz w:val="1"/>
                <w:szCs w:val="1"/>
                <w:color w:val="auto"/>
              </w:rPr>
            </w:pPr>
          </w:p>
        </w:tc>
      </w:tr>
      <w:tr>
        <w:trPr>
          <w:trHeight w:val="25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352,095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(132,871)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462,929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94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Includes leases with related parties. See Note 14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has entered into leases for Showrooms and equipment which have not yet commenced with expected lease terms ranging from 3 to 17 years. The aggregate minimum rental payments over the term of the leases of approximately $153.6 million are not included in the above table.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(amounts in thousands):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7"/>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24"/>
                <w:szCs w:val="24"/>
                <w:color w:val="auto"/>
              </w:rPr>
            </w:pPr>
          </w:p>
        </w:tc>
      </w:tr>
      <w:tr>
        <w:trPr>
          <w:trHeight w:val="238"/>
        </w:trPr>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79,721</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covering substantially all employees. The Company may contribute a discretionary matching contribution equal to a percentage that the Company deems advisable. Total costs recorded in selling, general and administrative expenses on the consolidated statements of comprehensive income related to the plan were $3.7 million, $2.6 million and $2.2 million for the years ended December 31, 2023,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Stockholders’/Members’ Equity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Homeworks Equity Structure Prior to Reorganization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change in reporting entity, the Company’s consolidated financial statements were retrospectively adjusted to include Homeworks’ financial results for all periods presented (see Note 1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Prior to the Reorganization, Homeworks’ historical equity structure was comprised of 645 voting and 4,158 non-voting shares. The equity of Homeworks includes their investment in LLC and the noncontrolling interest in LLC discussed below, which were owned by FS Arhaus and management incentive unit holders. Prior to the Reorganization, Homeworks and Reed held Class A units in LLC while FS Arhaus held Class B Units in LLC. Refer below for information on the LLC equity structure prior to the Reorganization. For the year ended December 31, 2021 cash distributions made were $61.9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Arhaus, LLC Equity Structure Prior to Reorganization</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Prior to the Reorganization, LLC established a multi-class unit structure with its members. Pursuant to LLC’s Third Amended and Restated Limited Liability Company Agreement dated June 26, 2017 (the “2017 LLC Agreement”) and the Arhaus, LLC 2017 Equity Plan (the “2017 Equity Plan”), LLC was authorized to issue up to 20,938,265 Class A Units, 7,488,248 Class B Units, 3,185,435 Class C Units, 285,387 Class D Units, 3,158,501 Class F Units, 3,158,501 Class F-1 Units, 1,250,000 Class A Preferred Units and 1,250,000 Class B Preferred Units.</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2021, the 2017 LLC Agreement and 2017 Equity Plan were amended to authorize the Company to issue up to 967,987 Class G incentive units. Additionally, in accordance with the amendments, the authorized Class F and Class F-1 incentive units that could be issued were reduced to 2,190,514 and 2,190,514, respectively. No changes to the Company’s Class C and D incentive units were made. The Class C, D, F, F-1 and G Units (collectively referred to as the “Incentive Units) were incentive units to be issued to employees, directors, and others pursuant to the terms of the amended 2017 Equity Plan and have no voting rights and do not participate in profits or losses.</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Only the Class A and Class B Units had voting rights. Distributions were payable to the various unit classes only upon the occurrence of certain capital events, based upon participation thresholds and waterfalls as defined within the amended 2017 LLC Agreement. If Class B Units or Class B Preferred Units remained outstanding on January 6, 2023, the holder of those units, as defined, would have the right to cause a sale of the Company. Income and loss of the Company is allocated proportionately based off of the equity waterfall defined in the 2017 LLC Agreement.</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Prior to the Reorganization, the Company could make quarterly tax distributions to the Class A and B members pro rata based on the taxable income allocated to such members in an amount equal to the product of each member’s distributive share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Company’s taxable income relating to each quarter (as estimated by the Board of Directors based on the results of the quarter), including any guaranteed payments, and the assumed tax rate. For the year ended December 31, 2021, the Company’s tax distribution made to Class A and B members was $7.9 million.</w:t>
      </w:r>
    </w:p>
    <w:p>
      <w:pPr>
        <w:spacing w:after="0" w:line="1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Prior to the Reorganization, the Company made a pre-IPO payment in the amount of $100.0 million which consisted of a $50.7 million dividend to noncontrolling interests and a $49.3 million distribution to the owners of Homeworks.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the Company’s Certificate of Incorporation was amended and restated to authorize two classes of common stock, Class A common stock and Class B common stock, and to authorize the Company to issue up to 750,000,000 shares of common stock, consisting of 600,000,000 shares of Class A common stock, par value of $0.001 per share, 100,000,000 shares of Class B common stock, par value of $0.001 per share and 50,000,000 shares of Preferred Stock, par value of $0.001 per share.</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and holders of Class B common stock are entitled to ten votes per share. Except as otherwise required in the Certificate of Incorporation or by applicable law, the holders of Class A common stock and Class B common stock shall vote together as a single class on all matters. Further, except as otherwise required in the Certificate of Incorporation or by applicable law, the holders of Class A common stock and Class B common stock shall be treated equally, identically and ratable in all respects as to all matters including, dividends, distributions, subdivision or combination and change of control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w:t>
      </w:r>
      <w:r>
        <w:rPr>
          <w:rFonts w:ascii="Times New Roman" w:cs="Times New Roman" w:eastAsia="Times New Roman" w:hAnsi="Times New Roman"/>
          <w:sz w:val="18"/>
          <w:szCs w:val="18"/>
          <w:color w:val="auto"/>
        </w:rPr>
        <w:t>t. The remainder of the net proceeds were used for general corporate purposes, including payment of fees and expenses in connection with the IPO and to replenish working capital following the payment of the Pre-IPO dividend to LLC Unit holders. No preferred shares were issued as part of the IPO.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Company adopted the 2021 Equity Plan, which authorized the Company the ability to grant stock options (either incentive or non-qualified), SARs, restricted stock, RSUs, performance shares, PSUs and other stock-based awards with respect to our Class A common stock. Under this plan, the maximum number of Class A common stock that may be granted through awards is 11,205,100 shares. As of December 31, 2023, there were 8,950,235 shares of Class A common stock available to be granted. See Note 10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further discussion on the awards granted under the 2021 Equity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Transactions</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In December 2021, Reed, a related party, transferred 421,350 shares of Class B common stock, which were automatically converted upon transfer to shares of Class A common stock to certain long-tenured employees of the Company, which was treated as an equity award. The transferred shares of Class A common stock do not have any vesting requirements. As a result of the transfer and awarding of the Class A common stock to employees, the Company recorded $4.6 million of compensation expense at December 31, 2021, within the selling, general and administrative expenses line item of the consolidated statements of comprehensive income. Further, Reed contributed $2.8 million to the Company in relation to the tax withholding obligations of the Company and those long tenured employees. The contribution was recorded as withholding expense within the selling, general and administrative expenses line item of the consolidated statements of comprehensive income.</w:t>
      </w:r>
    </w:p>
    <w:p>
      <w:pPr>
        <w:spacing w:after="0" w:line="14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consolidated financial statements include a deferred compensation liability related to a former employee of Homeworks. At the time of the Reorganization, Reed assumed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20"/>
        <w:spacing w:after="0" w:line="446" w:lineRule="auto"/>
        <w:rPr>
          <w:sz w:val="20"/>
          <w:szCs w:val="20"/>
          <w:color w:val="auto"/>
        </w:rPr>
      </w:pPr>
      <w:r>
        <w:rPr>
          <w:rFonts w:ascii="Times New Roman" w:cs="Times New Roman" w:eastAsia="Times New Roman" w:hAnsi="Times New Roman"/>
          <w:sz w:val="18"/>
          <w:szCs w:val="18"/>
          <w:color w:val="auto"/>
        </w:rPr>
        <w:t xml:space="preserve">deferred compensation liability which resulted in a capital contribution to additional paid-in-capital for $3.9 million at December 31, 2021. </w:t>
      </w:r>
      <w:r>
        <w:rPr>
          <w:rFonts w:ascii="Times New Roman" w:cs="Times New Roman" w:eastAsia="Times New Roman" w:hAnsi="Times New Roman"/>
          <w:sz w:val="18"/>
          <w:szCs w:val="18"/>
          <w:b w:val="1"/>
          <w:bCs w:val="1"/>
          <w:i w:val="1"/>
          <w:iCs w:val="1"/>
          <w:color w:val="auto"/>
        </w:rPr>
        <w:t>Subsequent Event</w:t>
      </w: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Based Compensation</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January 2014, the Arhaus, LLC 2014 Equity Plan was established which allowed for the granting of Class C and D incentive units to employees. In June 2017, the Board adopted the 2017 Equity Plan, which allowed for the granting of Class F/F-1 incentive units to employees and in May 2021, the 2017 LLC Agreement and 2017 Equity Plan were amended to allow for the granting of Class G incentive units.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Class C, D, F, F-1 and G incentive units vest over three to five years. All holders of the Incentive Units become fully vested in the event of a change in control, death or disability, as long as the holder of the unit is employed by the Company on the date of such event. Further, certain Class G incentive unit holders who are terminated without cause will have their unvested units fully vest upon that event.</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Incentive Units represent interests that share only in proceeds from defined capital transactions above specified participation thresholds. Upon the Incentive Unit holder’s termination of employment, all unvested units are forfeited, and the Company has the right to purchase all vested units at a per unit price equal to the fair market value of a unit determined at the date such right is exercised by an independent appraisal firm to be mutually agreed to by the Company and the unit holder; provided however, all vested and unvested units are forfeited without compensation in the event of termination for cause.</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Incentive Unit holders contributed their units of LLC to Arhaus, Inc. in exchange for shares of Class A or Class B common stock for their vested Incentive Units and Class A or Class B restricted stock for their unvested Incentive Units (collectively referred to as the "Exchanged Stock"). The Exchanged Stock's fair value was equal to the respective Incentive Units’ fair market value prior to the Reorganization, which was in accordance with the distribution waterfall defined in the 2017 LLC Agreement. The vesting requirements for the exchanged Class A and Class B restricted stock (collectively the "Restricted Stock") did not change from the original Incentive Unit terms. The exchange of the Exchanged Stock was accounted for as a Type I (probable-to-probable) modification in accordance with ASC 718,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xml:space="preserve"> in which no incremental fair value was determined to have been given to the Incentive Unit holders.</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Activity of the Company’s Restricted Stock and their equity based compensation expense are summarized in the following tables (amounts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1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4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1,510,269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(1,009,965)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2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84</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4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Restricted Stock</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94"/>
        </w:trPr>
        <w:tc>
          <w:tcPr>
            <w:tcW w:w="67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72" w:lineRule="exact"/>
        <w:rPr>
          <w:sz w:val="20"/>
          <w:szCs w:val="20"/>
          <w:color w:val="auto"/>
        </w:rPr>
      </w:pPr>
    </w:p>
    <w:p>
      <w:pPr>
        <w:ind w:right="340" w:firstLine="8"/>
        <w:spacing w:after="0" w:line="270" w:lineRule="auto"/>
        <w:tabs>
          <w:tab w:leader="none" w:pos="145"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unrecognized compensation cost to be recognized in future periods is $6.2 million at December 31, 2023, and will be recognized over a weighted average period of 2.4 years. Equity based compensation is recorded within selling, general and administrative expenses on our consolidated statements of comprehensive income.</w:t>
      </w:r>
    </w:p>
    <w:p>
      <w:pPr>
        <w:spacing w:after="0" w:line="1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years ended December 31, 2023 and 2022 was $13.1 million and $11.8 million, respectively. The total fair value of shares vested was minimal for the year ended December 31, 2021.</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 the 2021 Equity Plan, each RSU and PSU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Equity Plan), unless the Compensation Committee determines otherwise, all RSUs that are unvested at the time of such termination shall be forfeited and cancelled immediately without consideration. The RSUs issued to certain members of the Board of Directors will vest on the one-year anniversary of the grant date.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PSUs earned will be based on the Company’s financial performance as measured against pre-established target goals for cumulative demand revenue and cumulative adjusted EBITDA (the “Performance Goals”) over the applicable three year performance period. PSUs will vest as of the end of the three year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w:t>
      </w:r>
    </w:p>
    <w:p>
      <w:pPr>
        <w:spacing w:after="0" w:line="14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Activity of the Company’s PSU and RSU awards and their equity based compensation expense are summarized in the following tables (amounts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060" w:type="dxa"/>
            <w:vAlign w:val="bottom"/>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5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PSUs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RSUs</w:t>
            </w:r>
            <w:r>
              <w:rPr>
                <w:rFonts w:ascii="Times New Roman" w:cs="Times New Roman" w:eastAsia="Times New Roman" w:hAnsi="Times New Roman"/>
                <w:sz w:val="23"/>
                <w:szCs w:val="23"/>
                <w:color w:val="auto"/>
                <w:vertAlign w:val="superscript"/>
              </w:rPr>
              <w:t>(2)</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51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72"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unrecognized equity based compensation for the PSUs to be recognized in future periods is $3.5 million at December 31, 2023, and will be recognized over a weighted average period of</w:t>
      </w: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1.5 years. Equity based compensation expense is recorded within selling, general and administrative expenses on our consolidated statements of comprehensive income.</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unrecognized equity based compensation for the RSUs to be recognized in future periods is $7.8 million at December 31, 2023, and will be recognized over a weighted average period of</w:t>
      </w:r>
    </w:p>
    <w:p>
      <w:pPr>
        <w:spacing w:after="0" w:line="3"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2.3 years. Equity based compensation expense is recorded within selling, general and administrative expenses on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 ended December 31, 2023 was $3.5 million. There were no RSUs that vested for the years ended December 31,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revenue is generated through sales to clients in the United States. Sales to clients outside of the United States are not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more than ten percent or more of our net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merchandise sales channel is as follows (amounts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7"/>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652,790</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144,132</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and comprehensive income per share</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and IPO, existing Class A and Class B Unitholders of LLC were issued Class A and Class B common stock in the Company, in accordance with the distribution waterfall defined in the Company’s 2017 LLC Agreement. The Class A Unitholders received 80,792,206 shares of Class B common stock and the Class B Unitholders received 31,266,536 shares of Class A common stock. Accordingly, all share and per share amounts for the year ended December 31, 2021 presented in the consolidated statements of comprehensive income and this note have been adjusted retroactively, where applicable, to reflect the Reorganization.</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years ended December 31, 2023 and 2022 was calculated by taking net and comprehensive income attributable to Arhaus, Inc. and dividing by basic and diluted weighted-average number of common shares outstanding. For the year ended December 31, 2021, basic and diluted net comprehensive income per share was calculated by adjusting net and comprehensive income for comprehensive income attributable to noncontrolling interest and dividing by basic and diluted weighted-average number of common shares outstanding. Management Incentive Unitholders did not participate in the earnings or losses of the Company as of December 31, 2021 and therefore are not participating securities. As such, they were not included within the calculation of basic or diluted earnings per share as of December 31, 2021.</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and comprehensive income per share are as follows (amounts in thousands, except unit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w:t>
            </w:r>
          </w:p>
        </w:tc>
      </w:tr>
      <w:tr>
        <w:trPr>
          <w:trHeight w:val="25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and comprehensive income attributable to noncontrolling interest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Denominator—Weighted Average Shares Outstanding</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139,471,110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138,094,180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116,013,492</w:t>
            </w:r>
          </w:p>
        </w:tc>
      </w:tr>
      <w:tr>
        <w:trPr>
          <w:trHeight w:val="229"/>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 (2)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3,507,950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140,096,732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139,605,550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119,521,442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95"/>
        </w:trPr>
        <w:tc>
          <w:tcPr>
            <w:tcW w:w="6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72" w:lineRule="exact"/>
        <w:rPr>
          <w:sz w:val="20"/>
          <w:szCs w:val="20"/>
          <w:color w:val="auto"/>
        </w:rPr>
      </w:pPr>
    </w:p>
    <w:p>
      <w:pPr>
        <w:ind w:right="680" w:firstLine="8"/>
        <w:spacing w:after="0" w:line="253" w:lineRule="auto"/>
        <w:tabs>
          <w:tab w:leader="none" w:pos="145"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years ended December 31, 2023, 2022 and 2021, 539,283, 583,118 and 99,405, respectively, shares of unvested restricted stock, RSUs and PSUs were excluded from the computation of diluted earnings per share because their effect would have been anti-dilutive.</w:t>
      </w:r>
    </w:p>
    <w:p>
      <w:pPr>
        <w:ind w:firstLine="8"/>
        <w:spacing w:after="0" w:line="234" w:lineRule="auto"/>
        <w:tabs>
          <w:tab w:leader="none" w:pos="145"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from the calculation of the effect of dilutive restricted stock as of December 31, 2023 and 2022, were 571,058 and 513,125 PSUs, respectively, because they did not meet the required performance criteria. The Company did not have any outstanding PSUs as of December 31,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December 31, 2023 and 2022, we recorded liabilities of $0.2 million and $0.4 million, respectively, in accrued other expenses on the consolidated balance sheets for non-income tax matters that were probable and reasonably estimable.</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2023, the Company committed to make a $10.0 million donation to The Nature Conservancy. For the year ended December 31, 2023, the Company recorded expense of $10.0 million within selling, general and administrative expenses on our consolidated statements of comprehensive income. As of December 31, 2023, we have a remaining commitment of $5.0 million recorded as a liability within accrued other expenses on our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0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beneficial owners and affiliated entities under the related party definition in ASC 850, “Related Party Disclosures.” Related parties include those defined in the Company’s proxy statement which has been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April 2034 with one 5-year renewal option. The monthly rental payments range from $0.1 million to $0.2 million. Rent expense was $1.6 million, $1.4 million and $1.4 million for the years ended December 31, 2023, 2022 and 2021, respectively.</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Bill Beargie, a Director of the Company, own 85% and 15%, respectively, for our Outlet in Brooklyn, Ohio. The base lease term is 15 years with no lease renewal options. The monthly rental payments are $20 thousand. Rent expense was $0.3 million, $0.3 million and $0.3 million for the years ended December 31, 2023, 2022 and 2021, respectively.</w:t>
      </w:r>
    </w:p>
    <w:p>
      <w:pPr>
        <w:spacing w:after="0" w:line="13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September 2014, the Company entered into a lease agreement with Premier Arhaus, LLC, a company of which our CEO indirectly owned 50% during 2021, on a triple net lease basis for our headquarters building and distribution center, with construction completed during 2016. The base lease term is 17 years, with a 10-year renewal option at fixed rental payments, and with two additional 5-year renewal options at fair market rent. The monthly rental payments range from $0.2 million to $0.5 million during the 17-year base lease term and from $0.5 million to $0.6 million during the 10-year renewal period. In September 2021, the Company amended the existing finance lease agreement to extend the lease term for an additional three years, which included monthly rental payments of $0.6 million. Further, the amended lease agreement provides for the expansion of the Company’s distribution center and monthly rental payments range from $0.1 million to $0.2 million. During the fourth quarter of 2021, the lessor sold its interest in the leased assets to a third party. As a result, the lease is no longer with a related party of the Company. Rent expense was $5.9 million for the year ended December 31, 2021.</w:t>
      </w:r>
    </w:p>
    <w:p>
      <w:pPr>
        <w:spacing w:after="0" w:line="13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$4.0 million, $3.7 million and $0.2 million for the years ended December 31,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consolidated statements of cash flows include the payment and receipt of a related-party note receivable between Homeworks and our CEO for $1.0 million for the year ended December 31, 2021. The receivable and the full principal on the note receivable, including accrued interest, were paid back to the Company by the CEO in May 2021.</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Reorganization, the Company has accounts payable due to noncontrolling interests of LLC for state and federal income tax refunds filed for tax periods prior to the Reorganization. The accounts payable due to related parties were $2.3 million and $1.8 million at December 31, 2023 and 2022, respectively, and are included within accounts payable on the consolidated balance sheets.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discussion of the Company’s related party transactions see Notes 1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9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Stockholders’/Members’ Equity (Deficit)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before provision for (benefit from) income taxes include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5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0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include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bl>
    <w:p>
      <w:pPr>
        <w:spacing w:after="0" w:line="72" w:lineRule="exact"/>
        <w:rPr>
          <w:sz w:val="20"/>
          <w:szCs w:val="20"/>
          <w:color w:val="auto"/>
        </w:rPr>
      </w:pPr>
    </w:p>
    <w:p>
      <w:pPr>
        <w:ind w:right="140" w:firstLine="8"/>
        <w:spacing w:after="0" w:line="362" w:lineRule="auto"/>
        <w:tabs>
          <w:tab w:leader="none" w:pos="132" w:val="left"/>
        </w:tabs>
        <w:numPr>
          <w:ilvl w:val="0"/>
          <w:numId w:val="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2021 deferred tax benefit reflects the recognition of deferred taxes as a result of the Reorganization. After the Reorganization, LLC’s taxable income flows through to FS Arhaus and Homeworks who are subject to U.S. federal and state corporate income taxes.</w:t>
      </w:r>
    </w:p>
    <w:p>
      <w:pPr>
        <w:spacing w:after="0" w:line="80"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color w:val="auto"/>
        </w:rPr>
        <w:t>The difference between income taxes expected at the U.S. federal statutory income tax rate of 21% and the provision (benefit) for income taxes is summarized as follows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Nontaxable partnership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r>
      <w:tr>
        <w:trPr>
          <w:trHeight w:val="230"/>
        </w:trPr>
        <w:tc>
          <w:tcPr>
            <w:tcW w:w="6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FS Arhaus and Homeworks investment in LLC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return-to-provision adjustments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1"/>
        </w:trPr>
        <w:tc>
          <w:tcPr>
            <w:tcW w:w="63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r>
    </w:tbl>
    <w:p>
      <w:pPr>
        <w:spacing w:after="0" w:line="72" w:lineRule="exact"/>
        <w:rPr>
          <w:sz w:val="20"/>
          <w:szCs w:val="20"/>
          <w:color w:val="auto"/>
        </w:rPr>
      </w:pPr>
    </w:p>
    <w:p>
      <w:pPr>
        <w:ind w:right="60" w:firstLine="8"/>
        <w:spacing w:after="0" w:line="255" w:lineRule="auto"/>
        <w:tabs>
          <w:tab w:leader="none" w:pos="145"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to the Reorganization, the Company was not subject to corporate income taxes. After the Reorganization, a deferred tax benefit related to Homeworks investment in the Arhaus, LLC partnership was recognized through income tax expense because Homeworks lost its nontaxable status through the Reorganization. The deferred tax benefit related to FS Arhaus, Inc.’s investment in Arhaus, LLC was recognized as a capital contribution to additional paid-in-capital for $17.4 million.</w:t>
      </w:r>
    </w:p>
    <w:p>
      <w:pPr>
        <w:ind w:right="40" w:firstLine="8"/>
        <w:spacing w:after="0" w:line="249" w:lineRule="auto"/>
        <w:tabs>
          <w:tab w:leader="none" w:pos="145"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tax investment amount changed as a result of the LLC’s federal tax filing in 2022, therefore the Company recorded a return-to-provision adjustment of $1.6 million and $1.1 million to additional paid-in capital for the years ending December 31, 2023 and 2022,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our deferred tax assets and liabilities include (amounts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 Arhaus investment in LLC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Homeworks investment in LLC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have state NOL carryforwards of less than $1.0 million that begin to expire in 2041.</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available evidence (namely, a three-year cumulative income position), management believes it is more-likely-than-not that the net U.S. and state deferred tax assets will be fully realizable. We have not recorded a valuation allowance against deferred tax assets.</w:t>
      </w:r>
    </w:p>
    <w:p>
      <w:pPr>
        <w:spacing w:after="0" w:line="13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No unrecognized tax benefits have been recognized as of December 31, 2023 and 2022. We recognize accrued interest and penalties related to unrecognized tax benefits within the provision for income taxes in the consolidated statements of operations. There were no amounts of interest and penalties accrued as of December 31, 2023 and 2022.</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and various state and local jurisdictions. The tax years after 2019 remain open to examination by the state taxing jurisdictions in which the Company is subject to tax. As of December 31, 2023, the Company was not under examination by the Internal Revenue Service or any state tax jurisdiction.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Inflation Reduction Act was enacted on August 16, 2022 and includes a new 15% minimum tax on “adjusted financial statement income” beginning with the Company’s fiscal year 2023, a new 1% excise tax on stock repurchases after December 31, 2022, and several tax incentives to promote clean energy. While these tax law changes have no immediate effect and are not expected to have a material adverse effect on our results of operations going forward, we will continue to evaluate their impact as further information becomes available.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Revision of Previously Issued Condensed Consolidated Financial Statements (Unaudited)</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the Company identified an error within the consolidated balance sheets,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consolidated statements of cash flows. The errors impacted the unaudited condensed consolidated balance sheets and unaudited condensed consolidated statements of cash flows as of and for the three months ended March 31, 2023 and 2022, as of and for the six months ended June 30, 2023 and 2022, and the unaudited condensed consolidated balance sheet as of September 30, 2022. The Company has evaluated the errors both quantitatively and qualitatively and concluded they were not material, individually or in the aggregate, to such prior period unaudited condensed consolidated financial statements and concluded to revise such prior period unaudited condensed consolidated financial statements.</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revision of the Company’s unaudited condensed consolidated financial statements, we determined it was appropriate to correct for certain other previously identified immaterial errors. The Company will effect the revision of the unaudited interim condensed consolidated financial information for the first two quarters of 2023 as part of our filing of the 2024 interim Form 10-Qs.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impact of these corrections for the periods presented (amounts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4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43,084</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29,810</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521,047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507,773</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309,211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301,861</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149,515</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162,789</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1,045,279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1,037,929</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352,898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345,548</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757,715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750,365</w:t>
            </w: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1,045,279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4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June 30, 2023</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84" w:lineRule="exact"/>
        <w:rPr>
          <w:sz w:val="20"/>
          <w:szCs w:val="20"/>
          <w:color w:val="auto"/>
        </w:rPr>
      </w:pPr>
    </w:p>
    <w:p>
      <w:pPr>
        <w:ind w:left="20" w:right="13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Supplemental disclosure of cash flow information </w:t>
      </w:r>
      <w:r>
        <w:rPr>
          <w:rFonts w:ascii="Times New Roman" w:cs="Times New Roman" w:eastAsia="Times New Roman" w:hAnsi="Times New Roman"/>
          <w:sz w:val="18"/>
          <w:szCs w:val="18"/>
          <w:color w:val="auto"/>
        </w:rPr>
        <w:t>Noncash operating activities</w:t>
      </w:r>
    </w:p>
    <w:p>
      <w:pPr>
        <w:ind w:left="360"/>
        <w:spacing w:after="0"/>
        <w:rPr>
          <w:sz w:val="20"/>
          <w:szCs w:val="20"/>
          <w:color w:val="auto"/>
        </w:rPr>
      </w:pPr>
      <w:r>
        <w:rPr>
          <w:rFonts w:ascii="Times New Roman" w:cs="Times New Roman" w:eastAsia="Times New Roman" w:hAnsi="Times New Roman"/>
          <w:sz w:val="18"/>
          <w:szCs w:val="18"/>
          <w:color w:val="auto"/>
        </w:rPr>
        <w:t>Lease incentives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Purchase of property, furniture and equipment in accounts payable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44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9"/>
        </w:trPr>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61,795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61,510</w:t>
            </w:r>
          </w:p>
        </w:tc>
      </w:tr>
      <w:tr>
        <w:trPr>
          <w:trHeight w:val="72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w:t>
            </w:r>
          </w:p>
        </w:tc>
      </w:tr>
      <w:tr>
        <w:trPr>
          <w:trHeight w:val="95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-1799590</wp:posOffset>
            </wp:positionV>
            <wp:extent cx="691769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-1508125</wp:posOffset>
            </wp:positionV>
            <wp:extent cx="691769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-1191260</wp:posOffset>
            </wp:positionV>
            <wp:extent cx="691769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-899795</wp:posOffset>
            </wp:positionV>
            <wp:extent cx="691769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-582295</wp:posOffset>
            </wp:positionV>
            <wp:extent cx="691769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-290830</wp:posOffset>
            </wp:positionV>
            <wp:extent cx="691769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-2099945</wp:posOffset>
            </wp:positionV>
            <wp:extent cx="691769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33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31" w:lineRule="exact"/>
        <w:rPr>
          <w:sz w:val="20"/>
          <w:szCs w:val="20"/>
          <w:color w:val="auto"/>
        </w:rPr>
      </w:pPr>
    </w:p>
    <w:p>
      <w:pPr>
        <w:sectPr>
          <w:pgSz w:w="11900" w:h="16838" w:orient="portrait"/>
          <w:cols w:equalWidth="0" w:num="2">
            <w:col w:w="5120" w:space="480"/>
            <w:col w:w="5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340" w:type="dxa"/>
            <w:vAlign w:val="bottom"/>
          </w:tcPr>
          <w:p>
            <w:pPr>
              <w:spacing w:after="0"/>
              <w:rPr>
                <w:sz w:val="19"/>
                <w:szCs w:val="19"/>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340" w:type="dxa"/>
            <w:vAlign w:val="bottom"/>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489,771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479,550</w:t>
            </w:r>
          </w:p>
        </w:tc>
        <w:tc>
          <w:tcPr>
            <w:tcW w:w="340" w:type="dxa"/>
            <w:vAlign w:val="bottom"/>
          </w:tcPr>
          <w:p>
            <w:pPr>
              <w:spacing w:after="0"/>
              <w:rPr>
                <w:sz w:val="19"/>
                <w:szCs w:val="19"/>
                <w:color w:val="auto"/>
              </w:rPr>
            </w:pP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340" w:type="dxa"/>
            <w:vAlign w:val="bottom"/>
          </w:tcPr>
          <w:p>
            <w:pPr>
              <w:spacing w:after="0"/>
              <w:rPr>
                <w:sz w:val="23"/>
                <w:szCs w:val="23"/>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136,156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144,064</w:t>
            </w:r>
          </w:p>
        </w:tc>
        <w:tc>
          <w:tcPr>
            <w:tcW w:w="34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340" w:type="dxa"/>
            <w:vAlign w:val="bottom"/>
          </w:tcPr>
          <w:p>
            <w:pPr>
              <w:spacing w:after="0"/>
              <w:rPr>
                <w:sz w:val="19"/>
                <w:szCs w:val="19"/>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965,886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965,886</w:t>
            </w:r>
          </w:p>
        </w:tc>
        <w:tc>
          <w:tcPr>
            <w:tcW w:w="340" w:type="dxa"/>
            <w:vAlign w:val="bottom"/>
          </w:tcPr>
          <w:p>
            <w:pPr>
              <w:spacing w:after="0"/>
              <w:rPr>
                <w:sz w:val="20"/>
                <w:szCs w:val="20"/>
                <w:color w:val="auto"/>
              </w:rPr>
            </w:pPr>
          </w:p>
        </w:tc>
      </w:tr>
      <w:tr>
        <w:trPr>
          <w:trHeight w:val="913"/>
        </w:trPr>
        <w:tc>
          <w:tcPr>
            <w:tcW w:w="5500" w:type="dxa"/>
            <w:vAlign w:val="bottom"/>
          </w:tcPr>
          <w:p>
            <w:pPr>
              <w:spacing w:after="0"/>
              <w:rPr>
                <w:sz w:val="24"/>
                <w:szCs w:val="24"/>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88"/>
        </w:trPr>
        <w:tc>
          <w:tcPr>
            <w:tcW w:w="5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24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incentives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4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2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35,867</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482,298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476,526</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224,921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232,013</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128,783</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133,032</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907,208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914,300</w:t>
            </w:r>
          </w:p>
        </w:tc>
      </w:tr>
      <w:tr>
        <w:trPr>
          <w:trHeight w:val="270"/>
        </w:trPr>
        <w:tc>
          <w:tcPr>
            <w:tcW w:w="5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423,986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424,666</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263,753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270,165</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746,413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753,505</w:t>
            </w: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907,208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June 30, 2022</w:t>
      </w:r>
    </w:p>
    <w:p>
      <w:pPr>
        <w:sectPr>
          <w:pgSz w:w="11900" w:h="16838" w:orient="portrait"/>
          <w:cols w:equalWidth="0" w:num="1">
            <w:col w:w="10900"/>
          </w:cols>
          <w:pgMar w:left="320" w:top="121" w:right="67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84" w:lineRule="exact"/>
        <w:rPr>
          <w:sz w:val="20"/>
          <w:szCs w:val="20"/>
          <w:color w:val="auto"/>
        </w:rPr>
      </w:pPr>
    </w:p>
    <w:p>
      <w:pPr>
        <w:ind w:left="20" w:right="13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Supplemental disclosure of cash flow information </w:t>
      </w:r>
      <w:r>
        <w:rPr>
          <w:rFonts w:ascii="Times New Roman" w:cs="Times New Roman" w:eastAsia="Times New Roman" w:hAnsi="Times New Roman"/>
          <w:sz w:val="18"/>
          <w:szCs w:val="18"/>
          <w:color w:val="auto"/>
        </w:rPr>
        <w:t>Noncash operating activities</w:t>
      </w:r>
    </w:p>
    <w:p>
      <w:pPr>
        <w:ind w:left="360"/>
        <w:spacing w:after="0"/>
        <w:rPr>
          <w:sz w:val="20"/>
          <w:szCs w:val="20"/>
          <w:color w:val="auto"/>
        </w:rPr>
      </w:pPr>
      <w:r>
        <w:rPr>
          <w:rFonts w:ascii="Times New Roman" w:cs="Times New Roman" w:eastAsia="Times New Roman" w:hAnsi="Times New Roman"/>
          <w:sz w:val="18"/>
          <w:szCs w:val="18"/>
          <w:color w:val="auto"/>
        </w:rPr>
        <w:t>Lease incentives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Purchase of property, furniture and equipment in accounts payable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1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455,100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449,836</w:t>
            </w:r>
          </w:p>
        </w:tc>
      </w:tr>
      <w:tr>
        <w:trPr>
          <w:trHeight w:val="495"/>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116,620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120,725</w:t>
            </w:r>
          </w:p>
        </w:tc>
      </w:tr>
      <w:tr>
        <w:trPr>
          <w:trHeight w:val="229"/>
        </w:trPr>
        <w:tc>
          <w:tcPr>
            <w:tcW w:w="2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877,032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-608330</wp:posOffset>
            </wp:positionV>
            <wp:extent cx="691769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-290830</wp:posOffset>
            </wp:positionV>
            <wp:extent cx="691769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-908050</wp:posOffset>
            </wp:positionV>
            <wp:extent cx="691769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44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24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15,197</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41,110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45,309</w:t>
            </w:r>
          </w:p>
        </w:tc>
      </w:tr>
      <w:tr>
        <w:trPr>
          <w:trHeight w:val="72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r>
      <w:tr>
        <w:trPr>
          <w:trHeight w:val="959"/>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-1799590</wp:posOffset>
            </wp:positionV>
            <wp:extent cx="691769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-1508125</wp:posOffset>
            </wp:positionV>
            <wp:extent cx="691769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-1191260</wp:posOffset>
            </wp:positionV>
            <wp:extent cx="691769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-899795</wp:posOffset>
            </wp:positionV>
            <wp:extent cx="691769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-582295</wp:posOffset>
            </wp:positionV>
            <wp:extent cx="691769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-290830</wp:posOffset>
            </wp:positionV>
            <wp:extent cx="691769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-2099945</wp:posOffset>
            </wp:positionV>
            <wp:extent cx="691769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1769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80"/>
            <w:col w:w="5300"/>
          </w:cols>
          <w:pgMar w:left="320" w:top="121"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4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6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435,116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430,056</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196,896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199,967</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107,581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111,664</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817,260</w:t>
            </w:r>
          </w:p>
        </w:tc>
      </w:tr>
      <w:tr>
        <w:trPr>
          <w:trHeight w:val="270"/>
        </w:trPr>
        <w:tc>
          <w:tcPr>
            <w:tcW w:w="5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444,885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444,747</w:t>
            </w:r>
          </w:p>
        </w:tc>
      </w:tr>
      <w:tr>
        <w:trPr>
          <w:trHeight w:val="270"/>
        </w:trPr>
        <w:tc>
          <w:tcPr>
            <w:tcW w:w="5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227,191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230,400</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727,645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730,716</w:t>
            </w: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814,189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817,260</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24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3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r>
      <w:tr>
        <w:trPr>
          <w:trHeight w:val="257"/>
        </w:trPr>
        <w:tc>
          <w:tcPr>
            <w:tcW w:w="5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57"/>
        </w:trPr>
        <w:tc>
          <w:tcPr>
            <w:tcW w:w="5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of property, furniture and equipment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231F20"/>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CEO and Chief Financial Officer (“CFO”), evaluated the effectiveness of the design and operation of our disclosure controls and procedures (as defined in Rules 13a-15(e) and 15d-15(e) of the Securities Exchange Act of 1934 (“Exchange Act”)) as of December 31, 2023. Based upon that evaluation, our CEO and CFO have concluded that our disclosure controls and procedures were not effective at the reasonable assurance level because of the material weaknesses in our internal control over financial reporting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these material weaknesses, our CEO and CFO concluded the financial statements were prepared in accordance with U.S.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including our CEO and CFO,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our financial reporting and the preparation of consolidated financial statements for external purposes in accordance with U.S. GAAP.</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Management utilized the criteria established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to assess the effectiveness of our internal control over financial reporting as of December 31, 2023. Based on this assessment, management has concluded that the Company’s internal control over financial reporting was not effective due to the material weaknesses described below.</w:t>
      </w:r>
    </w:p>
    <w:p>
      <w:pPr>
        <w:spacing w:after="0" w:line="141" w:lineRule="exact"/>
        <w:rPr>
          <w:sz w:val="20"/>
          <w:szCs w:val="20"/>
          <w:color w:val="auto"/>
        </w:rPr>
      </w:pPr>
    </w:p>
    <w:p>
      <w:pPr>
        <w:ind w:left="660" w:right="20" w:hanging="328"/>
        <w:spacing w:after="0" w:line="253"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these material weaknesses resulted in a restatement as of and for the interim period ended September 30, 2023 and revisions as of and for the annual periods ended December 31, 2022 and 2021, and as of and for the interim periods ended March 31, 2022, June 30, 2022, September 30, 2022, December 31, 2022, March 31, 2023 and June 30, 2023, principally related to prepaid and other current assets, and property, furniture and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8" w:name="page99"/>
    <w:bookmarkEnd w:id="98"/>
    <w:p>
      <w:pPr>
        <w:ind w:right="20"/>
        <w:spacing w:after="0" w:line="261" w:lineRule="auto"/>
        <w:rPr>
          <w:sz w:val="20"/>
          <w:szCs w:val="20"/>
          <w:color w:val="auto"/>
        </w:rPr>
      </w:pPr>
      <w:r>
        <w:rPr>
          <w:rFonts w:ascii="Times New Roman" w:cs="Times New Roman" w:eastAsia="Times New Roman" w:hAnsi="Times New Roman"/>
          <w:sz w:val="18"/>
          <w:szCs w:val="18"/>
          <w:color w:val="auto"/>
        </w:rPr>
        <w:t>equipment, net, which resulted in misclassifications in the balance sheets and statements of cash flows and the timely recording of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39" w:lineRule="exact"/>
        <w:rPr>
          <w:sz w:val="20"/>
          <w:szCs w:val="20"/>
          <w:color w:val="auto"/>
        </w:rPr>
      </w:pPr>
    </w:p>
    <w:p>
      <w:pPr>
        <w:ind w:left="660" w:right="140" w:hanging="328"/>
        <w:spacing w:after="0" w:line="255"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accounting staff in relation to journal entries, reconciliations and other applicable processes.</w:t>
      </w:r>
    </w:p>
    <w:p>
      <w:pPr>
        <w:jc w:val="both"/>
        <w:ind w:left="660" w:right="60" w:hanging="328"/>
        <w:spacing w:after="0" w:line="265"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line="23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ind w:left="660" w:right="820" w:hanging="328"/>
        <w:spacing w:after="0" w:line="23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of the control activity over the review of our consolidated balance sheet and statement of cash flows to ensure the classification of operating and investing activities is appropriately presented in the statement of cash flows.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While the material weaknesses are not considered remediated until the related internal controls are tested and deemed to be operating effectively, we have made progress under our remediation plan. As of December 31, 2023,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9" w:name="page100"/>
    <w:bookmarkEnd w:id="99"/>
    <w:p>
      <w:pPr>
        <w:ind w:left="660" w:right="60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formal processes, policies, and procedures supporting our financial close process, including formalizing procedures over the review of financial statements.</w:t>
      </w:r>
    </w:p>
    <w:p>
      <w:pPr>
        <w:ind w:left="660" w:right="18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policies and procedures to establish and maintain segregation of duties for our accounting staff in relation to journal entries and account reconciliations.</w:t>
      </w:r>
    </w:p>
    <w:p>
      <w:pPr>
        <w:ind w:left="660" w:right="540" w:hanging="328"/>
        <w:spacing w:after="0" w:line="26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competent and qualified technical accounting and financial reporting personnel with appropriate knowledge and experience of U.S. GAAP and SEC financial reporting requirements.</w:t>
      </w:r>
    </w:p>
    <w:p>
      <w:pPr>
        <w:spacing w:after="0" w:line="2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December 31, 2023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0" w:name="page101"/>
    <w:bookmarkEnd w:id="100"/>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We have adopted a Code of Business Conduct and Ethics, which applies to all of our officers, directors, and employees. A current copy of the code is posted at our website www.ir.arhaus.com. We will disclose any amendments to, or waivers from, the code applicable to an executive officer or director at our website www.ir.arhaus.com.</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2024 Annual Meeting of Stockholders. Except for the information included below, all information required under this item is incorporated in this item by reference.</w:t>
      </w:r>
    </w:p>
    <w:p>
      <w:pPr>
        <w:spacing w:after="0" w:line="121"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color w:val="231F20"/>
        </w:rPr>
        <w:t>Below is detailed biographical information and ages, as of March 11, 2024 for each of our directors and executive officers and a summary of their qualifications and skills.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ectPr>
          <w:pgSz w:w="11900" w:h="16838" w:orient="portrait"/>
          <w:cols w:equalWidth="0" w:num="1">
            <w:col w:w="11120"/>
          </w:cols>
          <w:pgMar w:left="320" w:top="1143" w:right="45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Albert Adams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73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40" w:space="720"/>
            <w:col w:w="580" w:space="600"/>
            <w:col w:w="7580"/>
          </w:cols>
          <w:pgMar w:left="320" w:top="1143" w:right="459" w:bottom="1440" w:gutter="0" w:footer="0" w:header="0"/>
          <w:type w:val="continuous"/>
        </w:sectPr>
      </w:pPr>
    </w:p>
    <w:p>
      <w:pPr>
        <w:ind w:left="20" w:right="480"/>
        <w:spacing w:after="0" w:line="236" w:lineRule="auto"/>
        <w:rPr>
          <w:sz w:val="20"/>
          <w:szCs w:val="20"/>
          <w:color w:val="auto"/>
        </w:rPr>
      </w:pPr>
      <w:r>
        <w:rPr>
          <w:rFonts w:ascii="Times New Roman" w:cs="Times New Roman" w:eastAsia="Times New Roman" w:hAnsi="Times New Roman"/>
          <w:sz w:val="17"/>
          <w:szCs w:val="17"/>
          <w:color w:val="auto"/>
        </w:rPr>
        <w:t>Albert Adams has served as a member of our Board since July 2021, on the Board of Directors of Arhaus, LLC since 2014, and joined the Board of Directors of the predecessor of Arhaus, LLC in 2001. Mr. Adams joined Baker &amp; Hostetler LLP in 1977, became a partner in 1984, and served as a</w:t>
      </w:r>
    </w:p>
    <w:p>
      <w:pPr>
        <w:ind w:left="20"/>
        <w:spacing w:after="0" w:line="220" w:lineRule="auto"/>
        <w:rPr>
          <w:sz w:val="20"/>
          <w:szCs w:val="20"/>
          <w:color w:val="auto"/>
        </w:rPr>
      </w:pPr>
      <w:r>
        <w:rPr>
          <w:rFonts w:ascii="Times New Roman" w:cs="Times New Roman" w:eastAsia="Times New Roman" w:hAnsi="Times New Roman"/>
          <w:sz w:val="17"/>
          <w:szCs w:val="17"/>
          <w:color w:val="auto"/>
        </w:rPr>
        <w:t>member of its governing body between 1993 to 2014. Mr. Adams’ practice is in the business and corporate areas, with special emphasis on the structuring and financial aspects of business transactions. Mr. Adams has served as a director of numerous private businesses and seven public companies. He also has been a board member or trustee of a number of community and charitable organizations, including the Cleveland Chapter of the American Red Cross,</w:t>
      </w:r>
    </w:p>
    <w:p>
      <w:pPr>
        <w:spacing w:after="0" w:line="2" w:lineRule="exact"/>
        <w:rPr>
          <w:sz w:val="20"/>
          <w:szCs w:val="20"/>
          <w:color w:val="auto"/>
        </w:rPr>
      </w:pPr>
    </w:p>
    <w:p>
      <w:pPr>
        <w:ind w:left="20" w:right="100"/>
        <w:spacing w:after="0" w:line="226" w:lineRule="auto"/>
        <w:rPr>
          <w:sz w:val="20"/>
          <w:szCs w:val="20"/>
          <w:color w:val="auto"/>
        </w:rPr>
      </w:pPr>
      <w:r>
        <w:rPr>
          <w:rFonts w:ascii="Times New Roman" w:cs="Times New Roman" w:eastAsia="Times New Roman" w:hAnsi="Times New Roman"/>
          <w:sz w:val="18"/>
          <w:szCs w:val="18"/>
          <w:color w:val="auto"/>
        </w:rPr>
        <w:t>the Center for Families and Children, the Greater Cleveland Roundtable, the Greater Cleveland Sports Commission, the Corporate College (a division of Cuyahoga Community College), the Western Reserve Historical Society, Learning Disability Associates, and the Karamu Playhouse.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believe Mr. Adams is qualified to serve on our Board of Directors because of his combination of legal and business skills and his extensive</w:t>
      </w:r>
    </w:p>
    <w:p>
      <w:pPr>
        <w:spacing w:after="0" w:line="2" w:lineRule="exact"/>
        <w:rPr>
          <w:sz w:val="20"/>
          <w:szCs w:val="20"/>
          <w:color w:val="auto"/>
        </w:rPr>
      </w:pPr>
    </w:p>
    <w:p>
      <w:pPr>
        <w:ind w:left="20" w:right="160"/>
        <w:spacing w:after="0" w:line="226" w:lineRule="auto"/>
        <w:rPr>
          <w:sz w:val="20"/>
          <w:szCs w:val="20"/>
          <w:color w:val="auto"/>
        </w:rPr>
      </w:pPr>
      <w:r>
        <w:rPr>
          <w:rFonts w:ascii="Times New Roman" w:cs="Times New Roman" w:eastAsia="Times New Roman" w:hAnsi="Times New Roman"/>
          <w:sz w:val="18"/>
          <w:szCs w:val="18"/>
          <w:color w:val="auto"/>
        </w:rPr>
        <w:t>experience in advising public and private companies in various capacities, including with respect to capital markets activity, business combinations, and corporate governance.</w:t>
      </w:r>
    </w:p>
    <w:p>
      <w:pPr>
        <w:spacing w:after="0" w:line="248"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John Kyees</w:t>
      </w:r>
      <w:r>
        <w:rPr>
          <w:sz w:val="20"/>
          <w:szCs w:val="20"/>
          <w:color w:val="auto"/>
        </w:rPr>
        <w:tab/>
      </w:r>
      <w:r>
        <w:rPr>
          <w:rFonts w:ascii="Times New Roman" w:cs="Times New Roman" w:eastAsia="Times New Roman" w:hAnsi="Times New Roman"/>
          <w:sz w:val="18"/>
          <w:szCs w:val="18"/>
          <w:b w:val="1"/>
          <w:bCs w:val="1"/>
          <w:color w:val="auto"/>
        </w:rPr>
        <w:t>Age: 77</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8"/>
          <w:szCs w:val="18"/>
          <w:color w:val="auto"/>
        </w:rPr>
        <w:t>John Kyees has served as a member of our Board since 2021 and served as a member of the Board of Directors of Arhaus, LLC since November 2011. He is currently the President of Kyees Construction. 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recently served on the board of directors of Vera Bradley from 2010 to 2022 as lead independent director and formerly served as chair of the audit committee, and he previously served as chair and a director of Destination XL Group, Inc.</w:t>
      </w:r>
    </w:p>
    <w:p>
      <w:pPr>
        <w:spacing w:after="0" w:line="211" w:lineRule="exact"/>
        <w:rPr>
          <w:sz w:val="20"/>
          <w:szCs w:val="20"/>
          <w:color w:val="auto"/>
        </w:rPr>
      </w:pPr>
    </w:p>
    <w:p>
      <w:pPr>
        <w:ind w:left="20" w:right="280"/>
        <w:spacing w:after="0" w:line="250" w:lineRule="auto"/>
        <w:rPr>
          <w:sz w:val="20"/>
          <w:szCs w:val="20"/>
          <w:color w:val="auto"/>
        </w:rPr>
      </w:pPr>
      <w:r>
        <w:rPr>
          <w:rFonts w:ascii="Times New Roman" w:cs="Times New Roman" w:eastAsia="Times New Roman" w:hAnsi="Times New Roman"/>
          <w:sz w:val="18"/>
          <w:szCs w:val="18"/>
          <w:color w:val="auto"/>
        </w:rPr>
        <w:t>We believe Mr. Kyees is qualified to serve on our Board of Directors because of his extensive executive-level retail experience having served as Chief Financial Officer for several prominent retailers.</w:t>
      </w:r>
    </w:p>
    <w:p>
      <w:pPr>
        <w:spacing w:after="0" w:line="267"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John M. Roth</w:t>
      </w:r>
      <w:r>
        <w:rPr>
          <w:sz w:val="20"/>
          <w:szCs w:val="20"/>
          <w:color w:val="auto"/>
        </w:rPr>
        <w:tab/>
      </w:r>
      <w:r>
        <w:rPr>
          <w:rFonts w:ascii="Times New Roman" w:cs="Times New Roman" w:eastAsia="Times New Roman" w:hAnsi="Times New Roman"/>
          <w:sz w:val="18"/>
          <w:szCs w:val="18"/>
          <w:b w:val="1"/>
          <w:bCs w:val="1"/>
          <w:color w:val="auto"/>
        </w:rPr>
        <w:t>Age: 65</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280"/>
        <w:spacing w:after="0" w:line="250" w:lineRule="auto"/>
        <w:rPr>
          <w:sz w:val="20"/>
          <w:szCs w:val="20"/>
          <w:color w:val="auto"/>
        </w:rPr>
      </w:pPr>
      <w:r>
        <w:rPr>
          <w:rFonts w:ascii="Times New Roman" w:cs="Times New Roman" w:eastAsia="Times New Roman" w:hAnsi="Times New Roman"/>
          <w:sz w:val="18"/>
          <w:szCs w:val="18"/>
          <w:color w:val="auto"/>
        </w:rPr>
        <w:t>John M. Roth has served as a member of our Board since 2021 and served as a member of the Board of Directors of Arhaus, LLC since January 2014. Mr. Roth joined Freeman Spogli in 1988 and has been a partner since 1993. Mr. Roth served as a director of Floor &amp; Decor Holdings, Inc. from November 2010 to December 2020 and El Pollo Loco Holdings, Inc. from 2007 to August 2023.</w:t>
      </w:r>
    </w:p>
    <w:p>
      <w:pPr>
        <w:spacing w:after="0" w:line="204" w:lineRule="exact"/>
        <w:rPr>
          <w:sz w:val="20"/>
          <w:szCs w:val="20"/>
          <w:color w:val="auto"/>
        </w:rPr>
      </w:pPr>
    </w:p>
    <w:p>
      <w:pPr>
        <w:ind w:left="20" w:right="520"/>
        <w:spacing w:after="0" w:line="266" w:lineRule="auto"/>
        <w:rPr>
          <w:sz w:val="20"/>
          <w:szCs w:val="20"/>
          <w:color w:val="auto"/>
        </w:rPr>
      </w:pPr>
      <w:r>
        <w:rPr>
          <w:rFonts w:ascii="Times New Roman" w:cs="Times New Roman" w:eastAsia="Times New Roman" w:hAnsi="Times New Roman"/>
          <w:sz w:val="18"/>
          <w:szCs w:val="18"/>
          <w:color w:val="auto"/>
        </w:rPr>
        <w:t>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3" w:right="45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Class II Directors</w:t>
      </w:r>
    </w:p>
    <w:p>
      <w:pPr>
        <w:spacing w:after="0" w:line="3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Andrea Hyde</w:t>
      </w:r>
      <w:r>
        <w:rPr>
          <w:sz w:val="20"/>
          <w:szCs w:val="20"/>
          <w:color w:val="auto"/>
        </w:rPr>
        <w:tab/>
      </w:r>
      <w:r>
        <w:rPr>
          <w:rFonts w:ascii="Times New Roman" w:cs="Times New Roman" w:eastAsia="Times New Roman" w:hAnsi="Times New Roman"/>
          <w:sz w:val="18"/>
          <w:szCs w:val="18"/>
          <w:b w:val="1"/>
          <w:bCs w:val="1"/>
          <w:color w:val="auto"/>
        </w:rPr>
        <w:t>Age: 59</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0719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Andrea Hyde has served as a member of our Board since 2021 and served as a member of the Board of Directors of Arhaus, LLC since January 2018. Ms. Hyde is the founder and President of Hyde &amp; Chic Inc., a business growth strategy consulting firm, and has been a director of Awake Chocolate since 2022. Prior to founding Hyde &amp; Chic Inc. in January 2018, Ms. Hyde was Chief Executive Officer of Draper James from 2014 to 2017. Prior to her role at Draper James, Ms. Hyde was President of Burch Creative Capital, President &amp; Chief Executive Officer of French Connection USA, and Senior Vice President of Global Marketing and Communications at Kenneth Cole Productions.</w:t>
      </w:r>
    </w:p>
    <w:p>
      <w:pPr>
        <w:spacing w:after="0" w:line="2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Ms. Hyde is qualified to serve on our Board of Directors because of her extensive experience in managing, marketing, and branding lifestyle retail concepts and knowledge of omni-channel platforms.</w:t>
      </w:r>
    </w:p>
    <w:p>
      <w:pPr>
        <w:spacing w:after="0" w:line="320"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Rick Doody</w:t>
      </w:r>
      <w:r>
        <w:rPr>
          <w:sz w:val="20"/>
          <w:szCs w:val="20"/>
          <w:color w:val="auto"/>
        </w:rPr>
        <w:tab/>
      </w:r>
      <w:r>
        <w:rPr>
          <w:rFonts w:ascii="Times New Roman" w:cs="Times New Roman" w:eastAsia="Times New Roman" w:hAnsi="Times New Roman"/>
          <w:sz w:val="18"/>
          <w:szCs w:val="18"/>
          <w:b w:val="1"/>
          <w:bCs w:val="1"/>
          <w:color w:val="auto"/>
        </w:rPr>
        <w:t>Age: 65</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Doody has served as a member of our Board since 2021 and served as a member of the Board of Directors of Arhaus, LLC since January 2014. Mr.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Doody was the chair and founder of Bravo/Brio Restaurant Group (BBRG) and served as CEO and then its chairman from 1992 until it was sold in 2018.</w:t>
      </w:r>
    </w:p>
    <w:p>
      <w:pPr>
        <w:ind w:right="200"/>
        <w:spacing w:after="0" w:line="239" w:lineRule="auto"/>
        <w:rPr>
          <w:sz w:val="20"/>
          <w:szCs w:val="20"/>
          <w:color w:val="auto"/>
        </w:rPr>
      </w:pPr>
      <w:r>
        <w:rPr>
          <w:rFonts w:ascii="Times New Roman" w:cs="Times New Roman" w:eastAsia="Times New Roman" w:hAnsi="Times New Roman"/>
          <w:sz w:val="18"/>
          <w:szCs w:val="18"/>
          <w:color w:val="auto"/>
        </w:rPr>
        <w:t>Mr. Doody owns six restaurant concepts in the Cleveland area: Cedar Creek Grille, 17 River Grille, Lindey’s Lake House, Jojo’s Bar and Bar Italia(2). Mr. Doody is a member of the World Presidents’ Organization (WPO) and serves on the boards of Lindey’s, Stella Maris Rehabilitation Center, and the Boys and Girls Club of Cleveland.</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Mr. Doody is qualified to serve on our Board of Directors because of his substantial management, operational, and entrepreneurial experience as related to restaurant concepts and site selection.</w:t>
      </w:r>
    </w:p>
    <w:p>
      <w:pPr>
        <w:spacing w:after="0" w:line="320"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Alexis DePree</w:t>
      </w:r>
      <w:r>
        <w:rPr>
          <w:sz w:val="20"/>
          <w:szCs w:val="20"/>
          <w:color w:val="auto"/>
        </w:rPr>
        <w:tab/>
      </w:r>
      <w:r>
        <w:rPr>
          <w:rFonts w:ascii="Times New Roman" w:cs="Times New Roman" w:eastAsia="Times New Roman" w:hAnsi="Times New Roman"/>
          <w:sz w:val="18"/>
          <w:szCs w:val="18"/>
          <w:b w:val="1"/>
          <w:bCs w:val="1"/>
          <w:color w:val="auto"/>
        </w:rPr>
        <w:t>Age: 45</w:t>
      </w:r>
      <w:r>
        <w:rPr>
          <w:sz w:val="20"/>
          <w:szCs w:val="20"/>
          <w:color w:val="auto"/>
        </w:rPr>
        <w:tab/>
      </w:r>
      <w:r>
        <w:rPr>
          <w:rFonts w:ascii="Times New Roman" w:cs="Times New Roman" w:eastAsia="Times New Roman" w:hAnsi="Times New Roman"/>
          <w:sz w:val="17"/>
          <w:szCs w:val="17"/>
          <w:b w:val="1"/>
          <w:bCs w:val="1"/>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Alexis has served as a member of our Board since March 2023. Ms. DePree has served as Chief Supply Chain Officer of Nordstrom, Inc. since January 2020. Ms. DePree previously served as Vice President of Americas Sort Centers at Amazon.com, Inc. from 2018 to 2020, and as Amazon’s Vice President of Global Supply Chain Operations from 2016 to 2018. From 2007 to 2016, she held executive positions with increasing responsibility at Target Corporation, prior to which she was employed at Dell Technologies Inc. in various leadership positions from 2001 to 2005.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Ms. DePree is qualified to serve on our Board of Directors because of her significant supply chain experience in the retail industry.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pacing w:after="0" w:line="3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John Reed</w:t>
      </w:r>
      <w:r>
        <w:rPr>
          <w:sz w:val="20"/>
          <w:szCs w:val="20"/>
          <w:color w:val="auto"/>
        </w:rPr>
        <w:tab/>
      </w:r>
      <w:r>
        <w:rPr>
          <w:rFonts w:ascii="Times New Roman" w:cs="Times New Roman" w:eastAsia="Times New Roman" w:hAnsi="Times New Roman"/>
          <w:sz w:val="18"/>
          <w:szCs w:val="18"/>
          <w:b w:val="1"/>
          <w:bCs w:val="1"/>
          <w:color w:val="auto"/>
        </w:rPr>
        <w:t>Age: 69</w:t>
      </w:r>
      <w:r>
        <w:rPr>
          <w:sz w:val="20"/>
          <w:szCs w:val="20"/>
          <w:color w:val="auto"/>
        </w:rPr>
        <w:tab/>
      </w:r>
      <w:r>
        <w:rPr>
          <w:rFonts w:ascii="Times New Roman" w:cs="Times New Roman" w:eastAsia="Times New Roman" w:hAnsi="Times New Roman"/>
          <w:sz w:val="17"/>
          <w:szCs w:val="17"/>
          <w:b w:val="1"/>
          <w:bCs w:val="1"/>
          <w:color w:val="auto"/>
        </w:rPr>
        <w:t>Chairman and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0719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1"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John Reed has served as a member of our Board since July 2021. He co-founded Arhaus in 1986 and has served on the Board of Directors of Arhaus, LLC as Chairman since its formation in December 2013, and served as our Chief Executive Officer from January 1997 through December 2015 and February 2017 through the reorganization into Arhaus, Inc.</w:t>
      </w:r>
    </w:p>
    <w:p>
      <w:pPr>
        <w:spacing w:after="0" w:line="20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Mr. Reed is qualified to serve on our Board of Directors because of, among other things, his extensive knowledge and experience with the business and his role as our Founder and Chief Executive Officer.</w:t>
      </w:r>
    </w:p>
    <w:p>
      <w:pPr>
        <w:spacing w:after="0" w:line="253"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Bill Beargie</w:t>
      </w:r>
      <w:r>
        <w:rPr>
          <w:sz w:val="20"/>
          <w:szCs w:val="20"/>
          <w:color w:val="auto"/>
        </w:rPr>
        <w:tab/>
      </w:r>
      <w:r>
        <w:rPr>
          <w:rFonts w:ascii="Times New Roman" w:cs="Times New Roman" w:eastAsia="Times New Roman" w:hAnsi="Times New Roman"/>
          <w:sz w:val="18"/>
          <w:szCs w:val="18"/>
          <w:b w:val="1"/>
          <w:bCs w:val="1"/>
          <w:color w:val="auto"/>
        </w:rPr>
        <w:t>Age: 67</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Bill Beargie has served as a member of our Board since 2021, served as a member of the Board of Directors of Arhaus, LLC since 2014, and joined the Board of Directors of the predecessor of Arhaus, LLC in 2001. Mr. Beargie served as a CPA for Card, Palmer, Sibbison &amp; Co. from 2015 until his retirement in 2023. Mr. Beargie was Chief Financial Officer and Administrative Vice President of Arhaus from 1987 to 1997.</w:t>
      </w:r>
    </w:p>
    <w:p>
      <w:pPr>
        <w:spacing w:after="0" w:line="2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Mr. Beargie is qualified to serve on our Board of Directors because of his extensive experience in accounting and finance and his familiarity with the Company as its former Chief Financial Officer.</w:t>
      </w:r>
    </w:p>
    <w:p>
      <w:pPr>
        <w:sectPr>
          <w:pgSz w:w="11900" w:h="16838" w:orient="portrait"/>
          <w:cols w:equalWidth="0" w:num="1">
            <w:col w:w="11100"/>
          </w:cols>
          <w:pgMar w:left="340" w:top="96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68" w:right="459" w:bottom="1440" w:gutter="0" w:footer="0" w:header="0"/>
          <w:type w:val="continuous"/>
        </w:sectPr>
      </w:pPr>
    </w:p>
    <w:bookmarkStart w:id="102" w:name="page103"/>
    <w:bookmarkEnd w:id="102"/>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Gary Lewis</w:t>
      </w:r>
      <w:r>
        <w:rPr>
          <w:sz w:val="20"/>
          <w:szCs w:val="20"/>
          <w:color w:val="auto"/>
        </w:rPr>
        <w:tab/>
      </w:r>
      <w:r>
        <w:rPr>
          <w:rFonts w:ascii="Times New Roman" w:cs="Times New Roman" w:eastAsia="Times New Roman" w:hAnsi="Times New Roman"/>
          <w:sz w:val="18"/>
          <w:szCs w:val="18"/>
          <w:b w:val="1"/>
          <w:bCs w:val="1"/>
          <w:color w:val="auto"/>
        </w:rPr>
        <w:t>Age: 65</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Gary Lewis has served as a member of our Board since 2021, served as a member of the Board of Directors of Arhaus, LLC since January 2014, and joined 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w:t>
      </w:r>
    </w:p>
    <w:p>
      <w:pPr>
        <w:spacing w:after="0" w:line="212"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We believe 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11100"/>
          </w:cols>
          <w:pgMar w:left="340" w:top="968" w:right="45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69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Chief Executive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80"/>
          </w:cols>
          <w:pgMar w:left="340" w:top="968" w:right="459" w:bottom="1440" w:gutter="0" w:footer="0" w:header="0"/>
          <w:type w:val="continuous"/>
        </w:sectPr>
      </w:pPr>
    </w:p>
    <w:p>
      <w:pPr>
        <w:ind w:right="40"/>
        <w:spacing w:after="0" w:line="266" w:lineRule="auto"/>
        <w:rPr>
          <w:sz w:val="20"/>
          <w:szCs w:val="20"/>
          <w:color w:val="auto"/>
        </w:rPr>
      </w:pPr>
      <w:r>
        <w:rPr>
          <w:rFonts w:ascii="Times New Roman" w:cs="Times New Roman" w:eastAsia="Times New Roman" w:hAnsi="Times New Roman"/>
          <w:sz w:val="18"/>
          <w:szCs w:val="18"/>
          <w:color w:val="auto"/>
        </w:rPr>
        <w:t>John Reed co-founded Arhaus in 1986 and has served on the Board of Directors of Arhaus, LLC since its formation in December 2013, and served as our Chief Executive Officer from January 1997 through December 2015 and February 2017 through present, through the transition into Arhaus, Inc.</w:t>
      </w:r>
    </w:p>
    <w:p>
      <w:pPr>
        <w:spacing w:after="0" w:line="253"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Dawn Phillipson</w:t>
      </w:r>
      <w:r>
        <w:rPr>
          <w:sz w:val="20"/>
          <w:szCs w:val="20"/>
          <w:color w:val="auto"/>
        </w:rPr>
        <w:tab/>
      </w:r>
      <w:r>
        <w:rPr>
          <w:rFonts w:ascii="Times New Roman" w:cs="Times New Roman" w:eastAsia="Times New Roman" w:hAnsi="Times New Roman"/>
          <w:sz w:val="18"/>
          <w:szCs w:val="18"/>
          <w:b w:val="1"/>
          <w:bCs w:val="1"/>
          <w:color w:val="auto"/>
        </w:rPr>
        <w:t>Age: 42</w:t>
      </w:r>
      <w:r>
        <w:rPr>
          <w:sz w:val="20"/>
          <w:szCs w:val="20"/>
          <w:color w:val="auto"/>
        </w:rPr>
        <w:tab/>
      </w:r>
      <w:r>
        <w:rPr>
          <w:rFonts w:ascii="Times New Roman" w:cs="Times New Roman" w:eastAsia="Times New Roman" w:hAnsi="Times New Roman"/>
          <w:sz w:val="17"/>
          <w:szCs w:val="17"/>
          <w:b w:val="1"/>
          <w:bCs w:val="1"/>
          <w:color w:val="auto"/>
        </w:rPr>
        <w:t>Chief Financial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Dawn Phillipson has served as our Chief Financial Officer since 2021 and served in the same role with Arhaus, LLC since February 2019. Ms. Phillipson previously served as Arhaus, LLC’s Senior Vice President, Finance from May 2017. Prior to that, Ms. Phillipson served in various roles of increasing responsibility in Arhaus, LLC’s finance department. Prior to joining Arhaus, LLC in 2016, Ms. Phillipson worked at Signet Jewelers in the Investor Relations department from 2011 to 2016.</w:t>
      </w:r>
    </w:p>
    <w:p>
      <w:pPr>
        <w:spacing w:after="0" w:line="27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Jennifer Porter</w:t>
      </w:r>
      <w:r>
        <w:rPr>
          <w:sz w:val="20"/>
          <w:szCs w:val="20"/>
          <w:color w:val="auto"/>
        </w:rPr>
        <w:tab/>
      </w:r>
      <w:r>
        <w:rPr>
          <w:rFonts w:ascii="Times New Roman" w:cs="Times New Roman" w:eastAsia="Times New Roman" w:hAnsi="Times New Roman"/>
          <w:sz w:val="18"/>
          <w:szCs w:val="18"/>
          <w:b w:val="1"/>
          <w:bCs w:val="1"/>
          <w:color w:val="auto"/>
        </w:rPr>
        <w:t>Age: 42</w:t>
      </w:r>
      <w:r>
        <w:rPr>
          <w:sz w:val="20"/>
          <w:szCs w:val="20"/>
          <w:color w:val="auto"/>
        </w:rPr>
        <w:tab/>
      </w:r>
      <w:r>
        <w:rPr>
          <w:rFonts w:ascii="Times New Roman" w:cs="Times New Roman" w:eastAsia="Times New Roman" w:hAnsi="Times New Roman"/>
          <w:sz w:val="18"/>
          <w:szCs w:val="18"/>
          <w:b w:val="1"/>
          <w:bCs w:val="1"/>
          <w:color w:val="auto"/>
        </w:rPr>
        <w:t>Chief Marketing and eCommerce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Jennifer Porter has served as our Chief Marketing Officer since 2021 and served in the same role with Arhaus, LLC since September 2019. Ms. Porter previously served as Head of Marketing at Anthropologie from 2018 to 2019. Prior to that, Ms. Porter served in various marketing roles such as Head of Marketing, Director of Global Marketing, and Director of International Marketing at Forever 21 from 2014 to 2018.</w:t>
      </w:r>
    </w:p>
    <w:p>
      <w:pPr>
        <w:spacing w:after="0" w:line="267"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Dawn Sparks</w:t>
      </w:r>
      <w:r>
        <w:rPr>
          <w:sz w:val="20"/>
          <w:szCs w:val="20"/>
          <w:color w:val="auto"/>
        </w:rPr>
        <w:tab/>
      </w:r>
      <w:r>
        <w:rPr>
          <w:rFonts w:ascii="Times New Roman" w:cs="Times New Roman" w:eastAsia="Times New Roman" w:hAnsi="Times New Roman"/>
          <w:sz w:val="18"/>
          <w:szCs w:val="18"/>
          <w:b w:val="1"/>
          <w:bCs w:val="1"/>
          <w:color w:val="auto"/>
        </w:rPr>
        <w:t>Age: 61</w:t>
      </w:r>
      <w:r>
        <w:rPr>
          <w:sz w:val="20"/>
          <w:szCs w:val="20"/>
          <w:color w:val="auto"/>
        </w:rPr>
        <w:tab/>
      </w:r>
      <w:r>
        <w:rPr>
          <w:rFonts w:ascii="Times New Roman" w:cs="Times New Roman" w:eastAsia="Times New Roman" w:hAnsi="Times New Roman"/>
          <w:sz w:val="17"/>
          <w:szCs w:val="17"/>
          <w:b w:val="1"/>
          <w:bCs w:val="1"/>
          <w:color w:val="auto"/>
        </w:rPr>
        <w:t>Chief Logistics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Dawn Sparks has served as our Chief Logistics Officer since 2021 and served in the same role with Arhaus, LLC since January 2019. Ms. Sparks previously served as Director of DC Operations from 2014 to 2017, then served as Vice President of DC Operations from 2017 until January 2019. Prior to that, Ms. Sparks served as Brand Integration Manager at Dots from 2008 to 2014.</w:t>
      </w:r>
    </w:p>
    <w:p>
      <w:pPr>
        <w:spacing w:after="0" w:line="267"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Kathy Veltri</w:t>
      </w:r>
      <w:r>
        <w:rPr>
          <w:sz w:val="20"/>
          <w:szCs w:val="20"/>
          <w:color w:val="auto"/>
        </w:rPr>
        <w:tab/>
      </w:r>
      <w:r>
        <w:rPr>
          <w:rFonts w:ascii="Times New Roman" w:cs="Times New Roman" w:eastAsia="Times New Roman" w:hAnsi="Times New Roman"/>
          <w:sz w:val="18"/>
          <w:szCs w:val="18"/>
          <w:b w:val="1"/>
          <w:bCs w:val="1"/>
          <w:color w:val="auto"/>
        </w:rPr>
        <w:t>Age: 62</w:t>
      </w:r>
      <w:r>
        <w:rPr>
          <w:sz w:val="20"/>
          <w:szCs w:val="20"/>
          <w:color w:val="auto"/>
        </w:rPr>
        <w:tab/>
      </w:r>
      <w:r>
        <w:rPr>
          <w:rFonts w:ascii="Times New Roman" w:cs="Times New Roman" w:eastAsia="Times New Roman" w:hAnsi="Times New Roman"/>
          <w:sz w:val="17"/>
          <w:szCs w:val="17"/>
          <w:b w:val="1"/>
          <w:bCs w:val="1"/>
          <w:color w:val="auto"/>
        </w:rPr>
        <w:t>Chief Retail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Kathy Veltri has served as our Chief Retail Officer since 2021 and served in the same role with Arhaus, LLC since March 2019. Ms. Veltri previously served as Senior Vice President of Retail Operations since 2017. Prior to that, Ms. Veltri served as Executive Vice President of Sales at Gardner White from 2015 to 2016 and was President of Thomasville, a division of Furniture Brands, from 2013 to 2014. Previously, Ms. Veltri worked at Arhaus as SVP of Retail Operations and Marketing from 2006 to 2013.</w:t>
      </w:r>
    </w:p>
    <w:p>
      <w:pPr>
        <w:spacing w:after="0" w:line="27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Venkat Nachiappan</w:t>
      </w:r>
      <w:r>
        <w:rPr>
          <w:sz w:val="20"/>
          <w:szCs w:val="20"/>
          <w:color w:val="auto"/>
        </w:rPr>
        <w:tab/>
      </w:r>
      <w:r>
        <w:rPr>
          <w:rFonts w:ascii="Times New Roman" w:cs="Times New Roman" w:eastAsia="Times New Roman" w:hAnsi="Times New Roman"/>
          <w:sz w:val="18"/>
          <w:szCs w:val="18"/>
          <w:b w:val="1"/>
          <w:bCs w:val="1"/>
          <w:color w:val="auto"/>
        </w:rPr>
        <w:t>Age: 48</w:t>
      </w:r>
      <w:r>
        <w:rPr>
          <w:sz w:val="20"/>
          <w:szCs w:val="20"/>
          <w:color w:val="auto"/>
        </w:rPr>
        <w:tab/>
      </w:r>
      <w:r>
        <w:rPr>
          <w:rFonts w:ascii="Times New Roman" w:cs="Times New Roman" w:eastAsia="Times New Roman" w:hAnsi="Times New Roman"/>
          <w:sz w:val="17"/>
          <w:szCs w:val="17"/>
          <w:b w:val="1"/>
          <w:bCs w:val="1"/>
          <w:color w:val="auto"/>
        </w:rPr>
        <w:t>Chief Information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Venkat Nachiappan has served as our Chief Information Officer since May 2021. Prior to joining Arhaus, he was with J Crew, Inc. from 2017 to 2021, where he also served as Vice President, Enterprise Systems, from 2017 to 2019, Senior Vice President, Enterprise Systems, from 2019 to 2020, and Senior Vice President, Enterprise Systems, Stores Systems and Analytics from 2020 to 2021. Mr. Nachiappan was Vice President, Enterprise Applications &amp; Reporting Systems with Ann, Inc. from 2015 to 2017, having joined Ann, Inc.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68" w:right="459" w:bottom="1440" w:gutter="0" w:footer="0" w:header="0"/>
          <w:type w:val="continuous"/>
        </w:sectPr>
      </w:pPr>
    </w:p>
    <w:bookmarkStart w:id="103" w:name="page104"/>
    <w:bookmarkEnd w:id="103"/>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Lisa Chi</w:t>
      </w:r>
      <w:r>
        <w:rPr>
          <w:sz w:val="20"/>
          <w:szCs w:val="20"/>
          <w:color w:val="auto"/>
        </w:rPr>
        <w:tab/>
      </w:r>
      <w:r>
        <w:rPr>
          <w:rFonts w:ascii="Times New Roman" w:cs="Times New Roman" w:eastAsia="Times New Roman" w:hAnsi="Times New Roman"/>
          <w:sz w:val="18"/>
          <w:szCs w:val="18"/>
          <w:b w:val="1"/>
          <w:bCs w:val="1"/>
          <w:color w:val="auto"/>
        </w:rPr>
        <w:t>Age: 49</w:t>
      </w:r>
      <w:r>
        <w:rPr>
          <w:sz w:val="20"/>
          <w:szCs w:val="20"/>
          <w:color w:val="auto"/>
        </w:rPr>
        <w:tab/>
      </w:r>
      <w:r>
        <w:rPr>
          <w:rFonts w:ascii="Times New Roman" w:cs="Times New Roman" w:eastAsia="Times New Roman" w:hAnsi="Times New Roman"/>
          <w:sz w:val="17"/>
          <w:szCs w:val="17"/>
          <w:b w:val="1"/>
          <w:bCs w:val="1"/>
          <w:color w:val="auto"/>
        </w:rPr>
        <w:t>Chief Merchandising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Lisa Chi has served as our Chief Merchandising Officer since July 2021. Ms. Chi previously served as a Consultant in merchandising and product development at Arhaus, LLC from March 2021 to June 2021. Prior to that, Ms. Chi served as Senior Vice President of Merchandising, Inventory Management, Procurement and Quality, RH Shanghai, and RH Manufacturing at Restoration Hardware from March 2017 to June 2020. Previously, Ms. Chi served as Senior Vice President and General Merchandise Manager of Stores, Digital, and Catalog at Talbots from July 2014 to March 2016.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2024 Annual Meeting of Stockholders, and all of that information is incorporated in this item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2024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2024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All information required to be reported under this item will be included in our proxy statement for our 2024 Annual Meeting of Stockholders, and all of that information is incorporated in this item by reference.</w:t>
      </w:r>
    </w:p>
    <w:p>
      <w:pPr>
        <w:spacing w:after="0" w:line="200" w:lineRule="exact"/>
        <w:rPr>
          <w:sz w:val="20"/>
          <w:szCs w:val="20"/>
          <w:color w:val="auto"/>
        </w:rPr>
      </w:pPr>
    </w:p>
    <w:p>
      <w:pPr>
        <w:spacing w:after="0" w:line="3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68" w:right="61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this Annual Report on Form 10-K:</w:t>
      </w:r>
    </w:p>
    <w:p>
      <w:pPr>
        <w:spacing w:after="0" w:line="207" w:lineRule="exact"/>
        <w:rPr>
          <w:sz w:val="20"/>
          <w:szCs w:val="20"/>
          <w:color w:val="auto"/>
        </w:rPr>
      </w:pPr>
    </w:p>
    <w:p>
      <w:pPr>
        <w:ind w:right="640"/>
        <w:spacing w:after="0" w:line="500" w:lineRule="auto"/>
        <w:rPr>
          <w:sz w:val="20"/>
          <w:szCs w:val="20"/>
          <w:color w:val="auto"/>
        </w:rPr>
      </w:pPr>
      <w:r>
        <w:rPr>
          <w:rFonts w:ascii="Times New Roman" w:cs="Times New Roman" w:eastAsia="Times New Roman" w:hAnsi="Times New Roman"/>
          <w:sz w:val="18"/>
          <w:szCs w:val="18"/>
          <w:color w:val="auto"/>
        </w:rPr>
        <w:t>Report of PricewaterhouseCoopers LLP Independent Registered Public Accounting Firm (PCAOB ID: 238) on Consolidated Financial Statements Consolidated Balance Sheets as of December 31, 2023 and December 31,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December 31, 2022 and December 31, 2021</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 xml:space="preserve">Consolidated Statements of Changes in Stockholders’/Members’ Equity (Deficit) </w:t>
      </w:r>
      <w:r>
        <w:rPr>
          <w:rFonts w:ascii="Times New Roman" w:cs="Times New Roman" w:eastAsia="Times New Roman" w:hAnsi="Times New Roman"/>
          <w:sz w:val="18"/>
          <w:szCs w:val="18"/>
          <w:color w:val="000000"/>
        </w:rPr>
        <w:t>for the years ended December 31, 2023, December 31, 2022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2021</w:t>
      </w:r>
    </w:p>
    <w:p>
      <w:pPr>
        <w:spacing w:after="0" w:line="162" w:lineRule="exact"/>
        <w:rPr>
          <w:sz w:val="20"/>
          <w:szCs w:val="20"/>
          <w:color w:val="auto"/>
        </w:rPr>
      </w:pPr>
    </w:p>
    <w:p>
      <w:pPr>
        <w:ind w:right="2660"/>
        <w:spacing w:after="0" w:line="498" w:lineRule="auto"/>
        <w:rPr>
          <w:sz w:val="20"/>
          <w:szCs w:val="20"/>
          <w:color w:val="auto"/>
        </w:rPr>
      </w:pPr>
      <w:r>
        <w:rPr>
          <w:rFonts w:ascii="Times New Roman" w:cs="Times New Roman" w:eastAsia="Times New Roman" w:hAnsi="Times New Roman"/>
          <w:sz w:val="18"/>
          <w:szCs w:val="18"/>
          <w:color w:val="auto"/>
        </w:rPr>
        <w:t>Consolidated Statements of Cash Flows for the years December 31, 2023, December 31, 2022 and December 31, 2021 Notes to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Separate financial statement schedules have been omitted either because they are not applicable or because the required information is included in the consolidated financial statements or notes described in Item 15(a) (1)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52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18"/>
                <w:szCs w:val="18"/>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6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2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318"/>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4"/>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3.2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5"/>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 evidencing the shares of Class A common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4.1 to</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the Company’s Registration Statement on</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 S-1/A (File No. 333-260015), filed on</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333"/>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4.2 to</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the Company’s Annual Report on Form 10-</w:t>
            </w:r>
          </w:p>
        </w:tc>
        <w:tc>
          <w:tcPr>
            <w:tcW w:w="0" w:type="dxa"/>
            <w:vAlign w:val="bottom"/>
          </w:tcPr>
          <w:p>
            <w:pPr>
              <w:spacing w:after="0"/>
              <w:rPr>
                <w:sz w:val="1"/>
                <w:szCs w:val="1"/>
                <w:color w:val="auto"/>
              </w:rPr>
            </w:pPr>
          </w:p>
        </w:tc>
      </w:tr>
    </w:tbl>
    <w:p>
      <w:pPr>
        <w:ind w:left="7960"/>
        <w:spacing w:after="0" w:line="203" w:lineRule="auto"/>
        <w:rPr>
          <w:sz w:val="20"/>
          <w:szCs w:val="20"/>
          <w:color w:val="auto"/>
        </w:rPr>
      </w:pPr>
      <w:r>
        <w:rPr>
          <w:rFonts w:ascii="Times New Roman" w:cs="Times New Roman" w:eastAsia="Times New Roman" w:hAnsi="Times New Roman"/>
          <w:sz w:val="18"/>
          <w:szCs w:val="18"/>
          <w:color w:val="auto"/>
        </w:rPr>
        <w:t>K for the fiscal year ended December 31,</w:t>
      </w:r>
    </w:p>
    <w:p>
      <w:pPr>
        <w:ind w:left="7960"/>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400" w:type="dxa"/>
            <w:vAlign w:val="bottom"/>
            <w:gridSpan w:val="4"/>
          </w:tcPr>
          <w:p>
            <w:pPr>
              <w:ind w:left="12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Registration Rights Agreement, dated as of November 8, 2021, among Arhaus, Inc., FS</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0" w:type="dxa"/>
            <w:vAlign w:val="bottom"/>
          </w:tcPr>
          <w:p>
            <w:pPr>
              <w:ind w:left="700"/>
              <w:spacing w:after="0" w:line="150" w:lineRule="exact"/>
              <w:rPr>
                <w:sz w:val="20"/>
                <w:szCs w:val="20"/>
                <w:color w:val="auto"/>
              </w:rPr>
            </w:pPr>
            <w:r>
              <w:rPr>
                <w:rFonts w:ascii="Times New Roman" w:cs="Times New Roman" w:eastAsia="Times New Roman" w:hAnsi="Times New Roman"/>
                <w:sz w:val="17"/>
                <w:szCs w:val="17"/>
                <w:color w:val="auto"/>
              </w:rPr>
              <w:t>Equity Partners VI, L.P., FS Affiliates VI, L.P., Starrett Family Trust, Dated 4-11-99,</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Norman S. Matthews, Gregory M. Bettinelli, John P. Reed, 2018 Reed Dynasty Trust</w:t>
            </w:r>
          </w:p>
        </w:tc>
      </w:tr>
      <w:tr>
        <w:trPr>
          <w:trHeight w:val="175"/>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76" w:lineRule="exact"/>
              <w:rPr>
                <w:sz w:val="20"/>
                <w:szCs w:val="20"/>
                <w:color w:val="auto"/>
              </w:rPr>
            </w:pPr>
            <w:r>
              <w:rPr>
                <w:rFonts w:ascii="Times New Roman" w:cs="Times New Roman" w:eastAsia="Times New Roman" w:hAnsi="Times New Roman"/>
                <w:sz w:val="18"/>
                <w:szCs w:val="18"/>
                <w:color w:val="auto"/>
              </w:rPr>
              <w:t>u/a/d December 24, 2018, John P. Reed Trust u/a/d April 29, 1985, Reed 2013</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0" w:type="dxa"/>
            <w:vAlign w:val="bottom"/>
          </w:tcPr>
          <w:p>
            <w:pPr>
              <w:ind w:left="700"/>
              <w:spacing w:after="0" w:line="184" w:lineRule="exact"/>
              <w:rPr>
                <w:sz w:val="20"/>
                <w:szCs w:val="20"/>
                <w:color w:val="auto"/>
              </w:rPr>
            </w:pPr>
            <w:r>
              <w:rPr>
                <w:rFonts w:ascii="Times New Roman" w:cs="Times New Roman" w:eastAsia="Times New Roman" w:hAnsi="Times New Roman"/>
                <w:sz w:val="18"/>
                <w:szCs w:val="18"/>
                <w:color w:val="auto"/>
              </w:rPr>
              <w:t>Generation-Skipping Trust u/a/d October 22, 2013, and The John P. Reed 2019 GRAT</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u/a/d December 31, 2019.</w:t>
            </w:r>
          </w:p>
        </w:tc>
      </w:tr>
      <w:tr>
        <w:trPr>
          <w:trHeight w:val="338"/>
        </w:trPr>
        <w:tc>
          <w:tcPr>
            <w:tcW w:w="340" w:type="dxa"/>
            <w:vAlign w:val="bottom"/>
            <w:gridSpan w:val="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24"/>
                <w:szCs w:val="24"/>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Indemnification Agreement entered into between Arhaus, Inc. and each of its</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directors.</w:t>
            </w:r>
          </w:p>
        </w:tc>
      </w:tr>
      <w:tr>
        <w:trPr>
          <w:trHeight w:val="684"/>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1">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2#</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 Equity Incentive Plan, effective November 8, 2021.</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2">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3#</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Notice of Award (Restricted Stock Unit and Performance Share Unit).</w:t>
            </w:r>
          </w:p>
        </w:tc>
      </w:tr>
      <w:tr>
        <w:trPr>
          <w:trHeight w:val="723"/>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3">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4#</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Performance Share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4">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5#</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5">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6#</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Director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6">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7#</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Phillipson).</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7">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8#</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(Kathy Veltri).</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38">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9#</w:t>
            </w: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Sparks).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4.1 to the Company’s Registration Statement on</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S-3 (File No. 333-268959), filed on December 22, 2022.</w:t>
      </w:r>
    </w:p>
    <w:p>
      <w:pPr>
        <w:spacing w:after="0" w:line="200" w:lineRule="exact"/>
        <w:rPr>
          <w:sz w:val="20"/>
          <w:szCs w:val="20"/>
          <w:color w:val="auto"/>
        </w:rPr>
      </w:pPr>
    </w:p>
    <w:p>
      <w:pPr>
        <w:spacing w:after="0" w:line="3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October 27,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November 3,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Quarterly Report on Form</w:t>
      </w:r>
    </w:p>
    <w:p>
      <w:pPr>
        <w:spacing w:after="0"/>
        <w:rPr>
          <w:sz w:val="20"/>
          <w:szCs w:val="20"/>
          <w:color w:val="auto"/>
        </w:rPr>
      </w:pPr>
      <w:r>
        <w:rPr>
          <w:rFonts w:ascii="Times New Roman" w:cs="Times New Roman" w:eastAsia="Times New Roman" w:hAnsi="Times New Roman"/>
          <w:sz w:val="18"/>
          <w:szCs w:val="18"/>
          <w:color w:val="auto"/>
        </w:rPr>
        <w:t>10-Q for the period ended June 30, 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10.5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ectPr>
          <w:pgSz w:w="11900" w:h="16838" w:orient="portrait"/>
          <w:cols w:equalWidth="0" w:num="2">
            <w:col w:w="7400" w:space="320"/>
            <w:col w:w="3180"/>
          </w:cols>
          <w:pgMar w:left="560" w:top="1175" w:right="439" w:bottom="1440" w:gutter="0" w:footer="0" w:header="0"/>
        </w:sectPr>
      </w:pPr>
    </w:p>
    <w:bookmarkStart w:id="106" w:name="page107"/>
    <w:bookmarkEnd w:id="106"/>
    <w:tbl>
      <w:tblPr>
        <w:tblLayout w:type="fixed"/>
        <w:tblInd w:w="240" w:type="dxa"/>
        <w:tblCellMar>
          <w:top w:w="0" w:type="dxa"/>
          <w:left w:w="0" w:type="dxa"/>
          <w:bottom w:w="0" w:type="dxa"/>
          <w:right w:w="0" w:type="dxa"/>
        </w:tblCellMar>
      </w:tblPr>
      <w:tr>
        <w:trPr>
          <w:trHeight w:val="207"/>
        </w:trPr>
        <w:tc>
          <w:tcPr>
            <w:tcW w:w="800" w:type="dxa"/>
            <w:vAlign w:val="bottom"/>
            <w:gridSpan w:val="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10#</w:t>
            </w: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(Jennifer Porter).</w:t>
            </w:r>
          </w:p>
        </w:tc>
      </w:tr>
      <w:tr>
        <w:trPr>
          <w:trHeight w:val="898"/>
        </w:trPr>
        <w:tc>
          <w:tcPr>
            <w:tcW w:w="5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6"/>
              </w:rPr>
            </w:pPr>
            <w:hyperlink r:id="rId241">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11#</w:t>
            </w: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(Lisa Chi).</w:t>
            </w:r>
          </w:p>
        </w:tc>
      </w:tr>
      <w:tr>
        <w:trPr>
          <w:trHeight w:val="898"/>
        </w:trPr>
        <w:tc>
          <w:tcPr>
            <w:tcW w:w="800" w:type="dxa"/>
            <w:vAlign w:val="bottom"/>
            <w:gridSpan w:val="5"/>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12#</w:t>
            </w: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(Venkat Nachiappan).</w:t>
            </w:r>
          </w:p>
        </w:tc>
      </w:tr>
      <w:tr>
        <w:trPr>
          <w:trHeight w:val="898"/>
        </w:trPr>
        <w:tc>
          <w:tcPr>
            <w:tcW w:w="50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dated November 8, 2021, among Arhaus, Inc., certain subsidiaries of</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80" w:type="dxa"/>
            <w:vAlign w:val="bottom"/>
          </w:tcPr>
          <w:p>
            <w:pPr>
              <w:ind w:left="300"/>
              <w:spacing w:after="0" w:line="150" w:lineRule="exact"/>
              <w:rPr>
                <w:sz w:val="20"/>
                <w:szCs w:val="20"/>
                <w:color w:val="auto"/>
              </w:rPr>
            </w:pPr>
            <w:r>
              <w:rPr>
                <w:rFonts w:ascii="Times New Roman" w:cs="Times New Roman" w:eastAsia="Times New Roman" w:hAnsi="Times New Roman"/>
                <w:sz w:val="17"/>
                <w:szCs w:val="17"/>
                <w:color w:val="auto"/>
              </w:rPr>
              <w:t>Arhaus, Inc., as the Guarantors, Bank of America, N.A., as the Administrative Agent, the</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L/C Issuer, and the Swingline Lender, and the lenders party thereto.</w:t>
            </w:r>
          </w:p>
        </w:tc>
      </w:tr>
      <w:tr>
        <w:trPr>
          <w:trHeight w:val="338"/>
        </w:trPr>
        <w:tc>
          <w:tcPr>
            <w:tcW w:w="500" w:type="dxa"/>
            <w:vAlign w:val="bottom"/>
            <w:gridSpan w:val="3"/>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First Amendment to Credit Agreement and Increase Agreement, dated December 9, 2022,</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80" w:type="dxa"/>
            <w:vAlign w:val="bottom"/>
          </w:tcPr>
          <w:p>
            <w:pPr>
              <w:ind w:left="300"/>
              <w:spacing w:after="0" w:line="150" w:lineRule="exact"/>
              <w:rPr>
                <w:sz w:val="20"/>
                <w:szCs w:val="20"/>
                <w:color w:val="auto"/>
              </w:rPr>
            </w:pPr>
            <w:r>
              <w:rPr>
                <w:rFonts w:ascii="Times New Roman" w:cs="Times New Roman" w:eastAsia="Times New Roman" w:hAnsi="Times New Roman"/>
                <w:sz w:val="17"/>
                <w:szCs w:val="17"/>
                <w:color w:val="auto"/>
              </w:rPr>
              <w:t>among Arhaus, Inc., the Guarantors party thereto, Bank of America, N.A., as the</w:t>
            </w:r>
          </w:p>
        </w:tc>
      </w:tr>
      <w:tr>
        <w:trPr>
          <w:trHeight w:val="180"/>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Administrative Agent, the L/C Issuer, and the Swingline Lender, and the Lenders</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the Increasing Lender) party thereto.</w:t>
            </w:r>
          </w:p>
        </w:tc>
      </w:tr>
      <w:tr>
        <w:trPr>
          <w:trHeight w:val="333"/>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Consulting Agreement, dated November 29, 2023, among Arhaus, LLC and Gary Lewis</w:t>
            </w:r>
          </w:p>
        </w:tc>
      </w:tr>
      <w:tr>
        <w:trPr>
          <w:trHeight w:val="214"/>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dba Gary Lewis &amp; Associates.</w:t>
            </w:r>
          </w:p>
        </w:tc>
      </w:tr>
      <w:tr>
        <w:trPr>
          <w:trHeight w:val="33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54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8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r>
    </w:tbl>
    <w:p>
      <w:pPr>
        <w:ind w:left="1340"/>
        <w:spacing w:after="0"/>
        <w:rPr>
          <w:sz w:val="20"/>
          <w:szCs w:val="20"/>
          <w:color w:val="auto"/>
        </w:rPr>
      </w:pPr>
      <w:r>
        <w:rPr>
          <w:rFonts w:ascii="Times New Roman" w:cs="Times New Roman" w:eastAsia="Times New Roman" w:hAnsi="Times New Roman"/>
          <w:sz w:val="18"/>
          <w:szCs w:val="18"/>
          <w:color w:val="auto"/>
        </w:rPr>
        <w:t>Oxley Act of 2002.</w:t>
      </w:r>
    </w:p>
    <w:p>
      <w:pPr>
        <w:spacing w:after="0" w:line="20" w:lineRule="exact"/>
        <w:rPr>
          <w:sz w:val="20"/>
          <w:szCs w:val="20"/>
          <w:color w:val="auto"/>
        </w:rPr>
      </w:pPr>
      <w:r>
        <w:rPr>
          <w:sz w:val="20"/>
          <w:szCs w:val="20"/>
          <w:color w:val="auto"/>
        </w:rPr>
        <w:br w:type="column"/>
      </w: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10.6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10.7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10.8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November 10, 2021.</w:t>
      </w:r>
    </w:p>
    <w:p>
      <w:pPr>
        <w:spacing w:after="0" w:line="15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December 12, 2022.</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Included on signature page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22" w:lineRule="exact"/>
        <w:rPr>
          <w:sz w:val="20"/>
          <w:szCs w:val="20"/>
          <w:color w:val="auto"/>
        </w:rPr>
      </w:pPr>
    </w:p>
    <w:p>
      <w:pPr>
        <w:sectPr>
          <w:pgSz w:w="11900" w:h="16838" w:orient="portrait"/>
          <w:cols w:equalWidth="0" w:num="2">
            <w:col w:w="7820" w:space="140"/>
            <w:col w:w="3280"/>
          </w:cols>
          <w:pgMar w:left="320" w:top="117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1"/>
        </w:trPr>
        <w:tc>
          <w:tcPr>
            <w:tcW w:w="2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740" w:type="dxa"/>
            <w:vAlign w:val="bottom"/>
          </w:tcPr>
          <w:p>
            <w:pPr>
              <w:ind w:left="200"/>
              <w:spacing w:after="0" w:line="150" w:lineRule="exact"/>
              <w:rPr>
                <w:sz w:val="20"/>
                <w:szCs w:val="20"/>
                <w:color w:val="auto"/>
              </w:rPr>
            </w:pPr>
            <w:r>
              <w:rPr>
                <w:rFonts w:ascii="Times New Roman" w:cs="Times New Roman" w:eastAsia="Times New Roman" w:hAnsi="Times New Roman"/>
                <w:sz w:val="17"/>
                <w:szCs w:val="17"/>
                <w:color w:val="auto"/>
              </w:rPr>
              <w:t>Securities Exchange Act of 1934, as Adopted Pursuant to Section 302 of the Sarbanes-</w:t>
            </w:r>
          </w:p>
        </w:tc>
        <w:tc>
          <w:tcPr>
            <w:tcW w:w="3360" w:type="dxa"/>
            <w:vAlign w:val="bottom"/>
          </w:tcPr>
          <w:p>
            <w:pPr>
              <w:spacing w:after="0"/>
              <w:rPr>
                <w:sz w:val="13"/>
                <w:szCs w:val="13"/>
                <w:color w:val="auto"/>
              </w:rPr>
            </w:pP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Oxley Act of 2002.</w:t>
            </w:r>
          </w:p>
        </w:tc>
        <w:tc>
          <w:tcPr>
            <w:tcW w:w="3360" w:type="dxa"/>
            <w:vAlign w:val="bottom"/>
          </w:tcPr>
          <w:p>
            <w:pPr>
              <w:spacing w:after="0"/>
              <w:rPr>
                <w:sz w:val="20"/>
                <w:szCs w:val="20"/>
                <w:color w:val="auto"/>
              </w:rPr>
            </w:pPr>
          </w:p>
        </w:tc>
      </w:tr>
      <w:tr>
        <w:trPr>
          <w:trHeight w:val="338"/>
        </w:trPr>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14"/>
        </w:trPr>
        <w:tc>
          <w:tcPr>
            <w:tcW w:w="2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360" w:type="dxa"/>
            <w:vAlign w:val="bottom"/>
          </w:tcPr>
          <w:p>
            <w:pPr>
              <w:spacing w:after="0"/>
              <w:rPr>
                <w:sz w:val="18"/>
                <w:szCs w:val="18"/>
                <w:color w:val="auto"/>
              </w:rPr>
            </w:pPr>
          </w:p>
        </w:tc>
      </w:tr>
      <w:tr>
        <w:trPr>
          <w:trHeight w:val="333"/>
        </w:trPr>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14"/>
        </w:trPr>
        <w:tc>
          <w:tcPr>
            <w:tcW w:w="2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360" w:type="dxa"/>
            <w:vAlign w:val="bottom"/>
          </w:tcPr>
          <w:p>
            <w:pPr>
              <w:spacing w:after="0"/>
              <w:rPr>
                <w:sz w:val="18"/>
                <w:szCs w:val="18"/>
                <w:color w:val="auto"/>
              </w:rPr>
            </w:pPr>
          </w:p>
        </w:tc>
      </w:tr>
      <w:tr>
        <w:trPr>
          <w:trHeight w:val="333"/>
        </w:trPr>
        <w:tc>
          <w:tcPr>
            <w:tcW w:w="24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Recovery Policy</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45"/>
        </w:trPr>
        <w:tc>
          <w:tcPr>
            <w:tcW w:w="2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c>
          <w:tcPr>
            <w:tcW w:w="3360" w:type="dxa"/>
            <w:vAlign w:val="bottom"/>
          </w:tcPr>
          <w:p>
            <w:pPr>
              <w:spacing w:after="0"/>
              <w:rPr>
                <w:sz w:val="20"/>
                <w:szCs w:val="20"/>
                <w:color w:val="auto"/>
              </w:rPr>
            </w:pPr>
          </w:p>
        </w:tc>
      </w:tr>
      <w:tr>
        <w:trPr>
          <w:trHeight w:val="387"/>
        </w:trPr>
        <w:tc>
          <w:tcPr>
            <w:tcW w:w="2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1"/>
        </w:trPr>
        <w:tc>
          <w:tcPr>
            <w:tcW w:w="2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918"/>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4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105</w:t>
            </w:r>
          </w:p>
        </w:tc>
        <w:tc>
          <w:tcPr>
            <w:tcW w:w="3360" w:type="dxa"/>
            <w:vAlign w:val="bottom"/>
          </w:tcPr>
          <w:p>
            <w:pPr>
              <w:spacing w:after="0"/>
              <w:rPr>
                <w:sz w:val="24"/>
                <w:szCs w:val="24"/>
                <w:color w:val="auto"/>
              </w:rPr>
            </w:pPr>
          </w:p>
        </w:tc>
      </w:tr>
      <w:tr>
        <w:trPr>
          <w:trHeight w:val="102"/>
        </w:trPr>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7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type w:val="continuous"/>
        </w:sectPr>
      </w:pPr>
    </w:p>
    <w:bookmarkStart w:id="107" w:name="page108"/>
    <w:bookmarkEnd w:id="107"/>
    <w:tbl>
      <w:tblPr>
        <w:tblLayout w:type="fixed"/>
        <w:tblInd w:w="2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w:t>
            </w:r>
          </w:p>
        </w:tc>
        <w:tc>
          <w:tcPr>
            <w:tcW w:w="1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90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48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Indicates management contract or compensatory plan</w:t>
      </w:r>
    </w:p>
    <w:p>
      <w:pPr>
        <w:spacing w:after="0" w:line="9" w:lineRule="exact"/>
        <w:rPr>
          <w:sz w:val="20"/>
          <w:szCs w:val="20"/>
          <w:color w:val="auto"/>
        </w:rPr>
      </w:pPr>
    </w:p>
    <w:p>
      <w:pPr>
        <w:ind w:left="340" w:hanging="332"/>
        <w:spacing w:after="0" w:line="255" w:lineRule="auto"/>
        <w:tabs>
          <w:tab w:leader="none" w:pos="283"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109" w:name="page110"/>
    <w:bookmarkEnd w:id="109"/>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80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ARHAUS, INC</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21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Reed</w:t>
            </w:r>
          </w:p>
        </w:tc>
      </w:tr>
      <w:tr>
        <w:trPr>
          <w:trHeight w:val="218"/>
        </w:trPr>
        <w:tc>
          <w:tcPr>
            <w:tcW w:w="2980" w:type="dxa"/>
            <w:vAlign w:val="bottom"/>
          </w:tcPr>
          <w:p>
            <w:pPr>
              <w:spacing w:after="0"/>
              <w:rPr>
                <w:sz w:val="18"/>
                <w:szCs w:val="18"/>
                <w:color w:val="auto"/>
              </w:rPr>
            </w:pPr>
          </w:p>
        </w:tc>
        <w:tc>
          <w:tcPr>
            <w:tcW w:w="21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Reed</w:t>
            </w:r>
          </w:p>
        </w:tc>
      </w:tr>
      <w:tr>
        <w:trPr>
          <w:trHeight w:val="234"/>
        </w:trPr>
        <w:tc>
          <w:tcPr>
            <w:tcW w:w="2980" w:type="dxa"/>
            <w:vAlign w:val="bottom"/>
          </w:tcPr>
          <w:p>
            <w:pPr>
              <w:spacing w:after="0"/>
              <w:rPr>
                <w:sz w:val="20"/>
                <w:szCs w:val="20"/>
                <w:color w:val="auto"/>
              </w:rPr>
            </w:pPr>
          </w:p>
        </w:tc>
        <w:tc>
          <w:tcPr>
            <w:tcW w:w="21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Each of the undersigned officers and directors of Arhaus, Inc. hereby constitutes and appoints John Reed and Dawn Phillipson,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any and all amendments thereto,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43" w:right="579" w:bottom="1440" w:gutter="0" w:footer="0" w:header="0"/>
        </w:sectPr>
      </w:pPr>
    </w:p>
    <w:bookmarkStart w:id="110" w:name="page111"/>
    <w:bookmarkEnd w:id="110"/>
    <w:p>
      <w:pPr>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147" w:right="399" w:bottom="1440" w:gutter="0" w:footer="0" w:header="0"/>
        </w:sectPr>
      </w:pP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228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3228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Albert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Albert Adams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Bill Beargie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Bill Beargie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Rick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Rick Doody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Andrea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Andrea Hyde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Kyees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Gary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Gary Lewis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Roth</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Alexis DePree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Alexis DePree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3317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2" w:lineRule="auto"/>
        <w:rPr>
          <w:sz w:val="20"/>
          <w:szCs w:val="20"/>
          <w:color w:val="auto"/>
        </w:rPr>
      </w:pPr>
      <w:r>
        <w:rPr>
          <w:rFonts w:ascii="Times New Roman" w:cs="Times New Roman" w:eastAsia="Times New Roman" w:hAnsi="Times New Roman"/>
          <w:sz w:val="17"/>
          <w:szCs w:val="17"/>
          <w:color w:val="auto"/>
        </w:rPr>
        <w:t>(Principal Financial Officer and Principal</w:t>
      </w:r>
    </w:p>
    <w:p>
      <w:pPr>
        <w:jc w:val="center"/>
        <w:ind w:right="1580"/>
        <w:spacing w:after="0"/>
        <w:rPr>
          <w:sz w:val="20"/>
          <w:szCs w:val="20"/>
          <w:color w:val="auto"/>
        </w:rPr>
      </w:pPr>
      <w:r>
        <w:rPr>
          <w:rFonts w:ascii="Times New Roman" w:cs="Times New Roman" w:eastAsia="Times New Roman" w:hAnsi="Times New Roman"/>
          <w:sz w:val="17"/>
          <w:szCs w:val="17"/>
          <w:color w:val="auto"/>
        </w:rPr>
        <w:t>Accounting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wp:posOffset>
            </wp:positionV>
            <wp:extent cx="23399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468" w:lineRule="exact"/>
        <w:rPr>
          <w:sz w:val="20"/>
          <w:szCs w:val="20"/>
          <w:color w:val="auto"/>
        </w:rPr>
      </w:pPr>
    </w:p>
    <w:p>
      <w:pPr>
        <w:sectPr>
          <w:pgSz w:w="11900" w:h="16838" w:orient="portrait"/>
          <w:cols w:equalWidth="0" w:num="3">
            <w:col w:w="3060" w:space="720"/>
            <w:col w:w="3040" w:space="720"/>
            <w:col w:w="3640"/>
          </w:cols>
          <w:pgMar w:left="320" w:top="1147" w:right="39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80"/>
          </w:cols>
          <w:pgMar w:left="320" w:top="1147" w:right="39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CONSULTING AGREEMENT</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21"/>
          <w:szCs w:val="21"/>
          <w:color w:val="auto"/>
        </w:rPr>
        <w:t xml:space="preserve">This Agreement is made this </w:t>
      </w:r>
      <w:r>
        <w:rPr>
          <w:rFonts w:ascii="Arial" w:cs="Arial" w:eastAsia="Arial" w:hAnsi="Arial"/>
          <w:sz w:val="21"/>
          <w:szCs w:val="21"/>
          <w:u w:val="single" w:color="auto"/>
          <w:color w:val="auto"/>
        </w:rPr>
        <w:t>29th</w:t>
      </w:r>
      <w:r>
        <w:rPr>
          <w:rFonts w:ascii="Arial" w:cs="Arial" w:eastAsia="Arial" w:hAnsi="Arial"/>
          <w:sz w:val="21"/>
          <w:szCs w:val="21"/>
          <w:color w:val="auto"/>
        </w:rPr>
        <w:t xml:space="preserve"> of November 2023, between Arhaus, LLC</w:t>
      </w:r>
    </w:p>
    <w:p>
      <w:pPr>
        <w:spacing w:after="0" w:line="8" w:lineRule="exact"/>
        <w:rPr>
          <w:sz w:val="20"/>
          <w:szCs w:val="20"/>
          <w:color w:val="auto"/>
        </w:rPr>
      </w:pPr>
    </w:p>
    <w:p>
      <w:pPr>
        <w:ind w:left="40" w:right="640" w:firstLine="4"/>
        <w:spacing w:after="0" w:line="266" w:lineRule="auto"/>
        <w:rPr>
          <w:sz w:val="20"/>
          <w:szCs w:val="20"/>
          <w:color w:val="auto"/>
        </w:rPr>
      </w:pPr>
      <w:r>
        <w:rPr>
          <w:rFonts w:ascii="Arial" w:cs="Arial" w:eastAsia="Arial" w:hAnsi="Arial"/>
          <w:sz w:val="21"/>
          <w:szCs w:val="21"/>
          <w:color w:val="auto"/>
        </w:rPr>
        <w:t>("Arhaus"), 51 East Hines Hill Road, Boston Heights, Ohio 44236 and Gary Lewis dba Gary Lewis &amp; Associates of Atlantic Beach, Florida ("Consultant").</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TERM OF CONTRACT</w:t>
      </w:r>
    </w:p>
    <w:p>
      <w:pPr>
        <w:spacing w:after="0" w:line="245" w:lineRule="exact"/>
        <w:rPr>
          <w:sz w:val="20"/>
          <w:szCs w:val="20"/>
          <w:color w:val="auto"/>
        </w:rPr>
      </w:pPr>
    </w:p>
    <w:p>
      <w:pPr>
        <w:jc w:val="both"/>
        <w:ind w:left="20" w:right="400" w:firstLine="6"/>
        <w:spacing w:after="0" w:line="264" w:lineRule="auto"/>
        <w:rPr>
          <w:sz w:val="20"/>
          <w:szCs w:val="20"/>
          <w:color w:val="auto"/>
        </w:rPr>
      </w:pPr>
      <w:r>
        <w:rPr>
          <w:rFonts w:ascii="Arial" w:cs="Arial" w:eastAsia="Arial" w:hAnsi="Arial"/>
          <w:sz w:val="21"/>
          <w:szCs w:val="21"/>
          <w:color w:val="auto"/>
        </w:rPr>
        <w:t xml:space="preserve">1.1 This Agreement will become effective on November </w:t>
      </w:r>
      <w:r>
        <w:rPr>
          <w:rFonts w:ascii="Arial" w:cs="Arial" w:eastAsia="Arial" w:hAnsi="Arial"/>
          <w:sz w:val="21"/>
          <w:szCs w:val="21"/>
          <w:u w:val="single" w:color="auto"/>
          <w:color w:val="auto"/>
        </w:rPr>
        <w:t>29</w:t>
      </w:r>
      <w:r>
        <w:rPr>
          <w:rFonts w:ascii="Arial" w:cs="Arial" w:eastAsia="Arial" w:hAnsi="Arial"/>
          <w:sz w:val="21"/>
          <w:szCs w:val="21"/>
          <w:color w:val="auto"/>
        </w:rPr>
        <w:t>, 2023 and continue in effect until the work as requested and defined by Arhaus is completed, or until this Agreement is earlier terminated as provided herein. This Agreement may be renewed, at Arhaus' sole and absolute discretion if additional work is desired.</w:t>
      </w:r>
    </w:p>
    <w:p>
      <w:pPr>
        <w:spacing w:after="0" w:line="189"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SERVICES TO BE PERFORMED BY CONSULTANT</w:t>
      </w:r>
    </w:p>
    <w:p>
      <w:pPr>
        <w:spacing w:after="0" w:line="23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0"/>
          <w:szCs w:val="20"/>
          <w:color w:val="auto"/>
        </w:rPr>
        <w:t>Consultant shall perform the following services ("Services"):</w:t>
      </w:r>
    </w:p>
    <w:p>
      <w:pPr>
        <w:spacing w:after="0" w:line="8" w:lineRule="exact"/>
        <w:rPr>
          <w:sz w:val="20"/>
          <w:szCs w:val="20"/>
          <w:color w:val="auto"/>
        </w:rPr>
      </w:pPr>
    </w:p>
    <w:p>
      <w:pPr>
        <w:ind w:left="660" w:right="580" w:firstLine="661"/>
        <w:spacing w:after="0" w:line="253" w:lineRule="auto"/>
        <w:tabs>
          <w:tab w:leader="none" w:pos="1792" w:val="left"/>
        </w:tabs>
        <w:numPr>
          <w:ilvl w:val="1"/>
          <w:numId w:val="46"/>
        </w:numPr>
        <w:rPr>
          <w:rFonts w:ascii="Arial" w:cs="Arial" w:eastAsia="Arial" w:hAnsi="Arial"/>
          <w:sz w:val="21"/>
          <w:szCs w:val="21"/>
          <w:color w:val="auto"/>
        </w:rPr>
      </w:pPr>
      <w:r>
        <w:rPr>
          <w:rFonts w:ascii="Arial" w:cs="Arial" w:eastAsia="Arial" w:hAnsi="Arial"/>
          <w:sz w:val="21"/>
          <w:szCs w:val="21"/>
          <w:color w:val="auto"/>
        </w:rPr>
        <w:t>A data-driven analysis of potential markets for brick and mortar Arhaus showrooms - traditional, Studio, and Loft;</w:t>
      </w:r>
    </w:p>
    <w:p>
      <w:pPr>
        <w:ind w:left="660" w:right="440" w:firstLine="656"/>
        <w:spacing w:after="0" w:line="243" w:lineRule="auto"/>
        <w:tabs>
          <w:tab w:leader="none" w:pos="1811" w:val="left"/>
        </w:tabs>
        <w:numPr>
          <w:ilvl w:val="1"/>
          <w:numId w:val="46"/>
        </w:numPr>
        <w:rPr>
          <w:rFonts w:ascii="Arial" w:cs="Arial" w:eastAsia="Arial" w:hAnsi="Arial"/>
          <w:sz w:val="21"/>
          <w:szCs w:val="21"/>
          <w:color w:val="auto"/>
        </w:rPr>
      </w:pPr>
      <w:r>
        <w:rPr>
          <w:rFonts w:ascii="Arial" w:cs="Arial" w:eastAsia="Arial" w:hAnsi="Arial"/>
          <w:sz w:val="21"/>
          <w:szCs w:val="21"/>
          <w:color w:val="auto"/>
        </w:rPr>
        <w:t>Provide a list of the suggested top 20 markets where Arhaus should open traditional showrooms, and the top 10 markets for Studio showrooms;</w:t>
      </w:r>
    </w:p>
    <w:p>
      <w:pPr>
        <w:ind w:left="660" w:right="740" w:firstLine="657"/>
        <w:spacing w:after="0" w:line="253" w:lineRule="auto"/>
        <w:tabs>
          <w:tab w:leader="none" w:pos="18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A complete review of the current Arhaus real estate portfolio, including traditional showrooms; design studios; and Loft locations with analysis of market data in the current footprint;</w:t>
      </w:r>
    </w:p>
    <w:p>
      <w:pPr>
        <w:ind w:left="660" w:right="680" w:firstLine="649"/>
        <w:spacing w:after="0" w:line="249" w:lineRule="auto"/>
        <w:tabs>
          <w:tab w:leader="none" w:pos="181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detailed review into every current market to determine which Arhaus properties perform best and to determine the saturation point in certain markets;</w:t>
      </w:r>
    </w:p>
    <w:p>
      <w:pPr>
        <w:spacing w:after="0" w:line="1" w:lineRule="exact"/>
        <w:rPr>
          <w:rFonts w:ascii="Arial" w:cs="Arial" w:eastAsia="Arial" w:hAnsi="Arial"/>
          <w:sz w:val="21"/>
          <w:szCs w:val="21"/>
          <w:color w:val="auto"/>
        </w:rPr>
      </w:pPr>
    </w:p>
    <w:p>
      <w:pPr>
        <w:ind w:left="660" w:right="780" w:firstLine="648"/>
        <w:spacing w:after="0" w:line="266" w:lineRule="auto"/>
        <w:tabs>
          <w:tab w:leader="none" w:pos="1806" w:val="left"/>
        </w:tabs>
        <w:numPr>
          <w:ilvl w:val="0"/>
          <w:numId w:val="47"/>
        </w:numPr>
        <w:rPr>
          <w:rFonts w:ascii="Arial" w:cs="Arial" w:eastAsia="Arial" w:hAnsi="Arial"/>
          <w:sz w:val="20"/>
          <w:szCs w:val="20"/>
          <w:color w:val="auto"/>
        </w:rPr>
      </w:pPr>
      <w:r>
        <w:rPr>
          <w:rFonts w:ascii="Arial" w:cs="Arial" w:eastAsia="Arial" w:hAnsi="Arial"/>
          <w:sz w:val="20"/>
          <w:szCs w:val="20"/>
          <w:color w:val="auto"/>
        </w:rPr>
        <w:t>Identify areas for growth and recommendations for expansion, creating a strategic real estate path and direction for successfully addressing existing showroom fleet and new growth opportunities;</w:t>
      </w:r>
    </w:p>
    <w:p>
      <w:pPr>
        <w:ind w:left="660" w:right="540" w:firstLine="650"/>
        <w:spacing w:after="0" w:line="250" w:lineRule="auto"/>
        <w:tabs>
          <w:tab w:leader="none" w:pos="1807" w:val="left"/>
        </w:tabs>
        <w:numPr>
          <w:ilvl w:val="0"/>
          <w:numId w:val="47"/>
        </w:numPr>
        <w:rPr>
          <w:rFonts w:ascii="Arial" w:cs="Arial" w:eastAsia="Arial" w:hAnsi="Arial"/>
          <w:sz w:val="21"/>
          <w:szCs w:val="21"/>
          <w:color w:val="auto"/>
        </w:rPr>
      </w:pPr>
      <w:r>
        <w:rPr>
          <w:rFonts w:ascii="Arial" w:cs="Arial" w:eastAsia="Arial" w:hAnsi="Arial"/>
          <w:sz w:val="21"/>
          <w:szCs w:val="21"/>
          <w:color w:val="auto"/>
        </w:rPr>
        <w:t>Create a model where site criteria and demographics parallel the cost of construction. Suggest alternatives for value-engineering or lowering costs on materials to get construction design costs reduced for the future;</w:t>
      </w:r>
    </w:p>
    <w:p>
      <w:pPr>
        <w:spacing w:after="0" w:line="1" w:lineRule="exact"/>
        <w:rPr>
          <w:rFonts w:ascii="Arial" w:cs="Arial" w:eastAsia="Arial" w:hAnsi="Arial"/>
          <w:sz w:val="21"/>
          <w:szCs w:val="21"/>
          <w:color w:val="auto"/>
        </w:rPr>
      </w:pPr>
    </w:p>
    <w:p>
      <w:pPr>
        <w:ind w:left="1800" w:hanging="495"/>
        <w:spacing w:after="0"/>
        <w:tabs>
          <w:tab w:leader="none" w:pos="18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Suggest a model for A, B, and C showroom build-outs based on value-engineered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construction costs; and</w:t>
      </w:r>
    </w:p>
    <w:p>
      <w:pPr>
        <w:spacing w:after="0" w:line="5" w:lineRule="exact"/>
        <w:rPr>
          <w:sz w:val="20"/>
          <w:szCs w:val="20"/>
          <w:color w:val="auto"/>
        </w:rPr>
      </w:pPr>
    </w:p>
    <w:p>
      <w:pPr>
        <w:ind w:left="660" w:right="980" w:firstLine="642"/>
        <w:spacing w:after="0" w:line="266" w:lineRule="auto"/>
        <w:tabs>
          <w:tab w:leader="none" w:pos="1816" w:val="left"/>
        </w:tabs>
        <w:numPr>
          <w:ilvl w:val="0"/>
          <w:numId w:val="48"/>
        </w:numPr>
        <w:rPr>
          <w:rFonts w:ascii="Arial" w:cs="Arial" w:eastAsia="Arial" w:hAnsi="Arial"/>
          <w:sz w:val="21"/>
          <w:szCs w:val="21"/>
          <w:color w:val="auto"/>
        </w:rPr>
      </w:pPr>
      <w:r>
        <w:rPr>
          <w:rFonts w:ascii="Arial" w:cs="Arial" w:eastAsia="Arial" w:hAnsi="Arial"/>
          <w:sz w:val="21"/>
          <w:szCs w:val="21"/>
          <w:color w:val="auto"/>
        </w:rPr>
        <w:t>Prepare a site selection strategy as a roadmap for the internal Arhaus real estate team, the Real Estate Committee, and Arhaus' outside broker.</w:t>
      </w:r>
    </w:p>
    <w:p>
      <w:pPr>
        <w:spacing w:after="0" w:line="174" w:lineRule="exact"/>
        <w:rPr>
          <w:sz w:val="20"/>
          <w:szCs w:val="20"/>
          <w:color w:val="auto"/>
        </w:rPr>
      </w:pPr>
    </w:p>
    <w:p>
      <w:pPr>
        <w:jc w:val="both"/>
        <w:ind w:right="380" w:firstLine="5"/>
        <w:spacing w:after="0" w:line="260" w:lineRule="auto"/>
        <w:rPr>
          <w:sz w:val="20"/>
          <w:szCs w:val="20"/>
          <w:color w:val="auto"/>
        </w:rPr>
      </w:pPr>
      <w:r>
        <w:rPr>
          <w:rFonts w:ascii="Arial" w:cs="Arial" w:eastAsia="Arial" w:hAnsi="Arial"/>
          <w:sz w:val="21"/>
          <w:szCs w:val="21"/>
          <w:color w:val="auto"/>
        </w:rPr>
        <w:t>2.2 Consultant shall deliver, divulge, disclose, impart or otherwise communicate all information to the Arhaus CEO and to the Real Estate Committee of the Board of Directors of Arhaus, Inc. to enable Arhaus to make decisions on future growth opportunities. Consultant shall be responsible for his costs, including salaries and taxes of Consultant's staff as necessary.</w:t>
      </w:r>
    </w:p>
    <w:p>
      <w:pPr>
        <w:spacing w:after="0" w:line="223" w:lineRule="exact"/>
        <w:rPr>
          <w:sz w:val="20"/>
          <w:szCs w:val="20"/>
          <w:color w:val="auto"/>
        </w:rPr>
      </w:pPr>
    </w:p>
    <w:p>
      <w:pPr>
        <w:ind w:right="440" w:firstLine="7"/>
        <w:spacing w:after="0" w:line="256" w:lineRule="auto"/>
        <w:rPr>
          <w:sz w:val="20"/>
          <w:szCs w:val="20"/>
          <w:color w:val="auto"/>
        </w:rPr>
      </w:pPr>
      <w:r>
        <w:rPr>
          <w:rFonts w:ascii="Arial" w:cs="Arial" w:eastAsia="Arial" w:hAnsi="Arial"/>
          <w:sz w:val="21"/>
          <w:szCs w:val="21"/>
          <w:color w:val="auto"/>
        </w:rPr>
        <w:t>2.3 Consultant agrees to use his best efforts in preparing and performing such Services. Consultant agrees to make himself available during regular business hours either remotely, or in person, for status reviews and feedback, and to answer questions by phone or email, and to attend meetings as reasonably necessary, and shall participate in Teams or Zoom conference calls as necessary.</w:t>
      </w:r>
    </w:p>
    <w:p>
      <w:pPr>
        <w:sectPr>
          <w:pgSz w:w="11900" w:h="16838" w:orient="portrait"/>
          <w:cols w:equalWidth="0" w:num="1">
            <w:col w:w="11100"/>
          </w:cols>
          <w:pgMar w:left="460" w:top="94"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INDEPENDENT CONTRACTOR</w:t>
      </w:r>
    </w:p>
    <w:p>
      <w:pPr>
        <w:spacing w:after="0" w:line="245" w:lineRule="exact"/>
        <w:rPr>
          <w:sz w:val="20"/>
          <w:szCs w:val="20"/>
          <w:color w:val="auto"/>
        </w:rPr>
      </w:pPr>
    </w:p>
    <w:p>
      <w:pPr>
        <w:ind w:left="20" w:right="20" w:firstLine="26"/>
        <w:spacing w:after="0" w:line="262" w:lineRule="auto"/>
        <w:rPr>
          <w:sz w:val="20"/>
          <w:szCs w:val="20"/>
          <w:color w:val="auto"/>
        </w:rPr>
      </w:pPr>
      <w:r>
        <w:rPr>
          <w:rFonts w:ascii="Arial" w:cs="Arial" w:eastAsia="Arial" w:hAnsi="Arial"/>
          <w:sz w:val="20"/>
          <w:szCs w:val="20"/>
          <w:color w:val="auto"/>
        </w:rPr>
        <w:t>3.1 Consultant will determine the method, details, and means of performing the services specified and required by Arhaus, and shall regularly report to Arhaus management on progress. Arhaus may specify only the results desired from Consultant in regard to the specified Services. Consultant acknowledges, understands, and agrees that Consultant is an independent contractor and not an employee of Arhaus. Arhaus shall have no right to control or direct the details, manner, or means by which Consultant accomplishes the results required by performance of the Services. Consultant shall perform the Services in an honest and professional manner, in accordance with ordinary business practices and with Arhaus' best interests in mind. Consultant shall be solely and entirely responsible for Consultant's acts and/or omissions while engaged in the performance of the Services on behalf of Arhaus. Consultant shall have no right to bind Arhaus or to transact any business on behalf of Arhaus in connection with the Services, unless specifically authorized in writing by Arhaus or otherwise specified in this Agreement. Nothing contained in this Agreement shall be construed as creating an employer/employee relationship between Arhaus and Consultant in relation to his services as an independent, non-employee consultant. The parties acknowledge and agree that Consultant shall receive no benefits from Arhaus for Services to be provided under this Agreement, either as an independent contractor or an employee, except as provided herein.</w:t>
      </w:r>
    </w:p>
    <w:p>
      <w:pPr>
        <w:spacing w:after="0" w:line="198"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ARHAUS' INTELLECTUAL PROPERTY OWNERSHIP</w:t>
      </w:r>
    </w:p>
    <w:p>
      <w:pPr>
        <w:spacing w:after="0" w:line="23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20"/>
          <w:szCs w:val="20"/>
          <w:color w:val="auto"/>
        </w:rPr>
        <w:t>Upon completion of the Services:</w:t>
      </w:r>
    </w:p>
    <w:p>
      <w:pPr>
        <w:spacing w:after="0" w:line="250" w:lineRule="exact"/>
        <w:rPr>
          <w:sz w:val="20"/>
          <w:szCs w:val="20"/>
          <w:color w:val="auto"/>
        </w:rPr>
      </w:pPr>
    </w:p>
    <w:p>
      <w:pPr>
        <w:ind w:left="20" w:right="20" w:hanging="1"/>
        <w:spacing w:after="0" w:line="274" w:lineRule="auto"/>
        <w:tabs>
          <w:tab w:leader="none" w:pos="562" w:val="left"/>
        </w:tabs>
        <w:numPr>
          <w:ilvl w:val="1"/>
          <w:numId w:val="49"/>
        </w:numPr>
        <w:rPr>
          <w:rFonts w:ascii="Arial" w:cs="Arial" w:eastAsia="Arial" w:hAnsi="Arial"/>
          <w:sz w:val="21"/>
          <w:szCs w:val="21"/>
          <w:color w:val="auto"/>
        </w:rPr>
      </w:pPr>
      <w:r>
        <w:rPr>
          <w:rFonts w:ascii="Arial" w:cs="Arial" w:eastAsia="Arial" w:hAnsi="Arial"/>
          <w:sz w:val="21"/>
          <w:szCs w:val="21"/>
          <w:i w:val="1"/>
          <w:iCs w:val="1"/>
          <w:color w:val="auto"/>
        </w:rPr>
        <w:t xml:space="preserve">Work Made for Hire. </w:t>
      </w:r>
      <w:r>
        <w:rPr>
          <w:rFonts w:ascii="Arial" w:cs="Arial" w:eastAsia="Arial" w:hAnsi="Arial"/>
          <w:sz w:val="21"/>
          <w:szCs w:val="21"/>
          <w:color w:val="auto"/>
        </w:rPr>
        <w:t>To the extent that the Services include any work of authorship entitled to protection under</w:t>
      </w:r>
      <w:r>
        <w:rPr>
          <w:rFonts w:ascii="Arial" w:cs="Arial" w:eastAsia="Arial" w:hAnsi="Arial"/>
          <w:sz w:val="21"/>
          <w:szCs w:val="21"/>
          <w:i w:val="1"/>
          <w:iCs w:val="1"/>
          <w:color w:val="auto"/>
        </w:rPr>
        <w:t xml:space="preserve"> </w:t>
      </w:r>
      <w:r>
        <w:rPr>
          <w:rFonts w:ascii="Arial" w:cs="Arial" w:eastAsia="Arial" w:hAnsi="Arial"/>
          <w:sz w:val="21"/>
          <w:szCs w:val="21"/>
          <w:color w:val="auto"/>
        </w:rPr>
        <w:t>U.S. Copyright Law that has been newly created by Consultant for the purposes of this Agreement ("Work Product"), the parties agree that the Work Product has been specially ordered and commissioned by Arhaus for a collective work, a supplementary work or other category of work eligible to be treated as a work made for hire under the United States Copyright Act; the Work Product shall be deemed a commissioned work and a work made for hire to the greatest extent permitted by law; and Arhaus shall be the sole author of the Work Product according to the United States Copyright Act;</w:t>
      </w:r>
    </w:p>
    <w:p>
      <w:pPr>
        <w:spacing w:after="0" w:line="224" w:lineRule="exact"/>
        <w:rPr>
          <w:rFonts w:ascii="Arial" w:cs="Arial" w:eastAsia="Arial" w:hAnsi="Arial"/>
          <w:sz w:val="21"/>
          <w:szCs w:val="21"/>
          <w:color w:val="auto"/>
        </w:rPr>
      </w:pPr>
    </w:p>
    <w:p>
      <w:pPr>
        <w:ind w:firstLine="9"/>
        <w:spacing w:after="0" w:line="264" w:lineRule="auto"/>
        <w:tabs>
          <w:tab w:leader="none" w:pos="536"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 xml:space="preserve">Assignment. </w:t>
      </w:r>
      <w:r>
        <w:rPr>
          <w:rFonts w:ascii="Arial" w:cs="Arial" w:eastAsia="Arial" w:hAnsi="Arial"/>
          <w:sz w:val="21"/>
          <w:szCs w:val="21"/>
          <w:color w:val="auto"/>
        </w:rPr>
        <w:t>To the extent that any Work Product is not properly characterized as a work made for hire,</w:t>
      </w:r>
      <w:r>
        <w:rPr>
          <w:rFonts w:ascii="Arial" w:cs="Arial" w:eastAsia="Arial" w:hAnsi="Arial"/>
          <w:sz w:val="21"/>
          <w:szCs w:val="21"/>
          <w:i w:val="1"/>
          <w:iCs w:val="1"/>
          <w:color w:val="auto"/>
        </w:rPr>
        <w:t xml:space="preserve"> </w:t>
      </w:r>
      <w:r>
        <w:rPr>
          <w:rFonts w:ascii="Arial" w:cs="Arial" w:eastAsia="Arial" w:hAnsi="Arial"/>
          <w:sz w:val="21"/>
          <w:szCs w:val="21"/>
          <w:color w:val="auto"/>
        </w:rPr>
        <w:t>Consultant hereby assigns to Arhaus all rights, title and interest in such Work Product and Services, including but not limited to Copyrights and Patents, in perpetuity and throughout the world;</w:t>
      </w:r>
    </w:p>
    <w:p>
      <w:pPr>
        <w:spacing w:after="0" w:line="215" w:lineRule="exact"/>
        <w:rPr>
          <w:rFonts w:ascii="Arial" w:cs="Arial" w:eastAsia="Arial" w:hAnsi="Arial"/>
          <w:sz w:val="21"/>
          <w:szCs w:val="21"/>
          <w:color w:val="auto"/>
        </w:rPr>
      </w:pPr>
    </w:p>
    <w:p>
      <w:pPr>
        <w:ind w:left="560" w:hanging="555"/>
        <w:spacing w:after="0"/>
        <w:tabs>
          <w:tab w:leader="none" w:pos="560"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 xml:space="preserve">Documentation. </w:t>
      </w:r>
      <w:r>
        <w:rPr>
          <w:rFonts w:ascii="Arial" w:cs="Arial" w:eastAsia="Arial" w:hAnsi="Arial"/>
          <w:sz w:val="21"/>
          <w:szCs w:val="21"/>
          <w:color w:val="auto"/>
        </w:rPr>
        <w:t>Consultant shall deliver to Arhaus all working files, drafts, and materials related to the</w:t>
      </w:r>
    </w:p>
    <w:p>
      <w:pPr>
        <w:spacing w:after="0" w:line="21" w:lineRule="exact"/>
        <w:rPr>
          <w:rFonts w:ascii="Arial" w:cs="Arial" w:eastAsia="Arial" w:hAnsi="Arial"/>
          <w:sz w:val="21"/>
          <w:szCs w:val="21"/>
          <w:color w:val="auto"/>
        </w:rPr>
      </w:pPr>
    </w:p>
    <w:p>
      <w:pPr>
        <w:jc w:val="both"/>
        <w:ind w:right="280"/>
        <w:spacing w:after="0" w:line="260" w:lineRule="auto"/>
        <w:rPr>
          <w:rFonts w:ascii="Arial" w:cs="Arial" w:eastAsia="Arial" w:hAnsi="Arial"/>
          <w:sz w:val="21"/>
          <w:szCs w:val="21"/>
          <w:color w:val="auto"/>
        </w:rPr>
      </w:pPr>
      <w:r>
        <w:rPr>
          <w:rFonts w:ascii="Arial" w:cs="Arial" w:eastAsia="Arial" w:hAnsi="Arial"/>
          <w:sz w:val="21"/>
          <w:szCs w:val="21"/>
          <w:color w:val="auto"/>
        </w:rPr>
        <w:t>Services and Work Product if requested by Arhaus. Consultant shall cooperate with Arhaus and shall execute any additional documents reasonably requested by Arhaus to secure Arhaus' rights in and to the Work Product as set forth</w:t>
      </w:r>
    </w:p>
    <w:p>
      <w:pPr>
        <w:sectPr>
          <w:pgSz w:w="11900" w:h="16838" w:orient="portrait"/>
          <w:cols w:equalWidth="0" w:num="1">
            <w:col w:w="10680"/>
          </w:cols>
          <w:pgMar w:left="420" w:top="1440" w:right="79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21"/>
          <w:szCs w:val="21"/>
          <w:color w:val="auto"/>
        </w:rPr>
        <w:t>herein; and</w:t>
      </w:r>
    </w:p>
    <w:p>
      <w:pPr>
        <w:spacing w:after="0" w:line="245" w:lineRule="exact"/>
        <w:rPr>
          <w:sz w:val="20"/>
          <w:szCs w:val="20"/>
          <w:color w:val="auto"/>
        </w:rPr>
      </w:pPr>
    </w:p>
    <w:p>
      <w:pPr>
        <w:ind w:left="40" w:firstLine="18"/>
        <w:spacing w:after="0" w:line="252" w:lineRule="auto"/>
        <w:tabs>
          <w:tab w:leader="none" w:pos="545" w:val="left"/>
        </w:tabs>
        <w:numPr>
          <w:ilvl w:val="0"/>
          <w:numId w:val="51"/>
        </w:numPr>
        <w:rPr>
          <w:rFonts w:ascii="Arial" w:cs="Arial" w:eastAsia="Arial" w:hAnsi="Arial"/>
          <w:sz w:val="21"/>
          <w:szCs w:val="21"/>
          <w:color w:val="auto"/>
        </w:rPr>
      </w:pPr>
      <w:r>
        <w:rPr>
          <w:rFonts w:ascii="Arial" w:cs="Arial" w:eastAsia="Arial" w:hAnsi="Arial"/>
          <w:sz w:val="21"/>
          <w:szCs w:val="21"/>
          <w:color w:val="auto"/>
        </w:rPr>
        <w:t>Consultant shall have sole responsibility for ensuring that the Services and Work Product do not infringe the rights of third parties, and Consultant shall indemnify, save and hold harmless Arhaus from any and all damages, liabilities, costs, losses or expenses arising out of any claim, demand, or action by a third-party alleging copyright, trademark, or patent infringement, or arising out of Consultant's failure to obtain clearance or permissions, for use of trademarks or patents.</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COMPENSATION</w:t>
      </w:r>
    </w:p>
    <w:p>
      <w:pPr>
        <w:spacing w:after="0" w:line="191" w:lineRule="exact"/>
        <w:rPr>
          <w:sz w:val="20"/>
          <w:szCs w:val="20"/>
          <w:color w:val="auto"/>
        </w:rPr>
      </w:pPr>
    </w:p>
    <w:p>
      <w:pPr>
        <w:ind w:left="360" w:right="100" w:hanging="306"/>
        <w:spacing w:after="0" w:line="253" w:lineRule="auto"/>
        <w:tabs>
          <w:tab w:leader="none" w:pos="340" w:val="left"/>
        </w:tabs>
        <w:rPr>
          <w:sz w:val="20"/>
          <w:szCs w:val="20"/>
          <w:color w:val="auto"/>
        </w:rPr>
      </w:pPr>
      <w:r>
        <w:rPr>
          <w:rFonts w:ascii="Arial" w:cs="Arial" w:eastAsia="Arial" w:hAnsi="Arial"/>
          <w:sz w:val="21"/>
          <w:szCs w:val="21"/>
          <w:color w:val="auto"/>
        </w:rPr>
        <w:t>5.1</w:t>
        <w:tab/>
        <w:t>Design Fee: Consultant's fees for the Services will be $9,000 per week (prorated when appropriate for a partial weeks), plus reasonable out-of-pocket expenses including, without limitation, mileage, travel, and such other business-related expenses as are typically reimbursed to senior executives of the Company. In no event shall Consultant's fee for the Services provided hereunder exceed $119,999.00 or otherwise disqualify the Consultant as an Independent Director under NASDAQ rules. Should Consultant's total fees reach $119,999.00, this Agreement shall immediately terminate.</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TERMINATION OF AGREEMENT</w:t>
      </w:r>
    </w:p>
    <w:p>
      <w:pPr>
        <w:spacing w:after="0" w:line="245" w:lineRule="exact"/>
        <w:rPr>
          <w:sz w:val="20"/>
          <w:szCs w:val="20"/>
          <w:color w:val="auto"/>
        </w:rPr>
      </w:pPr>
    </w:p>
    <w:p>
      <w:pPr>
        <w:ind w:left="20" w:right="140" w:firstLine="4"/>
        <w:spacing w:after="0" w:line="286" w:lineRule="auto"/>
        <w:rPr>
          <w:sz w:val="20"/>
          <w:szCs w:val="20"/>
          <w:color w:val="auto"/>
        </w:rPr>
      </w:pPr>
      <w:r>
        <w:rPr>
          <w:rFonts w:ascii="Arial" w:cs="Arial" w:eastAsia="Arial" w:hAnsi="Arial"/>
          <w:sz w:val="21"/>
          <w:szCs w:val="21"/>
          <w:color w:val="auto"/>
        </w:rPr>
        <w:t>6.1 Notwithstanding any other provision of this Agreement, either party may terminate this Agreement at any time by giving thirty (30) days' written notice to the other party.</w:t>
      </w:r>
    </w:p>
    <w:p>
      <w:pPr>
        <w:spacing w:after="0" w:line="194"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20"/>
          <w:szCs w:val="20"/>
          <w:color w:val="auto"/>
        </w:rPr>
        <w:t>This Agreement shall terminate automatically on the occurrence of any of the following events:</w:t>
      </w:r>
    </w:p>
    <w:p>
      <w:pPr>
        <w:ind w:left="1940" w:hanging="628"/>
        <w:spacing w:after="0" w:line="222" w:lineRule="auto"/>
        <w:tabs>
          <w:tab w:leader="none" w:pos="1940" w:val="left"/>
        </w:tabs>
        <w:numPr>
          <w:ilvl w:val="1"/>
          <w:numId w:val="52"/>
        </w:numPr>
        <w:rPr>
          <w:rFonts w:ascii="Arial" w:cs="Arial" w:eastAsia="Arial" w:hAnsi="Arial"/>
          <w:sz w:val="20"/>
          <w:szCs w:val="20"/>
          <w:color w:val="auto"/>
        </w:rPr>
      </w:pPr>
      <w:r>
        <w:rPr>
          <w:rFonts w:ascii="Arial" w:cs="Arial" w:eastAsia="Arial" w:hAnsi="Arial"/>
          <w:sz w:val="21"/>
          <w:szCs w:val="21"/>
          <w:color w:val="auto"/>
        </w:rPr>
        <w:t>Fee limit referenced in section 5.1;</w:t>
      </w:r>
    </w:p>
    <w:p>
      <w:pPr>
        <w:ind w:left="1940" w:hanging="634"/>
        <w:spacing w:after="0"/>
        <w:tabs>
          <w:tab w:leader="none" w:pos="19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Bankruptcy or insolvency of either party;</w:t>
      </w:r>
    </w:p>
    <w:p>
      <w:pPr>
        <w:spacing w:after="0" w:line="205" w:lineRule="exact"/>
        <w:rPr>
          <w:rFonts w:ascii="Arial" w:cs="Arial" w:eastAsia="Arial" w:hAnsi="Arial"/>
          <w:sz w:val="21"/>
          <w:szCs w:val="21"/>
          <w:color w:val="auto"/>
        </w:rPr>
      </w:pPr>
    </w:p>
    <w:p>
      <w:pPr>
        <w:ind w:left="1940" w:hanging="633"/>
        <w:spacing w:after="0"/>
        <w:tabs>
          <w:tab w:leader="none" w:pos="19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Death of Consultant;</w:t>
      </w:r>
    </w:p>
    <w:p>
      <w:pPr>
        <w:ind w:left="1920" w:hanging="621"/>
        <w:spacing w:after="0" w:line="214" w:lineRule="auto"/>
        <w:tabs>
          <w:tab w:leader="none" w:pos="1920" w:val="left"/>
        </w:tabs>
        <w:numPr>
          <w:ilvl w:val="1"/>
          <w:numId w:val="52"/>
        </w:numPr>
        <w:rPr>
          <w:rFonts w:ascii="Arial" w:cs="Arial" w:eastAsia="Arial" w:hAnsi="Arial"/>
          <w:sz w:val="21"/>
          <w:szCs w:val="21"/>
          <w:color w:val="auto"/>
        </w:rPr>
      </w:pPr>
      <w:r>
        <w:rPr>
          <w:rFonts w:ascii="Arial" w:cs="Arial" w:eastAsia="Arial" w:hAnsi="Arial"/>
          <w:sz w:val="21"/>
          <w:szCs w:val="21"/>
          <w:color w:val="auto"/>
        </w:rPr>
        <w:t>Assignment of this Agreement by Consultant;</w:t>
      </w:r>
    </w:p>
    <w:p>
      <w:pPr>
        <w:ind w:left="1940" w:hanging="642"/>
        <w:spacing w:after="0" w:line="228" w:lineRule="auto"/>
        <w:tabs>
          <w:tab w:leader="none" w:pos="19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Consultant's disregard for Arhaus policies and procedures; or</w:t>
      </w:r>
    </w:p>
    <w:p>
      <w:pPr>
        <w:ind w:left="1940" w:hanging="644"/>
        <w:spacing w:after="0"/>
        <w:tabs>
          <w:tab w:leader="none" w:pos="19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Consultant's default as outlined in Section 8.2.</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CONFIDENTIALITY</w:t>
      </w:r>
    </w:p>
    <w:p>
      <w:pPr>
        <w:spacing w:after="0" w:line="204" w:lineRule="exact"/>
        <w:rPr>
          <w:sz w:val="20"/>
          <w:szCs w:val="20"/>
          <w:color w:val="auto"/>
        </w:rPr>
      </w:pPr>
    </w:p>
    <w:p>
      <w:pPr>
        <w:ind w:right="40" w:firstLine="6"/>
        <w:spacing w:after="0" w:line="257" w:lineRule="auto"/>
        <w:rPr>
          <w:sz w:val="20"/>
          <w:szCs w:val="20"/>
          <w:color w:val="auto"/>
        </w:rPr>
      </w:pPr>
      <w:r>
        <w:rPr>
          <w:rFonts w:ascii="Arial" w:cs="Arial" w:eastAsia="Arial" w:hAnsi="Arial"/>
          <w:sz w:val="21"/>
          <w:szCs w:val="21"/>
          <w:color w:val="auto"/>
        </w:rPr>
        <w:t>7.1 During the term of this Agreement, Consultant will have access to and become familiar with various trade secrets, confidential information, or proprietary information, consisting of financial data, compilations of information, services, plans, records, customer lists, marketing and merchandising strategies, and confidential information and data that are owned by or have been acquired by Arhaus in the ordinary course of its business and that are regularly used in the business of the Arhaus. Consultant shall not disclose any of these trade secrets, confidential information, or proprietary information, directly or indirectly, or use them in any way, either during the term of this Agreement or at any later time, except as required as in the course of performing the Services under this</w:t>
      </w:r>
    </w:p>
    <w:p>
      <w:pPr>
        <w:sectPr>
          <w:pgSz w:w="11900" w:h="16838" w:orient="portrait"/>
          <w:cols w:equalWidth="0" w:num="1">
            <w:col w:w="10960"/>
          </w:cols>
          <w:pgMar w:left="420" w:top="1440" w:right="519" w:bottom="1440" w:gutter="0" w:footer="0" w:header="0"/>
        </w:sectPr>
      </w:pPr>
    </w:p>
    <w:bookmarkStart w:id="114" w:name="page115"/>
    <w:bookmarkEnd w:id="114"/>
    <w:p>
      <w:pPr>
        <w:ind w:left="20"/>
        <w:spacing w:after="0" w:line="256" w:lineRule="auto"/>
        <w:rPr>
          <w:sz w:val="20"/>
          <w:szCs w:val="20"/>
          <w:color w:val="auto"/>
        </w:rPr>
      </w:pPr>
      <w:r>
        <w:rPr>
          <w:rFonts w:ascii="Arial" w:cs="Arial" w:eastAsia="Arial" w:hAnsi="Arial"/>
          <w:sz w:val="21"/>
          <w:szCs w:val="21"/>
          <w:color w:val="auto"/>
        </w:rPr>
        <w:t>Agreement or otherwise consistent with Consultant's relationship with Arhaus. All files, records, documents, equipment, and similar items relating to the business of Arhaus, whether prepared by Arhaus or otherwise coming into Consultant's possession, shall remain the exclusive property of Arhaus. Consultant understands and acknowledges that all of the foregoing information is the property of Arhaus.</w:t>
      </w:r>
    </w:p>
    <w:p>
      <w:pPr>
        <w:spacing w:after="0" w:line="279" w:lineRule="exact"/>
        <w:rPr>
          <w:sz w:val="20"/>
          <w:szCs w:val="20"/>
          <w:color w:val="auto"/>
        </w:rPr>
      </w:pPr>
    </w:p>
    <w:p>
      <w:pPr>
        <w:ind w:left="20" w:right="380" w:firstLine="9"/>
        <w:spacing w:after="0" w:line="273" w:lineRule="auto"/>
        <w:rPr>
          <w:sz w:val="20"/>
          <w:szCs w:val="20"/>
          <w:color w:val="auto"/>
        </w:rPr>
      </w:pPr>
      <w:r>
        <w:rPr>
          <w:rFonts w:ascii="Arial" w:cs="Arial" w:eastAsia="Arial" w:hAnsi="Arial"/>
          <w:sz w:val="20"/>
          <w:szCs w:val="20"/>
          <w:color w:val="auto"/>
        </w:rPr>
        <w:t>7.2 Upon termination of this Agreement, Consultant shall return all Work Product, whether produced by Consultant or employees of Arhaus, and documents, services, data, and information of every kind provided to Consultant in connection with the Services, regardless of the media upon which it is stored, in his possession or control. Consultant acknowledges that all of the foregoing information is the property of Arhaus.</w:t>
      </w:r>
    </w:p>
    <w:p>
      <w:pPr>
        <w:spacing w:after="0" w:line="196" w:lineRule="exact"/>
        <w:rPr>
          <w:sz w:val="20"/>
          <w:szCs w:val="20"/>
          <w:color w:val="auto"/>
        </w:rPr>
      </w:pPr>
    </w:p>
    <w:p>
      <w:pPr>
        <w:ind w:left="20" w:right="460" w:firstLine="8"/>
        <w:spacing w:after="0" w:line="252" w:lineRule="auto"/>
        <w:rPr>
          <w:sz w:val="20"/>
          <w:szCs w:val="20"/>
          <w:color w:val="auto"/>
        </w:rPr>
      </w:pPr>
      <w:r>
        <w:rPr>
          <w:rFonts w:ascii="Arial" w:cs="Arial" w:eastAsia="Arial" w:hAnsi="Arial"/>
          <w:sz w:val="21"/>
          <w:szCs w:val="21"/>
          <w:color w:val="auto"/>
        </w:rPr>
        <w:t>7.3 During the term of this Agreement, Consultant shall not, while using the Company's trade secrets or confidential information, compete directly or indirectly, either as an employee, employer, consultant, agent, principal, partner, stockholder, corporate officer, Director, or in any other individual or representative capacity, nor engage or</w:t>
      </w:r>
    </w:p>
    <w:p>
      <w:pPr>
        <w:spacing w:after="0" w:line="2" w:lineRule="exact"/>
        <w:rPr>
          <w:sz w:val="20"/>
          <w:szCs w:val="20"/>
          <w:color w:val="auto"/>
        </w:rPr>
      </w:pPr>
    </w:p>
    <w:p>
      <w:pPr>
        <w:ind w:left="20" w:right="440" w:hanging="4"/>
        <w:spacing w:after="0" w:line="216" w:lineRule="auto"/>
        <w:rPr>
          <w:sz w:val="20"/>
          <w:szCs w:val="20"/>
          <w:color w:val="auto"/>
        </w:rPr>
      </w:pPr>
      <w:r>
        <w:rPr>
          <w:rFonts w:ascii="Arial" w:cs="Arial" w:eastAsia="Arial" w:hAnsi="Arial"/>
          <w:sz w:val="21"/>
          <w:szCs w:val="21"/>
          <w:color w:val="auto"/>
        </w:rPr>
        <w:t>participate in any business that is in direct competition with the business of Arhaus by using such confidential information. During the term of this Agreement, and for a period of</w:t>
      </w:r>
    </w:p>
    <w:p>
      <w:pPr>
        <w:spacing w:after="0" w:line="1" w:lineRule="exact"/>
        <w:rPr>
          <w:sz w:val="20"/>
          <w:szCs w:val="20"/>
          <w:color w:val="auto"/>
        </w:rPr>
      </w:pPr>
    </w:p>
    <w:p>
      <w:pPr>
        <w:ind w:left="20" w:right="280" w:firstLine="9"/>
        <w:spacing w:after="0" w:line="254" w:lineRule="auto"/>
        <w:rPr>
          <w:sz w:val="20"/>
          <w:szCs w:val="20"/>
          <w:color w:val="auto"/>
        </w:rPr>
      </w:pPr>
      <w:r>
        <w:rPr>
          <w:rFonts w:ascii="Arial" w:cs="Arial" w:eastAsia="Arial" w:hAnsi="Arial"/>
          <w:sz w:val="21"/>
          <w:szCs w:val="21"/>
          <w:color w:val="auto"/>
        </w:rPr>
        <w:t>one (1) year after termination of this Agreement, Consultant shall not, directly or indirectly, solicit or recruit for employment any employee of Arhaus, whether the employee is employed on the date of this Agreement or any time during the term of this Agreement.</w:t>
      </w:r>
    </w:p>
    <w:p>
      <w:pPr>
        <w:spacing w:after="0" w:line="199" w:lineRule="exact"/>
        <w:rPr>
          <w:sz w:val="20"/>
          <w:szCs w:val="20"/>
          <w:color w:val="auto"/>
        </w:rPr>
      </w:pPr>
    </w:p>
    <w:p>
      <w:pPr>
        <w:jc w:val="center"/>
        <w:ind w:right="280"/>
        <w:spacing w:after="0"/>
        <w:rPr>
          <w:sz w:val="20"/>
          <w:szCs w:val="20"/>
          <w:color w:val="auto"/>
        </w:rPr>
      </w:pPr>
      <w:r>
        <w:rPr>
          <w:rFonts w:ascii="Arial" w:cs="Arial" w:eastAsia="Arial" w:hAnsi="Arial"/>
          <w:sz w:val="21"/>
          <w:szCs w:val="21"/>
          <w:color w:val="auto"/>
        </w:rPr>
        <w:t>GENERAL PROVISIONS</w:t>
      </w:r>
    </w:p>
    <w:p>
      <w:pPr>
        <w:spacing w:after="0" w:line="245" w:lineRule="exact"/>
        <w:rPr>
          <w:sz w:val="20"/>
          <w:szCs w:val="20"/>
          <w:color w:val="auto"/>
        </w:rPr>
      </w:pPr>
    </w:p>
    <w:p>
      <w:pPr>
        <w:ind w:left="20" w:right="560" w:firstLine="6"/>
        <w:spacing w:after="0" w:line="264" w:lineRule="auto"/>
        <w:rPr>
          <w:sz w:val="20"/>
          <w:szCs w:val="20"/>
          <w:color w:val="auto"/>
        </w:rPr>
      </w:pPr>
      <w:r>
        <w:rPr>
          <w:rFonts w:ascii="Arial" w:cs="Arial" w:eastAsia="Arial" w:hAnsi="Arial"/>
          <w:sz w:val="21"/>
          <w:szCs w:val="21"/>
          <w:color w:val="auto"/>
        </w:rPr>
        <w:t>8.1 Consultant agrees to comply with Arhaus' company policies and procedures while completing the Services for Arhaus. Consultant further agrees that if he deviates from said policies and procedures, Arhaus may immediately terminate this Agreement.</w:t>
      </w:r>
    </w:p>
    <w:p>
      <w:pPr>
        <w:spacing w:after="0" w:line="202" w:lineRule="exact"/>
        <w:rPr>
          <w:sz w:val="20"/>
          <w:szCs w:val="20"/>
          <w:color w:val="auto"/>
        </w:rPr>
      </w:pPr>
    </w:p>
    <w:p>
      <w:pPr>
        <w:ind w:right="760" w:firstLine="4"/>
        <w:spacing w:after="0" w:line="312" w:lineRule="auto"/>
        <w:rPr>
          <w:sz w:val="20"/>
          <w:szCs w:val="20"/>
          <w:color w:val="auto"/>
        </w:rPr>
      </w:pPr>
      <w:r>
        <w:rPr>
          <w:rFonts w:ascii="Arial" w:cs="Arial" w:eastAsia="Arial" w:hAnsi="Arial"/>
          <w:sz w:val="20"/>
          <w:szCs w:val="20"/>
          <w:color w:val="auto"/>
        </w:rPr>
        <w:t>8.2 If Consultant defaults in the performance of his duties as required under this Agreement or materially breaches any of its provisions, Arhaus at its option, may immediately terminate this Agreement.</w:t>
      </w:r>
    </w:p>
    <w:p>
      <w:pPr>
        <w:spacing w:after="0" w:line="158" w:lineRule="exact"/>
        <w:rPr>
          <w:sz w:val="20"/>
          <w:szCs w:val="20"/>
          <w:color w:val="auto"/>
        </w:rPr>
      </w:pPr>
    </w:p>
    <w:p>
      <w:pPr>
        <w:ind w:right="260" w:firstLine="10"/>
        <w:spacing w:after="0" w:line="255" w:lineRule="auto"/>
        <w:rPr>
          <w:sz w:val="20"/>
          <w:szCs w:val="20"/>
          <w:color w:val="auto"/>
        </w:rPr>
      </w:pPr>
      <w:r>
        <w:rPr>
          <w:rFonts w:ascii="Arial" w:cs="Arial" w:eastAsia="Arial" w:hAnsi="Arial"/>
          <w:sz w:val="21"/>
          <w:szCs w:val="21"/>
          <w:color w:val="auto"/>
        </w:rPr>
        <w:t>8.3 This Agreement supersedes any and all agreements, oral and written, between the parties with respect to the rendering of the Services by Consultant for Arhaus, and contains all of the covenants and agreements between the parties with respect to the Services, creation of Work Product, and the rendering of the Services in any manner whatsoever. Each party acknowledges that no representations, inducements, promises, or agreements, whether written or oral, have been made by either party, or by anyone acting on behalf of either party, that are not embodied in this Agreement. Each party further acknowledges that the Board of Directors of Arhaus, Inc. may modify the provisions of this Agreement as necessary in order for Consultant to remain an Independent Director under NASDAQ rules.</w:t>
      </w:r>
    </w:p>
    <w:p>
      <w:pPr>
        <w:spacing w:after="0" w:line="215" w:lineRule="exact"/>
        <w:rPr>
          <w:sz w:val="20"/>
          <w:szCs w:val="20"/>
          <w:color w:val="auto"/>
        </w:rPr>
      </w:pPr>
    </w:p>
    <w:p>
      <w:pPr>
        <w:jc w:val="both"/>
        <w:ind w:right="160" w:firstLine="9"/>
        <w:spacing w:after="0" w:line="264" w:lineRule="auto"/>
        <w:rPr>
          <w:sz w:val="20"/>
          <w:szCs w:val="20"/>
          <w:color w:val="auto"/>
        </w:rPr>
      </w:pPr>
      <w:r>
        <w:rPr>
          <w:rFonts w:ascii="Arial" w:cs="Arial" w:eastAsia="Arial" w:hAnsi="Arial"/>
          <w:sz w:val="21"/>
          <w:szCs w:val="21"/>
          <w:color w:val="auto"/>
        </w:rPr>
        <w:t>8.4 If any provision in this Agreement is held by a court of competent jurisdiction to be invalid, void, or unenforceable, the remaining provisions will continue in full force without being impaired or invalidated in any way.</w:t>
      </w:r>
    </w:p>
    <w:p>
      <w:pPr>
        <w:sectPr>
          <w:pgSz w:w="11900" w:h="16838" w:orient="portrait"/>
          <w:cols w:equalWidth="0" w:num="1">
            <w:col w:w="10420"/>
          </w:cols>
          <w:pgMar w:left="880" w:top="1336" w:right="599" w:bottom="1440" w:gutter="0" w:footer="0" w:header="0"/>
        </w:sectPr>
      </w:pPr>
    </w:p>
    <w:bookmarkStart w:id="115" w:name="page116"/>
    <w:bookmarkEnd w:id="115"/>
    <w:p>
      <w:pPr>
        <w:spacing w:after="0" w:line="73" w:lineRule="exact"/>
        <w:rPr>
          <w:sz w:val="20"/>
          <w:szCs w:val="20"/>
          <w:color w:val="auto"/>
        </w:rPr>
      </w:pPr>
    </w:p>
    <w:p>
      <w:pPr>
        <w:ind w:left="120" w:right="200" w:firstLine="18"/>
        <w:spacing w:after="0" w:line="242" w:lineRule="auto"/>
        <w:rPr>
          <w:sz w:val="20"/>
          <w:szCs w:val="20"/>
          <w:color w:val="auto"/>
        </w:rPr>
      </w:pPr>
      <w:r>
        <w:rPr>
          <w:rFonts w:ascii="Arial" w:cs="Arial" w:eastAsia="Arial" w:hAnsi="Arial"/>
          <w:sz w:val="22"/>
          <w:szCs w:val="22"/>
          <w:color w:val="auto"/>
        </w:rPr>
        <w:t xml:space="preserve">Work Product, and the rendering of the Services in any manner whatsoever. Each party </w:t>
      </w:r>
      <w:r>
        <w:rPr>
          <w:rFonts w:ascii="Arial" w:cs="Arial" w:eastAsia="Arial" w:hAnsi="Arial"/>
          <w:sz w:val="23"/>
          <w:szCs w:val="23"/>
          <w:color w:val="auto"/>
        </w:rPr>
        <w:t>acknowledges that no</w:t>
      </w:r>
      <w:r>
        <w:rPr>
          <w:rFonts w:ascii="Arial" w:cs="Arial" w:eastAsia="Arial" w:hAnsi="Arial"/>
          <w:sz w:val="22"/>
          <w:szCs w:val="22"/>
          <w:color w:val="auto"/>
        </w:rPr>
        <w:t xml:space="preserve"> </w:t>
      </w:r>
      <w:r>
        <w:rPr>
          <w:rFonts w:ascii="Arial" w:cs="Arial" w:eastAsia="Arial" w:hAnsi="Arial"/>
          <w:sz w:val="23"/>
          <w:szCs w:val="23"/>
          <w:color w:val="auto"/>
        </w:rPr>
        <w:t xml:space="preserve">representations, inducements, promises, or agreements, whether written </w:t>
      </w:r>
      <w:r>
        <w:rPr>
          <w:rFonts w:ascii="Arial" w:cs="Arial" w:eastAsia="Arial" w:hAnsi="Arial"/>
          <w:sz w:val="21"/>
          <w:szCs w:val="21"/>
          <w:color w:val="auto"/>
        </w:rPr>
        <w:t>or oral, have been made by either</w:t>
      </w:r>
      <w:r>
        <w:rPr>
          <w:rFonts w:ascii="Arial" w:cs="Arial" w:eastAsia="Arial" w:hAnsi="Arial"/>
          <w:sz w:val="23"/>
          <w:szCs w:val="23"/>
          <w:color w:val="auto"/>
        </w:rPr>
        <w:t xml:space="preserve"> </w:t>
      </w:r>
      <w:r>
        <w:rPr>
          <w:rFonts w:ascii="Arial" w:cs="Arial" w:eastAsia="Arial" w:hAnsi="Arial"/>
          <w:sz w:val="21"/>
          <w:szCs w:val="21"/>
          <w:color w:val="auto"/>
        </w:rPr>
        <w:t>party, or by anyone acting on behalf of either party, that are not embodied in this Agreement. Each party further acknowledges that the Board of Directors of Arhaus, Inc. may modify the provisions of this Agreement as necessary in order for Consultant to remain an Independent Director under NASDAQ rules.</w:t>
      </w:r>
    </w:p>
    <w:p>
      <w:pPr>
        <w:spacing w:after="0" w:line="198" w:lineRule="exact"/>
        <w:rPr>
          <w:sz w:val="20"/>
          <w:szCs w:val="20"/>
          <w:color w:val="auto"/>
        </w:rPr>
      </w:pPr>
    </w:p>
    <w:p>
      <w:pPr>
        <w:jc w:val="both"/>
        <w:ind w:left="120" w:hanging="2"/>
        <w:spacing w:after="0" w:line="272" w:lineRule="auto"/>
        <w:rPr>
          <w:sz w:val="20"/>
          <w:szCs w:val="20"/>
          <w:color w:val="auto"/>
        </w:rPr>
      </w:pPr>
      <w:r>
        <w:rPr>
          <w:rFonts w:ascii="Arial" w:cs="Arial" w:eastAsia="Arial" w:hAnsi="Arial"/>
          <w:sz w:val="23"/>
          <w:szCs w:val="23"/>
          <w:color w:val="auto"/>
        </w:rPr>
        <w:t>8.4</w:t>
      </w:r>
      <w:r>
        <w:rPr>
          <w:sz w:val="20"/>
          <w:szCs w:val="20"/>
          <w:color w:val="auto"/>
        </w:rPr>
        <w:t xml:space="preserve"> </w:t>
      </w:r>
      <w:r>
        <w:rPr>
          <w:rFonts w:ascii="Arial" w:cs="Arial" w:eastAsia="Arial" w:hAnsi="Arial"/>
          <w:sz w:val="22"/>
          <w:szCs w:val="22"/>
          <w:color w:val="auto"/>
        </w:rPr>
        <w:t xml:space="preserve">If any provision in this Agreement is held </w:t>
      </w:r>
      <w:r>
        <w:rPr>
          <w:rFonts w:ascii="Arial" w:cs="Arial" w:eastAsia="Arial" w:hAnsi="Arial"/>
          <w:sz w:val="23"/>
          <w:szCs w:val="23"/>
          <w:color w:val="auto"/>
        </w:rPr>
        <w:t>by</w:t>
      </w:r>
      <w:r>
        <w:rPr>
          <w:rFonts w:ascii="Arial" w:cs="Arial" w:eastAsia="Arial" w:hAnsi="Arial"/>
          <w:sz w:val="22"/>
          <w:szCs w:val="22"/>
          <w:color w:val="auto"/>
        </w:rPr>
        <w:t xml:space="preserve"> a court of competent jurisdiction to be invalid</w:t>
      </w:r>
      <w:r>
        <w:rPr>
          <w:rFonts w:ascii="Times New Roman" w:cs="Times New Roman" w:eastAsia="Times New Roman" w:hAnsi="Times New Roman"/>
          <w:sz w:val="8"/>
          <w:szCs w:val="8"/>
          <w:color w:val="auto"/>
        </w:rPr>
        <w:t>1</w:t>
      </w:r>
      <w:r>
        <w:rPr>
          <w:rFonts w:ascii="Arial" w:cs="Arial" w:eastAsia="Arial" w:hAnsi="Arial"/>
          <w:sz w:val="22"/>
          <w:szCs w:val="22"/>
          <w:color w:val="auto"/>
        </w:rPr>
        <w:t xml:space="preserve"> void, or unenforceable, the remaining provisions </w:t>
      </w:r>
      <w:r>
        <w:rPr>
          <w:rFonts w:ascii="Arial" w:cs="Arial" w:eastAsia="Arial" w:hAnsi="Arial"/>
          <w:sz w:val="23"/>
          <w:szCs w:val="23"/>
          <w:color w:val="auto"/>
        </w:rPr>
        <w:t>will</w:t>
      </w:r>
      <w:r>
        <w:rPr>
          <w:rFonts w:ascii="Arial" w:cs="Arial" w:eastAsia="Arial" w:hAnsi="Arial"/>
          <w:sz w:val="22"/>
          <w:szCs w:val="22"/>
          <w:color w:val="auto"/>
        </w:rPr>
        <w:t xml:space="preserve"> continue in </w:t>
      </w:r>
      <w:r>
        <w:rPr>
          <w:rFonts w:ascii="Arial" w:cs="Arial" w:eastAsia="Arial" w:hAnsi="Arial"/>
          <w:sz w:val="23"/>
          <w:szCs w:val="23"/>
          <w:color w:val="auto"/>
        </w:rPr>
        <w:t>full</w:t>
      </w:r>
      <w:r>
        <w:rPr>
          <w:rFonts w:ascii="Arial" w:cs="Arial" w:eastAsia="Arial" w:hAnsi="Arial"/>
          <w:sz w:val="22"/>
          <w:szCs w:val="22"/>
          <w:color w:val="auto"/>
        </w:rPr>
        <w:t xml:space="preserve"> force without being impaired or invalidated </w:t>
      </w:r>
      <w:r>
        <w:rPr>
          <w:rFonts w:ascii="Arial" w:cs="Arial" w:eastAsia="Arial" w:hAnsi="Arial"/>
          <w:sz w:val="23"/>
          <w:szCs w:val="23"/>
          <w:color w:val="auto"/>
        </w:rPr>
        <w:t>in any</w:t>
      </w:r>
      <w:r>
        <w:rPr>
          <w:rFonts w:ascii="Arial" w:cs="Arial" w:eastAsia="Arial" w:hAnsi="Arial"/>
          <w:sz w:val="22"/>
          <w:szCs w:val="22"/>
          <w:color w:val="auto"/>
        </w:rPr>
        <w:t xml:space="preserve"> way.</w:t>
      </w:r>
    </w:p>
    <w:p>
      <w:pPr>
        <w:spacing w:after="0" w:line="175" w:lineRule="exact"/>
        <w:rPr>
          <w:sz w:val="20"/>
          <w:szCs w:val="20"/>
          <w:color w:val="auto"/>
        </w:rPr>
      </w:pPr>
    </w:p>
    <w:p>
      <w:pPr>
        <w:ind w:left="120" w:right="300" w:firstLine="7"/>
        <w:spacing w:after="0" w:line="236" w:lineRule="auto"/>
        <w:rPr>
          <w:sz w:val="20"/>
          <w:szCs w:val="20"/>
          <w:color w:val="auto"/>
        </w:rPr>
      </w:pPr>
      <w:r>
        <w:rPr>
          <w:rFonts w:ascii="Arial" w:cs="Arial" w:eastAsia="Arial" w:hAnsi="Arial"/>
          <w:sz w:val="22"/>
          <w:szCs w:val="22"/>
          <w:color w:val="auto"/>
        </w:rPr>
        <w:t>8.5 Notwithstanding indemnifications required elsewhere in this Agreement, Consultant will indemnify and hold Arhaus free and harmless from any obligations, costs, claims, judgments, and attorneys' fees, and attachments arising from, growing out of, or in any way connected with Consultant's provision of Services under this Agreement.</w:t>
      </w:r>
    </w:p>
    <w:p>
      <w:pPr>
        <w:spacing w:after="0" w:line="220" w:lineRule="exact"/>
        <w:rPr>
          <w:sz w:val="20"/>
          <w:szCs w:val="20"/>
          <w:color w:val="auto"/>
        </w:rPr>
      </w:pPr>
    </w:p>
    <w:p>
      <w:pPr>
        <w:ind w:left="100" w:right="20" w:firstLine="5"/>
        <w:spacing w:after="0" w:line="234" w:lineRule="auto"/>
        <w:rPr>
          <w:sz w:val="20"/>
          <w:szCs w:val="20"/>
          <w:color w:val="auto"/>
        </w:rPr>
      </w:pPr>
      <w:r>
        <w:rPr>
          <w:rFonts w:ascii="Arial" w:cs="Arial" w:eastAsia="Arial" w:hAnsi="Arial"/>
          <w:sz w:val="22"/>
          <w:szCs w:val="22"/>
          <w:color w:val="auto"/>
        </w:rPr>
        <w:t>8.6 Any notices to be given under this Agreement by either party to the other may be effected either by personal delivery in writing, email, overnight mail {FedEx. UPS, DHL) or by registered or certified mail, with postage prepaid and with return receipt requested. Mailed notices shall be addressed to the parties at the addresses appearing in the introductory paragraph of this Agreement. However, each party may change the address for receipt of notice by giving written notice in accordance with this paragraph. Notices delivered personally will be deemed communicated at the time of delivery and email notices will be deemed communicated upon recipient's receipt. Mailed notices will be deemed communicated three (3) days after mailing.</w:t>
      </w:r>
    </w:p>
    <w:p>
      <w:pPr>
        <w:spacing w:after="0" w:line="20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1"/>
          <w:szCs w:val="21"/>
          <w:color w:val="auto"/>
        </w:rPr>
        <w:t>Neither this Agreement, nor any duties or obligations under it, may be assigned by Consultant.</w:t>
      </w:r>
    </w:p>
    <w:p>
      <w:pPr>
        <w:spacing w:after="0" w:line="206" w:lineRule="exact"/>
        <w:rPr>
          <w:sz w:val="20"/>
          <w:szCs w:val="20"/>
          <w:color w:val="auto"/>
        </w:rPr>
      </w:pPr>
    </w:p>
    <w:p>
      <w:pPr>
        <w:ind w:left="100" w:right="100" w:firstLine="5"/>
        <w:spacing w:after="0" w:line="238" w:lineRule="auto"/>
        <w:rPr>
          <w:sz w:val="20"/>
          <w:szCs w:val="20"/>
          <w:color w:val="auto"/>
        </w:rPr>
      </w:pPr>
      <w:r>
        <w:rPr>
          <w:rFonts w:ascii="Arial" w:cs="Arial" w:eastAsia="Arial" w:hAnsi="Arial"/>
          <w:sz w:val="22"/>
          <w:szCs w:val="22"/>
          <w:color w:val="auto"/>
        </w:rPr>
        <w:t>8.8 This Agreement will be governed by and construed in accordance with the laws of the State of Ohio. While the parties do not contemplate any future disputes, Consultant agrees that any action or claim regarding this Agreement or otherwise brought against Arhaus by or on behalf of Consultant, Consultant's agents, assigns, heirs, administrators, or executors shall be brought in Cleveland, Ohio. By signing this Agreement, Consultant expressly consents to personal jurisdiction in Ohio. Both parties waive the right to a jury trial.</w:t>
      </w:r>
    </w:p>
    <w:p>
      <w:pPr>
        <w:spacing w:after="0" w:line="244" w:lineRule="exact"/>
        <w:rPr>
          <w:sz w:val="20"/>
          <w:szCs w:val="20"/>
          <w:color w:val="auto"/>
        </w:rPr>
      </w:pPr>
    </w:p>
    <w:p>
      <w:pPr>
        <w:ind w:left="100" w:right="340" w:firstLine="641"/>
        <w:spacing w:after="0" w:line="272" w:lineRule="auto"/>
        <w:rPr>
          <w:sz w:val="20"/>
          <w:szCs w:val="20"/>
          <w:color w:val="auto"/>
        </w:rPr>
      </w:pPr>
      <w:r>
        <w:rPr>
          <w:rFonts w:ascii="Arial" w:cs="Arial" w:eastAsia="Arial" w:hAnsi="Arial"/>
          <w:sz w:val="22"/>
          <w:szCs w:val="22"/>
          <w:color w:val="auto"/>
        </w:rPr>
        <w:t>IN WITNESS WHEREOF, the parties, intending to be legally bound have executed this Agreement on the day and year first above set forth.</w:t>
      </w:r>
    </w:p>
    <w:p>
      <w:pPr>
        <w:sectPr>
          <w:pgSz w:w="11900" w:h="16838" w:orient="portrait"/>
          <w:cols w:equalWidth="0" w:num="1">
            <w:col w:w="11120"/>
          </w:cols>
          <w:pgMar w:left="320" w:top="1440" w:right="45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color w:val="auto"/>
        </w:rPr>
        <w:t>Arhaus,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146050</wp:posOffset>
            </wp:positionV>
            <wp:extent cx="1183005" cy="5829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118300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CONSULTANT - Gary Lewis</w:t>
      </w:r>
    </w:p>
    <w:p>
      <w:pPr>
        <w:ind w:left="1900"/>
        <w:spacing w:after="0"/>
        <w:rPr>
          <w:sz w:val="20"/>
          <w:szCs w:val="20"/>
          <w:color w:val="auto"/>
        </w:rPr>
      </w:pPr>
      <w:r>
        <w:rPr>
          <w:rFonts w:ascii="Arial" w:cs="Arial" w:eastAsia="Arial" w:hAnsi="Arial"/>
          <w:sz w:val="21"/>
          <w:szCs w:val="21"/>
          <w:color w:val="auto"/>
        </w:rPr>
        <w:t>dba Gary Lewis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73660</wp:posOffset>
            </wp:positionV>
            <wp:extent cx="1122680" cy="5060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112268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480"/>
          </w:cols>
          <w:pgMar w:left="32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Gary Lewis</w:t>
      </w:r>
    </w:p>
    <w:p>
      <w:pPr>
        <w:sectPr>
          <w:pgSz w:w="11900" w:h="16838" w:orient="portrait"/>
          <w:cols w:equalWidth="0" w:num="1">
            <w:col w:w="11120"/>
          </w:cols>
          <w:pgMar w:left="320" w:top="1440" w:right="45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49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20" w:type="dxa"/>
            <w:vAlign w:val="bottom"/>
          </w:tcPr>
          <w:p>
            <w:pPr>
              <w:spacing w:after="0"/>
              <w:rPr>
                <w:sz w:val="24"/>
                <w:szCs w:val="24"/>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Arhaus Holding Inc.</w:t>
            </w:r>
          </w:p>
        </w:tc>
        <w:tc>
          <w:tcPr>
            <w:tcW w:w="22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Holdings, Inc.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Hines Hill Aviation,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Logistics,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Gift Cards,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 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Woods,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Management, Inc.</w:t>
            </w:r>
          </w:p>
        </w:tc>
        <w:tc>
          <w:tcPr>
            <w:tcW w:w="22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60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42" w:lineRule="exact"/>
        <w:rPr>
          <w:sz w:val="20"/>
          <w:szCs w:val="20"/>
          <w:color w:val="auto"/>
        </w:rPr>
      </w:pPr>
    </w:p>
    <w:p>
      <w:pPr>
        <w:jc w:val="both"/>
        <w:ind w:right="1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333-268959) and Form S-8 (No. 333-261690) of Arhaus, Inc. of our report dated March 11, 2024 relating to the financial statements and the effectiveness of internal control over financial reporting, which appears in this Form 10-K.</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Cleveland, Ohio</w:t>
      </w:r>
    </w:p>
    <w:p>
      <w:pPr>
        <w:spacing w:after="0"/>
        <w:rPr>
          <w:sz w:val="20"/>
          <w:szCs w:val="20"/>
          <w:color w:val="auto"/>
        </w:rPr>
      </w:pPr>
      <w:r>
        <w:rPr>
          <w:rFonts w:ascii="Georgia" w:cs="Georgia" w:eastAsia="Georgia" w:hAnsi="Georgia"/>
          <w:sz w:val="18"/>
          <w:szCs w:val="18"/>
          <w:color w:val="auto"/>
        </w:rPr>
        <w:t>March 11, 2024</w:t>
      </w:r>
    </w:p>
    <w:p>
      <w:pPr>
        <w:sectPr>
          <w:pgSz w:w="11900" w:h="16838" w:orient="portrait"/>
          <w:cols w:equalWidth="0" w:num="1">
            <w:col w:w="11240"/>
          </w:cols>
          <w:pgMar w:left="320" w:top="60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Dawn Phillipson, certify that:</w:t>
      </w:r>
    </w:p>
    <w:p>
      <w:pPr>
        <w:spacing w:after="0" w:line="13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120" w:name="page121"/>
    <w:bookmarkEnd w:id="12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2023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Reed</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2023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Dawn Phillipson</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Dawn Phillipson</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Recovery Policy</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(Required by Nasdaq Listing Rule 5608)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Recovery</w:t>
      </w:r>
    </w:p>
    <w:p>
      <w:pPr>
        <w:spacing w:after="0" w:line="206" w:lineRule="exact"/>
        <w:rPr>
          <w:sz w:val="20"/>
          <w:szCs w:val="20"/>
          <w:color w:val="auto"/>
        </w:rPr>
      </w:pPr>
    </w:p>
    <w:p>
      <w:pPr>
        <w:ind w:right="180" w:firstLine="648"/>
        <w:spacing w:after="0" w:line="230" w:lineRule="auto"/>
        <w:rPr>
          <w:sz w:val="20"/>
          <w:szCs w:val="20"/>
          <w:color w:val="auto"/>
        </w:rPr>
      </w:pPr>
      <w:r>
        <w:rPr>
          <w:rFonts w:ascii="Times New Roman" w:cs="Times New Roman" w:eastAsia="Times New Roman" w:hAnsi="Times New Roman"/>
          <w:sz w:val="20"/>
          <w:szCs w:val="20"/>
          <w:color w:val="auto"/>
        </w:rPr>
        <w:t>Subject to the limited exceptions set forth herein, with respect to the compensation of executive officers and former executive officers subject to this policy as described under “Applicability” below, Arhaus,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will recover reasonably</w:t>
      </w:r>
    </w:p>
    <w:p>
      <w:pPr>
        <w:spacing w:after="0" w:line="2" w:lineRule="exact"/>
        <w:rPr>
          <w:sz w:val="20"/>
          <w:szCs w:val="20"/>
          <w:color w:val="auto"/>
        </w:rPr>
      </w:pPr>
    </w:p>
    <w:p>
      <w:pPr>
        <w:ind w:right="340"/>
        <w:spacing w:after="0" w:line="205" w:lineRule="auto"/>
        <w:rPr>
          <w:sz w:val="20"/>
          <w:szCs w:val="20"/>
          <w:color w:val="auto"/>
        </w:rPr>
      </w:pPr>
      <w:r>
        <w:rPr>
          <w:rFonts w:ascii="Times New Roman" w:cs="Times New Roman" w:eastAsia="Times New Roman" w:hAnsi="Times New Roman"/>
          <w:sz w:val="21"/>
          <w:szCs w:val="21"/>
          <w:color w:val="auto"/>
        </w:rPr>
        <w:t>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w:t>
      </w:r>
    </w:p>
    <w:p>
      <w:pPr>
        <w:spacing w:after="0" w:line="2" w:lineRule="exact"/>
        <w:rPr>
          <w:sz w:val="20"/>
          <w:szCs w:val="20"/>
          <w:color w:val="auto"/>
        </w:rPr>
      </w:pPr>
    </w:p>
    <w:p>
      <w:pPr>
        <w:ind w:right="440"/>
        <w:spacing w:after="0" w:line="223" w:lineRule="auto"/>
        <w:rPr>
          <w:sz w:val="20"/>
          <w:szCs w:val="20"/>
          <w:color w:val="auto"/>
        </w:rPr>
      </w:pPr>
      <w:r>
        <w:rPr>
          <w:rFonts w:ascii="Times New Roman" w:cs="Times New Roman" w:eastAsia="Times New Roman" w:hAnsi="Times New Roman"/>
          <w:sz w:val="21"/>
          <w:szCs w:val="21"/>
          <w:color w:val="auto"/>
        </w:rPr>
        <w:t>material to the previously issued financial statements (a big “R” restatement), or that would result in a material misstatement if the error were corrected in the current period or left uncorrected in the current period (a little “r” restatement).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b w:val="1"/>
          <w:bCs w:val="1"/>
          <w:color w:val="auto"/>
        </w:rPr>
        <w:t>incentive-based compensation</w:t>
      </w:r>
      <w:r>
        <w:rPr>
          <w:rFonts w:ascii="Times New Roman" w:cs="Times New Roman" w:eastAsia="Times New Roman" w:hAnsi="Times New Roman"/>
          <w:sz w:val="21"/>
          <w:szCs w:val="21"/>
          <w:color w:val="auto"/>
        </w:rPr>
        <w:t>” is any compensation that is granted, earned, or vested based</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0"/>
          <w:szCs w:val="20"/>
          <w:color w:val="auto"/>
        </w:rPr>
        <w:t>wholly or in part upon the attainment of a financial reporting measure. A “</w:t>
      </w:r>
      <w:r>
        <w:rPr>
          <w:rFonts w:ascii="Times New Roman" w:cs="Times New Roman" w:eastAsia="Times New Roman" w:hAnsi="Times New Roman"/>
          <w:sz w:val="20"/>
          <w:szCs w:val="20"/>
          <w:b w:val="1"/>
          <w:bCs w:val="1"/>
          <w:color w:val="auto"/>
        </w:rPr>
        <w:t>financial reporting measure</w:t>
      </w:r>
      <w:r>
        <w:rPr>
          <w:rFonts w:ascii="Times New Roman" w:cs="Times New Roman" w:eastAsia="Times New Roman" w:hAnsi="Times New Roman"/>
          <w:sz w:val="20"/>
          <w:szCs w:val="20"/>
          <w:color w:val="auto"/>
        </w:rPr>
        <w:t>” is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w:t>
      </w:r>
    </w:p>
    <w:p>
      <w:pPr>
        <w:ind w:right="880"/>
        <w:spacing w:after="0" w:line="223" w:lineRule="auto"/>
        <w:rPr>
          <w:sz w:val="20"/>
          <w:szCs w:val="20"/>
          <w:color w:val="auto"/>
        </w:rPr>
      </w:pPr>
      <w:r>
        <w:rPr>
          <w:rFonts w:ascii="Times New Roman" w:cs="Times New Roman" w:eastAsia="Times New Roman" w:hAnsi="Times New Roman"/>
          <w:sz w:val="21"/>
          <w:szCs w:val="21"/>
          <w:color w:val="auto"/>
        </w:rPr>
        <w:t>measures. A financial reporting measure need not be presented within the financial statements or included in a filing with the Commission.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Applicability</w:t>
      </w:r>
    </w:p>
    <w:p>
      <w:pPr>
        <w:spacing w:after="0" w:line="220" w:lineRule="exact"/>
        <w:rPr>
          <w:sz w:val="20"/>
          <w:szCs w:val="20"/>
          <w:color w:val="auto"/>
        </w:rPr>
      </w:pPr>
    </w:p>
    <w:p>
      <w:pPr>
        <w:ind w:right="180" w:firstLine="648"/>
        <w:spacing w:after="0" w:line="213" w:lineRule="auto"/>
        <w:rPr>
          <w:sz w:val="20"/>
          <w:szCs w:val="20"/>
          <w:color w:val="auto"/>
        </w:rPr>
      </w:pPr>
      <w:r>
        <w:rPr>
          <w:rFonts w:ascii="Times New Roman" w:cs="Times New Roman" w:eastAsia="Times New Roman" w:hAnsi="Times New Roman"/>
          <w:sz w:val="21"/>
          <w:szCs w:val="21"/>
          <w:color w:val="auto"/>
        </w:rPr>
        <w:t>This policy applies to incentive-based compensation received (as defined below) by a person: (i) after beginning service as an executive officer; (ii) who served as an executive officer at any time during the performance period for that incentive-based compensation; (iii) while the Company’s common shares remain listed on the Nasdaq Stock Market (or another national securities</w:t>
      </w:r>
    </w:p>
    <w:p>
      <w:pPr>
        <w:spacing w:after="0" w:line="2"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21"/>
          <w:szCs w:val="21"/>
          <w:color w:val="auto"/>
        </w:rPr>
        <w:t>exchange or a national securities association); and (iv) during the three completed fiscal years immediately preceding the date that the Company is required to prepare an accounting restatement as described under “Compensation Recovery” above (plus any transition period to the extent required by Nasdaq rules in the event of a change in fiscal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clause (iv) above, the date the Company is required to prepare such an accounting restatement is the earlier of:</w:t>
      </w:r>
    </w:p>
    <w:p>
      <w:pPr>
        <w:jc w:val="both"/>
        <w:ind w:right="280" w:firstLine="8"/>
        <w:spacing w:after="0" w:line="215" w:lineRule="auto"/>
        <w:tabs>
          <w:tab w:leader="none" w:pos="29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board of directors, a committee of the board of directors, or the officer or officers of the Company authorized to take such action if board action is not required, concludes, or reasonably should have concluded, that the Company is required to prepare such an accounting restatement; and (2) the date a court, regulator, or other legally authorized body directs the Company to prepare such an accounting restatement.</w:t>
      </w:r>
    </w:p>
    <w:p>
      <w:pPr>
        <w:spacing w:after="0" w:line="17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the Company’s president, principal financial officer, principal</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21"/>
          <w:szCs w:val="21"/>
          <w:color w:val="auto"/>
        </w:rPr>
        <w:t>accounting officer (or if there is no such accounting officer, the controller), any vice-president in charge of a principal business unit, division, or function (such as sales, administration, or finance), any other officer who performs a policy-making function, or any other person who performs similar policy-making functions for the Company. Executive officers</w:t>
      </w:r>
    </w:p>
    <w:p>
      <w:pPr>
        <w:sectPr>
          <w:pgSz w:w="11900" w:h="16838" w:orient="portrait"/>
          <w:cols w:equalWidth="0" w:num="1">
            <w:col w:w="11240"/>
          </w:cols>
          <w:pgMar w:left="320" w:top="104" w:right="339" w:bottom="1440" w:gutter="0" w:footer="0" w:header="0"/>
        </w:sectPr>
      </w:pPr>
    </w:p>
    <w:bookmarkStart w:id="123" w:name="page124"/>
    <w:bookmarkEnd w:id="123"/>
    <w:p>
      <w:pPr>
        <w:ind w:right="380"/>
        <w:spacing w:after="0" w:line="230" w:lineRule="auto"/>
        <w:rPr>
          <w:sz w:val="20"/>
          <w:szCs w:val="20"/>
          <w:color w:val="auto"/>
        </w:rPr>
      </w:pPr>
      <w:r>
        <w:rPr>
          <w:rFonts w:ascii="Times New Roman" w:cs="Times New Roman" w:eastAsia="Times New Roman" w:hAnsi="Times New Roman"/>
          <w:sz w:val="20"/>
          <w:szCs w:val="20"/>
          <w:color w:val="auto"/>
        </w:rPr>
        <w:t>of the Company’s subsidiaries are deemed executive officers of the Company if they perform such policy making functions for the Company. Policy-making function is not intended to include policy-making functions that are not significant. Identification of an</w:t>
      </w:r>
    </w:p>
    <w:p>
      <w:pPr>
        <w:spacing w:after="0" w:line="2" w:lineRule="exact"/>
        <w:rPr>
          <w:sz w:val="20"/>
          <w:szCs w:val="20"/>
          <w:color w:val="auto"/>
        </w:rPr>
      </w:pPr>
    </w:p>
    <w:p>
      <w:pPr>
        <w:ind w:right="480"/>
        <w:spacing w:after="0" w:line="223" w:lineRule="auto"/>
        <w:rPr>
          <w:sz w:val="20"/>
          <w:szCs w:val="20"/>
          <w:color w:val="auto"/>
        </w:rPr>
      </w:pPr>
      <w:r>
        <w:rPr>
          <w:rFonts w:ascii="Times New Roman" w:cs="Times New Roman" w:eastAsia="Times New Roman" w:hAnsi="Times New Roman"/>
          <w:sz w:val="21"/>
          <w:szCs w:val="21"/>
          <w:color w:val="auto"/>
        </w:rPr>
        <w:t>executive officer for purposes of this section would include at a minimum executive officers identified pursuant to Item 401(b) of Regulation S-K.</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is deemed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in the fiscal period during which the financial</w:t>
      </w:r>
    </w:p>
    <w:p>
      <w:pPr>
        <w:spacing w:after="0" w:line="12" w:lineRule="exact"/>
        <w:rPr>
          <w:sz w:val="20"/>
          <w:szCs w:val="20"/>
          <w:color w:val="auto"/>
        </w:rPr>
      </w:pPr>
    </w:p>
    <w:p>
      <w:pPr>
        <w:ind w:right="60"/>
        <w:spacing w:after="0" w:line="201" w:lineRule="auto"/>
        <w:rPr>
          <w:sz w:val="20"/>
          <w:szCs w:val="20"/>
          <w:color w:val="auto"/>
        </w:rPr>
      </w:pPr>
      <w:r>
        <w:rPr>
          <w:rFonts w:ascii="Times New Roman" w:cs="Times New Roman" w:eastAsia="Times New Roman" w:hAnsi="Times New Roman"/>
          <w:sz w:val="21"/>
          <w:szCs w:val="21"/>
          <w:color w:val="auto"/>
        </w:rPr>
        <w:t>reporting measure specified in the incentive-based compensation award is attained, even if the payment or grant of the incentive-based compensation occurs after the end of that period.</w:t>
      </w:r>
    </w:p>
    <w:p>
      <w:pPr>
        <w:ind w:left="660"/>
        <w:spacing w:after="0" w:line="225" w:lineRule="auto"/>
        <w:rPr>
          <w:sz w:val="20"/>
          <w:szCs w:val="20"/>
          <w:color w:val="auto"/>
        </w:rPr>
      </w:pPr>
      <w:r>
        <w:rPr>
          <w:rFonts w:ascii="Times New Roman" w:cs="Times New Roman" w:eastAsia="Times New Roman" w:hAnsi="Times New Roman"/>
          <w:sz w:val="20"/>
          <w:szCs w:val="20"/>
          <w:color w:val="auto"/>
        </w:rPr>
        <w:t xml:space="preserve">This Policy shall be effective as of October 2,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terms of this policy shall apply to any incentive-</w:t>
      </w:r>
    </w:p>
    <w:p>
      <w:pPr>
        <w:spacing w:after="0" w:line="1" w:lineRule="exact"/>
        <w:rPr>
          <w:sz w:val="20"/>
          <w:szCs w:val="20"/>
          <w:color w:val="auto"/>
        </w:rPr>
      </w:pPr>
    </w:p>
    <w:p>
      <w:pPr>
        <w:ind w:right="420"/>
        <w:spacing w:after="0" w:line="201" w:lineRule="auto"/>
        <w:rPr>
          <w:sz w:val="20"/>
          <w:szCs w:val="20"/>
          <w:color w:val="auto"/>
        </w:rPr>
      </w:pPr>
      <w:r>
        <w:rPr>
          <w:rFonts w:ascii="Times New Roman" w:cs="Times New Roman" w:eastAsia="Times New Roman" w:hAnsi="Times New Roman"/>
          <w:sz w:val="21"/>
          <w:szCs w:val="21"/>
          <w:color w:val="auto"/>
        </w:rPr>
        <w:t>based compensation that is received (i.e., vested, paid or earned) by an executive officer on or after the effective date, even if such incentive-based compensation was approved, awarded, or granted to the executive officer prior to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Determination of Amount Subject to Recovery</w:t>
      </w:r>
    </w:p>
    <w:p>
      <w:pPr>
        <w:spacing w:after="0" w:line="192"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0"/>
          <w:szCs w:val="20"/>
          <w:color w:val="auto"/>
        </w:rPr>
        <w:t>The amount of incentive-based compensation subject to recovery under this policy (“</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is the amount of incentive-based compensation received that exceeds the amount of incentive-based compensation that otherwise would have been received had it been determined based on the restated amounts, and must be computed without regard to any taxes paid. The</w:t>
      </w:r>
    </w:p>
    <w:p>
      <w:pPr>
        <w:ind w:right="160"/>
        <w:spacing w:after="0" w:line="211" w:lineRule="auto"/>
        <w:rPr>
          <w:sz w:val="20"/>
          <w:szCs w:val="20"/>
          <w:color w:val="auto"/>
        </w:rPr>
      </w:pPr>
      <w:r>
        <w:rPr>
          <w:rFonts w:ascii="Times New Roman" w:cs="Times New Roman" w:eastAsia="Times New Roman" w:hAnsi="Times New Roman"/>
          <w:sz w:val="20"/>
          <w:szCs w:val="20"/>
          <w:color w:val="auto"/>
        </w:rPr>
        <w:t>compensation committee shall determine, in its sole discretion and in a manner that effectuates the purpose of Nasdaq Listing Rule 5608, one or more methods for recovering any erroneously awarded compensation hereunder, which may include, without limitation:</w:t>
      </w:r>
    </w:p>
    <w:p>
      <w:pPr>
        <w:spacing w:after="0" w:line="1" w:lineRule="exact"/>
        <w:rPr>
          <w:sz w:val="20"/>
          <w:szCs w:val="20"/>
          <w:color w:val="auto"/>
        </w:rPr>
      </w:pPr>
    </w:p>
    <w:p>
      <w:pPr>
        <w:ind w:right="80" w:firstLine="8"/>
        <w:spacing w:after="0" w:line="210" w:lineRule="auto"/>
        <w:tabs>
          <w:tab w:leader="none" w:pos="24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cash reimbursement of cash incentive-based compensation previously paid; (ii) seeking recovery or forfeiture of any gain realized on the vesting, exercise, settlement, sale, transfer or other disposition of any equity-based awards granted as incentive-based compensation; (iii) offsetting the amount to be recovered from any compensation otherwise owed by the Company to the executive officers, or forfeiture of deferred compensation, to the extent consistent with Section 409A of the Internal Revenue Code of 1986, as amended, and the regulations thereunder; (iv) cancelling outstanding, or forfeiting of, vested or unvested cash or equity awards (including those subject to service-based and/or performance-based vesting conditions, or for which such conditions have been satisfied); (v) cancelling, offsetting or reducing future compensation; and/or (vi) taking any other remedial and recovery action permitted by law, as determined by the compensation committee. Notwithstanding the foregoing, the Company makes no guarantee as to the treatment of such amounts under Section 409A, and shall have no liability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w:t>
      </w:r>
    </w:p>
    <w:p>
      <w:pPr>
        <w:spacing w:after="0" w:line="216" w:lineRule="auto"/>
        <w:rPr>
          <w:sz w:val="20"/>
          <w:szCs w:val="20"/>
          <w:color w:val="auto"/>
        </w:rPr>
      </w:pPr>
      <w:r>
        <w:rPr>
          <w:rFonts w:ascii="Times New Roman" w:cs="Times New Roman" w:eastAsia="Times New Roman" w:hAnsi="Times New Roman"/>
          <w:sz w:val="20"/>
          <w:szCs w:val="20"/>
          <w:color w:val="auto"/>
        </w:rPr>
        <w:t>compensation is not subject to mathematical recalculation directly from the information in an accounting restatement: (i) the amount must be based on a reasonable estimate of the effect of the accounting restatement on the stock price or total shareholder return upon which the incentive-based compensation was received; and (ii) the Company must maintain documentation of the determination of that</w:t>
      </w:r>
    </w:p>
    <w:p>
      <w:pPr>
        <w:spacing w:after="0"/>
        <w:rPr>
          <w:sz w:val="20"/>
          <w:szCs w:val="20"/>
          <w:color w:val="auto"/>
        </w:rPr>
      </w:pPr>
      <w:r>
        <w:rPr>
          <w:rFonts w:ascii="Times New Roman" w:cs="Times New Roman" w:eastAsia="Times New Roman" w:hAnsi="Times New Roman"/>
          <w:sz w:val="21"/>
          <w:szCs w:val="21"/>
          <w:color w:val="auto"/>
        </w:rPr>
        <w:t>reasonable estimate and provide such documentation to Nasdaq as provided by the rules thereof.</w:t>
      </w:r>
    </w:p>
    <w:p>
      <w:pPr>
        <w:sectPr>
          <w:pgSz w:w="11900" w:h="16838" w:orient="portrait"/>
          <w:cols w:equalWidth="0" w:num="1">
            <w:col w:w="11200"/>
          </w:cols>
          <w:pgMar w:left="320" w:top="1403"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b w:val="1"/>
          <w:bCs w:val="1"/>
          <w:color w:val="auto"/>
        </w:rPr>
        <w:t>Limited Exceptions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must recover erroneously awarded compensation in compliance with this policy except (i) to the extent that one</w:t>
      </w:r>
    </w:p>
    <w:p>
      <w:pPr>
        <w:spacing w:after="0" w:line="10" w:lineRule="exact"/>
        <w:rPr>
          <w:sz w:val="20"/>
          <w:szCs w:val="20"/>
          <w:color w:val="auto"/>
        </w:rPr>
      </w:pPr>
    </w:p>
    <w:p>
      <w:pPr>
        <w:ind w:right="160"/>
        <w:spacing w:after="0" w:line="205" w:lineRule="auto"/>
        <w:rPr>
          <w:sz w:val="20"/>
          <w:szCs w:val="20"/>
          <w:color w:val="auto"/>
        </w:rPr>
      </w:pPr>
      <w:r>
        <w:rPr>
          <w:rFonts w:ascii="Times New Roman" w:cs="Times New Roman" w:eastAsia="Times New Roman" w:hAnsi="Times New Roman"/>
          <w:sz w:val="21"/>
          <w:szCs w:val="21"/>
          <w:color w:val="auto"/>
        </w:rPr>
        <w:t>of the exceptions described in this section is applicable, and (ii) the Company’s compensation committee, or in the absence of such a committee or in the event it is not comprised solely of independent directors, a majority of the independent directors serving on the board, has made a determination that recovery would be impracticable.</w:t>
      </w:r>
    </w:p>
    <w:p>
      <w:pPr>
        <w:ind w:left="660"/>
        <w:spacing w:after="0" w:line="203" w:lineRule="auto"/>
        <w:rPr>
          <w:sz w:val="20"/>
          <w:szCs w:val="20"/>
          <w:color w:val="auto"/>
        </w:rPr>
      </w:pPr>
      <w:r>
        <w:rPr>
          <w:rFonts w:ascii="Times New Roman" w:cs="Times New Roman" w:eastAsia="Times New Roman" w:hAnsi="Times New Roman"/>
          <w:sz w:val="21"/>
          <w:szCs w:val="21"/>
          <w:color w:val="auto"/>
        </w:rPr>
        <w:t>The exceptions referred to in the previous paragraph are as follows:</w:t>
      </w:r>
    </w:p>
    <w:p>
      <w:pPr>
        <w:ind w:right="200" w:firstLine="648"/>
        <w:spacing w:after="0" w:line="207" w:lineRule="auto"/>
        <w:rPr>
          <w:sz w:val="20"/>
          <w:szCs w:val="20"/>
          <w:color w:val="auto"/>
        </w:rPr>
      </w:pPr>
      <w:r>
        <w:rPr>
          <w:rFonts w:ascii="Times New Roman" w:cs="Times New Roman" w:eastAsia="Times New Roman" w:hAnsi="Times New Roman"/>
          <w:sz w:val="21"/>
          <w:szCs w:val="21"/>
          <w:i w:val="1"/>
          <w:iCs w:val="1"/>
          <w:color w:val="auto"/>
        </w:rPr>
        <w:t xml:space="preserve">Direct Third-Party Expense Exceeds Recoverable Amount. </w:t>
      </w:r>
      <w:r>
        <w:rPr>
          <w:rFonts w:ascii="Times New Roman" w:cs="Times New Roman" w:eastAsia="Times New Roman" w:hAnsi="Times New Roman"/>
          <w:sz w:val="21"/>
          <w:szCs w:val="21"/>
          <w:color w:val="auto"/>
        </w:rPr>
        <w:t>The direct expense paid to a third party to assist in enforcing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policy would exceed the amount to be recovered. Before concluding that it would be impracticable to recover any amount of</w:t>
      </w:r>
    </w:p>
    <w:p>
      <w:pPr>
        <w:spacing w:after="0" w:line="2" w:lineRule="exact"/>
        <w:rPr>
          <w:sz w:val="20"/>
          <w:szCs w:val="20"/>
          <w:color w:val="auto"/>
        </w:rPr>
      </w:pPr>
    </w:p>
    <w:p>
      <w:pPr>
        <w:ind w:right="160"/>
        <w:spacing w:after="0" w:line="205" w:lineRule="auto"/>
        <w:rPr>
          <w:sz w:val="20"/>
          <w:szCs w:val="20"/>
          <w:color w:val="auto"/>
        </w:rPr>
      </w:pPr>
      <w:r>
        <w:rPr>
          <w:rFonts w:ascii="Times New Roman" w:cs="Times New Roman" w:eastAsia="Times New Roman" w:hAnsi="Times New Roman"/>
          <w:sz w:val="21"/>
          <w:szCs w:val="21"/>
          <w:color w:val="auto"/>
        </w:rPr>
        <w:t>erroneously awarded compensation based on expense of enforcement, the Company must make a reasonable attempt to recover such erroneously awarded compensation, document such reasonable attempt(s) to recover, and provide that documentation to Nasdaq as provided by the rules thereof.</w:t>
      </w:r>
    </w:p>
    <w:p>
      <w:pPr>
        <w:spacing w:after="0" w:line="2" w:lineRule="exact"/>
        <w:rPr>
          <w:sz w:val="20"/>
          <w:szCs w:val="20"/>
          <w:color w:val="auto"/>
        </w:rPr>
      </w:pPr>
    </w:p>
    <w:p>
      <w:pPr>
        <w:ind w:firstLine="648"/>
        <w:spacing w:after="0" w:line="205" w:lineRule="auto"/>
        <w:rPr>
          <w:sz w:val="20"/>
          <w:szCs w:val="20"/>
          <w:color w:val="auto"/>
        </w:rPr>
      </w:pPr>
      <w:r>
        <w:rPr>
          <w:rFonts w:ascii="Times New Roman" w:cs="Times New Roman" w:eastAsia="Times New Roman" w:hAnsi="Times New Roman"/>
          <w:sz w:val="21"/>
          <w:szCs w:val="21"/>
          <w:i w:val="1"/>
          <w:iCs w:val="1"/>
          <w:color w:val="auto"/>
        </w:rPr>
        <w:t xml:space="preserve">Tax-Qualified Retirement Plans. </w:t>
      </w:r>
      <w:r>
        <w:rPr>
          <w:rFonts w:ascii="Times New Roman" w:cs="Times New Roman" w:eastAsia="Times New Roman" w:hAnsi="Times New Roman"/>
          <w:sz w:val="21"/>
          <w:szCs w:val="21"/>
          <w:color w:val="auto"/>
        </w:rPr>
        <w:t>Recovery would likely cause an otherwise tax-qualified retirement plan, under which benefits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broadly available to employees of the Company, to fail to meet the requirements of 26 U.S.C. 401(a)(13) or 26 U.S.C. 411(a) and regulations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180" w:lineRule="exact"/>
        <w:rPr>
          <w:sz w:val="20"/>
          <w:szCs w:val="20"/>
          <w:color w:val="auto"/>
        </w:rPr>
      </w:pPr>
    </w:p>
    <w:p>
      <w:pPr>
        <w:ind w:right="320" w:firstLine="648"/>
        <w:spacing w:after="0" w:line="219" w:lineRule="auto"/>
        <w:rPr>
          <w:sz w:val="20"/>
          <w:szCs w:val="20"/>
          <w:color w:val="auto"/>
        </w:rPr>
      </w:pPr>
      <w:r>
        <w:rPr>
          <w:rFonts w:ascii="Times New Roman" w:cs="Times New Roman" w:eastAsia="Times New Roman" w:hAnsi="Times New Roman"/>
          <w:sz w:val="21"/>
          <w:szCs w:val="21"/>
          <w:color w:val="auto"/>
        </w:rPr>
        <w:t>The Company will not indemnify any executive officer or former executive officer against the loss of erroneously awarded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Disclosure</w:t>
      </w:r>
    </w:p>
    <w:p>
      <w:pPr>
        <w:spacing w:after="0" w:line="180" w:lineRule="exact"/>
        <w:rPr>
          <w:sz w:val="20"/>
          <w:szCs w:val="20"/>
          <w:color w:val="auto"/>
        </w:rPr>
      </w:pPr>
    </w:p>
    <w:p>
      <w:pPr>
        <w:ind w:right="100" w:firstLine="648"/>
        <w:spacing w:after="0" w:line="219" w:lineRule="auto"/>
        <w:rPr>
          <w:sz w:val="20"/>
          <w:szCs w:val="20"/>
          <w:color w:val="auto"/>
        </w:rPr>
      </w:pPr>
      <w:r>
        <w:rPr>
          <w:rFonts w:ascii="Times New Roman" w:cs="Times New Roman" w:eastAsia="Times New Roman" w:hAnsi="Times New Roman"/>
          <w:sz w:val="21"/>
          <w:szCs w:val="21"/>
          <w:color w:val="auto"/>
        </w:rPr>
        <w:t>The Company will comply with all disclosure requirements with respect to this policy in accordance with the requirements of the applicable securities laws and Nasdaq rules.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Recovery Rights; No Duplication</w:t>
      </w:r>
    </w:p>
    <w:p>
      <w:pPr>
        <w:spacing w:after="0" w:line="180" w:lineRule="exact"/>
        <w:rPr>
          <w:sz w:val="20"/>
          <w:szCs w:val="20"/>
          <w:color w:val="auto"/>
        </w:rPr>
      </w:pPr>
    </w:p>
    <w:p>
      <w:pPr>
        <w:ind w:right="80" w:firstLine="648"/>
        <w:spacing w:after="0" w:line="219" w:lineRule="auto"/>
        <w:rPr>
          <w:sz w:val="20"/>
          <w:szCs w:val="20"/>
          <w:color w:val="auto"/>
        </w:rPr>
      </w:pPr>
      <w:r>
        <w:rPr>
          <w:rFonts w:ascii="Times New Roman" w:cs="Times New Roman" w:eastAsia="Times New Roman" w:hAnsi="Times New Roman"/>
          <w:sz w:val="21"/>
          <w:szCs w:val="21"/>
          <w:color w:val="auto"/>
        </w:rPr>
        <w:t>The board of directors intends that this policy shall be applied to the fullest extent of the law. Any right of recovery under this policy is in addition to, and not in lieu of, any other remedies or rights of recovery that may be available to the Company under</w:t>
      </w:r>
    </w:p>
    <w:p>
      <w:pPr>
        <w:spacing w:after="0" w:line="2"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20"/>
          <w:szCs w:val="20"/>
          <w:color w:val="auto"/>
        </w:rPr>
        <w:t>applicable law or regulation or pursuant to the terms of any similar policy in any employment agreement, equity award agreement, or similar agreement, Company cash or equity incentive plan and any other legal remedies available to the Company. However, to the extent that any compensation recoverable under this policy is also recoverable other than pursuant to this policy, including pursuant</w:t>
      </w:r>
    </w:p>
    <w:p>
      <w:pPr>
        <w:ind w:right="80"/>
        <w:spacing w:after="0" w:line="216" w:lineRule="auto"/>
        <w:rPr>
          <w:sz w:val="20"/>
          <w:szCs w:val="20"/>
          <w:color w:val="auto"/>
        </w:rPr>
      </w:pPr>
      <w:r>
        <w:rPr>
          <w:rFonts w:ascii="Times New Roman" w:cs="Times New Roman" w:eastAsia="Times New Roman" w:hAnsi="Times New Roman"/>
          <w:sz w:val="20"/>
          <w:szCs w:val="20"/>
          <w:color w:val="auto"/>
        </w:rPr>
        <w:t>applicable law such as Section 304 of the Sarbanes-Oxley Act or pursuant to any other policy or agreement of the Company, then this policy will be administered in order to avoid duplicative recovery to the extent permitted by applicable law and Nasdaq rules. If any amounts that would also be recoverable hereunder have already been reimbursed by a person to the Company pursuant to applicable</w:t>
      </w:r>
    </w:p>
    <w:p>
      <w:pPr>
        <w:ind w:right="800"/>
        <w:spacing w:after="0" w:line="223" w:lineRule="auto"/>
        <w:rPr>
          <w:sz w:val="20"/>
          <w:szCs w:val="20"/>
          <w:color w:val="auto"/>
        </w:rPr>
      </w:pPr>
      <w:r>
        <w:rPr>
          <w:rFonts w:ascii="Times New Roman" w:cs="Times New Roman" w:eastAsia="Times New Roman" w:hAnsi="Times New Roman"/>
          <w:sz w:val="21"/>
          <w:szCs w:val="21"/>
          <w:color w:val="auto"/>
        </w:rPr>
        <w:t xml:space="preserve">law or another policy or agreement, such amounts may be credited against amounts recoverable from such person hereunder. </w:t>
      </w:r>
      <w:r>
        <w:rPr>
          <w:rFonts w:ascii="Times New Roman" w:cs="Times New Roman" w:eastAsia="Times New Roman" w:hAnsi="Times New Roman"/>
          <w:sz w:val="21"/>
          <w:szCs w:val="21"/>
          <w:b w:val="1"/>
          <w:bCs w:val="1"/>
          <w:color w:val="auto"/>
        </w:rPr>
        <w:t>Administration</w:t>
      </w:r>
    </w:p>
    <w:p>
      <w:pPr>
        <w:sectPr>
          <w:pgSz w:w="11900" w:h="16838" w:orient="portrait"/>
          <w:cols w:equalWidth="0" w:num="1">
            <w:col w:w="11140"/>
          </w:cols>
          <w:pgMar w:left="320" w:top="1401" w:right="439" w:bottom="1440" w:gutter="0" w:footer="0" w:header="0"/>
        </w:sectPr>
      </w:pPr>
    </w:p>
    <w:bookmarkStart w:id="125" w:name="page126"/>
    <w:bookmarkEnd w:id="125"/>
    <w:p>
      <w:pPr>
        <w:jc w:val="center"/>
        <w:ind w:right="160"/>
        <w:spacing w:after="0"/>
        <w:rPr>
          <w:sz w:val="20"/>
          <w:szCs w:val="20"/>
          <w:color w:val="auto"/>
        </w:rPr>
      </w:pPr>
      <w:r>
        <w:rPr>
          <w:rFonts w:ascii="Times New Roman" w:cs="Times New Roman" w:eastAsia="Times New Roman" w:hAnsi="Times New Roman"/>
          <w:sz w:val="21"/>
          <w:szCs w:val="21"/>
          <w:color w:val="auto"/>
        </w:rPr>
        <w:t>This policy is intended to comply with Nasdaq Listing Rule 5608 and the applicable provisions Rule 10D-1 under the</w:t>
      </w:r>
    </w:p>
    <w:p>
      <w:pPr>
        <w:ind w:right="180"/>
        <w:spacing w:after="0" w:line="229" w:lineRule="auto"/>
        <w:rPr>
          <w:sz w:val="20"/>
          <w:szCs w:val="20"/>
          <w:color w:val="auto"/>
        </w:rPr>
      </w:pPr>
      <w:r>
        <w:rPr>
          <w:rFonts w:ascii="Times New Roman" w:cs="Times New Roman" w:eastAsia="Times New Roman" w:hAnsi="Times New Roman"/>
          <w:sz w:val="21"/>
          <w:szCs w:val="21"/>
          <w:color w:val="auto"/>
        </w:rPr>
        <w:t>Securities Exchange Act of 1934, and shall be administered and interpreted in a manner consistent with such rules and the applicable guidance of Nasdaq and the Securities and Exchange Commission with respect thereto.</w:t>
      </w:r>
    </w:p>
    <w:p>
      <w:pPr>
        <w:spacing w:after="0" w:line="177" w:lineRule="exact"/>
        <w:rPr>
          <w:sz w:val="20"/>
          <w:szCs w:val="20"/>
          <w:color w:val="auto"/>
        </w:rPr>
      </w:pPr>
    </w:p>
    <w:p>
      <w:pPr>
        <w:ind w:right="220" w:firstLine="648"/>
        <w:spacing w:after="0" w:line="219" w:lineRule="auto"/>
        <w:rPr>
          <w:sz w:val="20"/>
          <w:szCs w:val="20"/>
          <w:color w:val="auto"/>
        </w:rPr>
      </w:pPr>
      <w:r>
        <w:rPr>
          <w:rFonts w:ascii="Times New Roman" w:cs="Times New Roman" w:eastAsia="Times New Roman" w:hAnsi="Times New Roman"/>
          <w:sz w:val="21"/>
          <w:szCs w:val="21"/>
          <w:color w:val="auto"/>
        </w:rPr>
        <w:t>This policy will be administered by the Company’s compensation committee, or in the absence of such a committee or in the event it is not comprised solely of independent directors, a majority of the independent directors serving on the board. The</w:t>
      </w:r>
    </w:p>
    <w:p>
      <w:pPr>
        <w:spacing w:after="0" w:line="2" w:lineRule="exact"/>
        <w:rPr>
          <w:sz w:val="20"/>
          <w:szCs w:val="20"/>
          <w:color w:val="auto"/>
        </w:rPr>
      </w:pPr>
    </w:p>
    <w:p>
      <w:pPr>
        <w:ind w:right="140"/>
        <w:spacing w:after="0" w:line="201" w:lineRule="auto"/>
        <w:rPr>
          <w:sz w:val="20"/>
          <w:szCs w:val="20"/>
          <w:color w:val="auto"/>
        </w:rPr>
      </w:pPr>
      <w:r>
        <w:rPr>
          <w:rFonts w:ascii="Times New Roman" w:cs="Times New Roman" w:eastAsia="Times New Roman" w:hAnsi="Times New Roman"/>
          <w:sz w:val="21"/>
          <w:szCs w:val="21"/>
          <w:color w:val="auto"/>
        </w:rPr>
        <w:t>compensation committee may amend this Policy from time to time in its discretion and shall amend this Policy as it deems necessary, including as and when it determines that it is legally required by any federal securities laws or Nasdaq Listing Rule.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19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1"/>
          <w:szCs w:val="21"/>
          <w:color w:val="auto"/>
        </w:rPr>
        <w:t>The Policy shall be binding and enforceable against each executive officer and, to the extent required by applicable law, his/her beneficiaries, heirs, executors, administrators or other legal representatives.</w:t>
      </w:r>
    </w:p>
    <w:sectPr>
      <w:pgSz w:w="11900" w:h="16838" w:orient="portrait"/>
      <w:cols w:equalWidth="0" w:num="1">
        <w:col w:w="11200"/>
      </w:cols>
      <w:pgMar w:left="320" w:top="1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B"/>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Letter"/>
      <w:start w:val="1"/>
    </w:lvl>
    <w:lvl w:ilvl="1">
      <w:lvlJc w:val="left"/>
      <w:lvlText w:val="%2)"/>
      <w:numFmt w:val="lowerLetter"/>
      <w:start w:val="1"/>
    </w:lvl>
  </w:abstractNum>
  <w:abstractNum w:abstractNumId="46">
    <w:nsid w:val="70C6A529"/>
    <w:multiLevelType w:val="hybridMultilevel"/>
    <w:lvl w:ilvl="0">
      <w:lvlJc w:val="left"/>
      <w:lvlText w:val="%1)"/>
      <w:numFmt w:val="lowerLetter"/>
      <w:start w:val="4"/>
    </w:lvl>
    <w:lvl w:ilvl="1">
      <w:lvlJc w:val="left"/>
      <w:lvlText w:val="%2"/>
      <w:numFmt w:val="lowerLetter"/>
      <w:start w:val="1"/>
    </w:lvl>
  </w:abstractNum>
  <w:abstractNum w:abstractNumId="47">
    <w:nsid w:val="520EEDD1"/>
    <w:multiLevelType w:val="hybridMultilevel"/>
    <w:lvl w:ilvl="0">
      <w:lvlJc w:val="left"/>
      <w:lvlText w:val="%1)"/>
      <w:numFmt w:val="lowerLetter"/>
      <w:start w:val="8"/>
    </w:lvl>
  </w:abstractNum>
  <w:abstractNum w:abstractNumId="48">
    <w:nsid w:val="374A3FE6"/>
    <w:multiLevelType w:val="hybridMultilevel"/>
    <w:lvl w:ilvl="0">
      <w:lvlJc w:val="left"/>
      <w:lvlText w:val="%1"/>
      <w:numFmt w:val="lowerLetter"/>
      <w:start w:val="1"/>
    </w:lvl>
    <w:lvl w:ilvl="1">
      <w:lvlJc w:val="left"/>
      <w:lvlText w:val="%2)"/>
      <w:numFmt w:val="lowerLetter"/>
      <w:start w:val="1"/>
    </w:lvl>
  </w:abstractNum>
  <w:abstractNum w:abstractNumId="49">
    <w:nsid w:val="4F4EF005"/>
    <w:multiLevelType w:val="hybridMultilevel"/>
    <w:lvl w:ilvl="0">
      <w:lvlJc w:val="left"/>
      <w:lvlText w:val="%1)"/>
      <w:numFmt w:val="lowerLetter"/>
      <w:start w:val="2"/>
    </w:lvl>
    <w:lvl w:ilvl="1">
      <w:lvlJc w:val="left"/>
      <w:lvlText w:val="%2"/>
      <w:numFmt w:val="lowerLetter"/>
      <w:start w:val="1"/>
    </w:lvl>
  </w:abstractNum>
  <w:abstractNum w:abstractNumId="50">
    <w:nsid w:val="23F9C13C"/>
    <w:multiLevelType w:val="hybridMultilevel"/>
    <w:lvl w:ilvl="0">
      <w:lvlJc w:val="left"/>
      <w:lvlText w:val="%1)"/>
      <w:numFmt w:val="lowerLetter"/>
      <w:start w:val="4"/>
    </w:lvl>
  </w:abstractNum>
  <w:abstractNum w:abstractNumId="51">
    <w:nsid w:val="649BB77C"/>
    <w:multiLevelType w:val="hybridMultilevel"/>
    <w:lvl w:ilvl="0">
      <w:lvlJc w:val="left"/>
      <w:lvlText w:val="%1"/>
      <w:numFmt w:val="lowerLetter"/>
      <w:start w:val="1"/>
    </w:lvl>
    <w:lvl w:ilvl="1">
      <w:lvlJc w:val="left"/>
      <w:lvlText w:val="%2)"/>
      <w:numFmt w:val="lowerLetter"/>
      <w:start w:val="1"/>
    </w:lvl>
  </w:abstractNum>
  <w:abstractNum w:abstractNumId="52">
    <w:nsid w:val="275AC794"/>
    <w:multiLevelType w:val="hybridMultilevel"/>
    <w:lvl w:ilvl="0">
      <w:lvlJc w:val="left"/>
      <w:lvlText w:val="%1)"/>
      <w:numFmt w:val="lowerLetter"/>
      <w:start w:val="6"/>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8" Type="http://schemas.openxmlformats.org/officeDocument/2006/relationships/image" Target="media/image217.png"/><Relationship Id="rId239"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jpeg"/><Relationship Id="rId264" Type="http://schemas.openxmlformats.org/officeDocument/2006/relationships/image" Target="media/image238.jpeg"/><Relationship Id="rId265" Type="http://schemas.openxmlformats.org/officeDocument/2006/relationships/image" Target="media/image239.png"/><Relationship Id="rId266" Type="http://schemas.openxmlformats.org/officeDocument/2006/relationships/image" Target="media/image240.png"/><Relationship Id="rId224" Type="http://schemas.openxmlformats.org/officeDocument/2006/relationships/hyperlink" Target="https://www.sec.gov/Archives/edgar/data/1875444/000187544421000004/exhibit31-arcertificateo.htm" TargetMode="External"/><Relationship Id="rId225" Type="http://schemas.openxmlformats.org/officeDocument/2006/relationships/hyperlink" Target="https://www.sec.gov/Archives/edgar/data/1875444/000187544421000004/exhibit32-arbylawsofarha.htm" TargetMode="External"/><Relationship Id="rId226" Type="http://schemas.openxmlformats.org/officeDocument/2006/relationships/hyperlink" Target="https://www.sec.gov/Archives/edgar/data/1875444/000119312521317589/d183044dex41.htm" TargetMode="External"/><Relationship Id="rId227" Type="http://schemas.openxmlformats.org/officeDocument/2006/relationships/hyperlink" Target="https://www.sec.gov/Archives/edgar/data/1875444/000187544422000017/descriptionofcapitalstock.htm" TargetMode="External"/><Relationship Id="rId229" Type="http://schemas.openxmlformats.org/officeDocument/2006/relationships/hyperlink" Target="https://www.sec.gov/Archives/edgar/data/1875444/000119312522311115/d423598dex41.htm" TargetMode="External"/><Relationship Id="rId230" Type="http://schemas.openxmlformats.org/officeDocument/2006/relationships/hyperlink" Target="https://www.sec.gov/Archives/edgar/data/1875444/000119312521309174/d183044dex101.htm" TargetMode="External"/><Relationship Id="rId231" Type="http://schemas.openxmlformats.org/officeDocument/2006/relationships/hyperlink" Target="https://www.sec.gov/Archives/edgar/data/1875444/000119312521317589/d183044dex102.htm" TargetMode="External"/><Relationship Id="rId232" Type="http://schemas.openxmlformats.org/officeDocument/2006/relationships/hyperlink" Target="https://www.sec.gov/Archives/edgar/data/1875444/000187544422000090/arhausincequityawardnotice.htm" TargetMode="External"/><Relationship Id="rId233" Type="http://schemas.openxmlformats.org/officeDocument/2006/relationships/hyperlink" Target="https://www.sec.gov/Archives/edgar/data/1875444/000187544422000121/ex102arhaus-psuawardagre.htm" TargetMode="External"/><Relationship Id="rId234" Type="http://schemas.openxmlformats.org/officeDocument/2006/relationships/hyperlink" Target="https://www.sec.gov/Archives/edgar/data/1875444/000187544422000121/ex103arhaus-rsuawardagre.htm" TargetMode="External"/><Relationship Id="rId235" Type="http://schemas.openxmlformats.org/officeDocument/2006/relationships/hyperlink" Target="https://www.sec.gov/Archives/edgar/data/1875444/000187544422000121/ex104arhaus-directorrsua.htm" TargetMode="External"/><Relationship Id="rId236" Type="http://schemas.openxmlformats.org/officeDocument/2006/relationships/hyperlink" Target="https://www.sec.gov/Archives/edgar/data/1875444/000119312521291002/d183044dex103.htm" TargetMode="External"/><Relationship Id="rId237" Type="http://schemas.openxmlformats.org/officeDocument/2006/relationships/hyperlink" Target="https://www.sec.gov/Archives/edgar/data/1875444/000119312521291002/d183044dex104.htm" TargetMode="External"/><Relationship Id="rId238" Type="http://schemas.openxmlformats.org/officeDocument/2006/relationships/hyperlink" Target="https://www.sec.gov/Archives/edgar/data/1875444/000119312521291002/d183044dex105.htm" TargetMode="External"/><Relationship Id="rId240" Type="http://schemas.openxmlformats.org/officeDocument/2006/relationships/hyperlink" Target="https://www.sec.gov/Archives/edgar/data/1875444/000119312521291002/d183044dex106.htm" TargetMode="External"/><Relationship Id="rId241" Type="http://schemas.openxmlformats.org/officeDocument/2006/relationships/hyperlink" Target="https://www.sec.gov/Archives/edgar/data/1875444/000119312521291002/d183044dex107.htm" TargetMode="External"/><Relationship Id="rId242" Type="http://schemas.openxmlformats.org/officeDocument/2006/relationships/hyperlink" Target="https://www.sec.gov/Archives/edgar/data/1875444/000119312521291002/d183044dex108.htm" TargetMode="External"/><Relationship Id="rId243" Type="http://schemas.openxmlformats.org/officeDocument/2006/relationships/hyperlink" Target="https://www.sec.gov/Archives/edgar/data/1875444/000187544421000004/exhibit101-creditagreeme.htm" TargetMode="External"/><Relationship Id="rId244" Type="http://schemas.openxmlformats.org/officeDocument/2006/relationships/hyperlink" Target="https://www.sec.gov/Archives/edgar/data/1875444/000187544422000126/firstamendmentandincrea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2024-03-11T15:52:58Z</dcterms:created>
  <dcterms:modified xsi:type="dcterms:W3CDTF">2024-03-11T15:52:58Z</dcterms:modified>
</cp:coreProperties>
</file>