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3" w:lineRule="exact"/>
        <w:rPr>
          <w:sz w:val="24"/>
          <w:szCs w:val="24"/>
          <w:color w:val="auto"/>
        </w:rPr>
      </w:pPr>
    </w:p>
    <w:p>
      <w:pPr>
        <w:ind w:left="560" w:hanging="408"/>
        <w:spacing w:after="0"/>
        <w:tabs>
          <w:tab w:leader="none" w:pos="560"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313" w:lineRule="exact"/>
        <w:rPr>
          <w:sz w:val="24"/>
          <w:szCs w:val="24"/>
          <w:color w:val="auto"/>
        </w:rPr>
      </w:pPr>
    </w:p>
    <w:p>
      <w:pPr>
        <w:ind w:left="500"/>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232" w:lineRule="exact"/>
        <w:rPr>
          <w:sz w:val="24"/>
          <w:szCs w:val="24"/>
          <w:color w:val="auto"/>
        </w:rPr>
      </w:pPr>
    </w:p>
    <w:p>
      <w:pPr>
        <w:ind w:left="100"/>
        <w:spacing w:after="0" w:line="221" w:lineRule="exact"/>
        <w:rPr>
          <w:sz w:val="20"/>
          <w:szCs w:val="20"/>
          <w:color w:val="auto"/>
        </w:rPr>
      </w:pPr>
      <w:r>
        <w:rPr>
          <w:rFonts w:ascii="MS PGothic" w:cs="MS PGothic" w:eastAsia="MS PGothic" w:hAnsi="MS PGothic"/>
          <w:sz w:val="22"/>
          <w:szCs w:val="22"/>
          <w:color w:val="auto"/>
        </w:rPr>
        <w:t>☐</w:t>
      </w:r>
    </w:p>
    <w:p>
      <w:pPr>
        <w:spacing w:after="0" w:line="141" w:lineRule="exact"/>
        <w:rPr>
          <w:sz w:val="24"/>
          <w:szCs w:val="24"/>
          <w:color w:val="auto"/>
        </w:rPr>
      </w:pPr>
    </w:p>
    <w:p>
      <w:pPr>
        <w:ind w:left="500" w:right="1680" w:hanging="46"/>
        <w:spacing w:after="0" w:line="536" w:lineRule="auto"/>
        <w:rPr>
          <w:sz w:val="20"/>
          <w:szCs w:val="20"/>
          <w:color w:val="auto"/>
        </w:rPr>
      </w:pPr>
      <w:r>
        <w:rPr>
          <w:rFonts w:ascii="Arial" w:cs="Arial" w:eastAsia="Arial" w:hAnsi="Arial"/>
          <w:sz w:val="18"/>
          <w:szCs w:val="18"/>
          <w:b w:val="1"/>
          <w:bCs w:val="1"/>
          <w:color w:val="auto"/>
        </w:rPr>
        <w:t>TRANSITION REPORT PURSUANT TO SECTION 13 OR 15(d) OF THE SECURITIES EXCHANGE ACT OF 1934 For the transition period from to</w:t>
      </w:r>
    </w:p>
    <w:p>
      <w:pPr>
        <w:jc w:val="center"/>
        <w:spacing w:after="0"/>
        <w:rPr>
          <w:sz w:val="20"/>
          <w:szCs w:val="20"/>
          <w:color w:val="auto"/>
        </w:rPr>
      </w:pPr>
      <w:r>
        <w:rPr>
          <w:rFonts w:ascii="Arial" w:cs="Arial" w:eastAsia="Arial" w:hAnsi="Arial"/>
          <w:sz w:val="18"/>
          <w:szCs w:val="18"/>
          <w:b w:val="1"/>
          <w:bCs w:val="1"/>
          <w:color w:val="auto"/>
        </w:rPr>
        <w:t>Commission file number: 001-41009</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Arhaus, Inc.</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00"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3920" w:type="dxa"/>
            <w:vAlign w:val="bottom"/>
            <w:gridSpan w:val="2"/>
          </w:tcPr>
          <w:p>
            <w:pPr>
              <w:jc w:val="center"/>
              <w:ind w:left="1630"/>
              <w:spacing w:after="0"/>
              <w:rPr>
                <w:sz w:val="20"/>
                <w:szCs w:val="20"/>
                <w:color w:val="auto"/>
              </w:rPr>
            </w:pPr>
            <w:r>
              <w:rPr>
                <w:rFonts w:ascii="Arial" w:cs="Arial" w:eastAsia="Arial" w:hAnsi="Arial"/>
                <w:sz w:val="18"/>
                <w:szCs w:val="18"/>
                <w:b w:val="1"/>
                <w:bCs w:val="1"/>
                <w:color w:val="auto"/>
                <w:w w:val="91"/>
              </w:rPr>
              <w:t>Delaware</w:t>
            </w:r>
          </w:p>
        </w:tc>
        <w:tc>
          <w:tcPr>
            <w:tcW w:w="2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80" w:type="dxa"/>
            <w:vAlign w:val="bottom"/>
          </w:tcPr>
          <w:p>
            <w:pPr>
              <w:jc w:val="center"/>
              <w:ind w:right="470"/>
              <w:spacing w:after="0"/>
              <w:rPr>
                <w:sz w:val="20"/>
                <w:szCs w:val="20"/>
                <w:color w:val="auto"/>
              </w:rPr>
            </w:pPr>
            <w:r>
              <w:rPr>
                <w:rFonts w:ascii="Arial" w:cs="Arial" w:eastAsia="Arial" w:hAnsi="Arial"/>
                <w:sz w:val="18"/>
                <w:szCs w:val="18"/>
                <w:b w:val="1"/>
                <w:bCs w:val="1"/>
                <w:color w:val="auto"/>
                <w:w w:val="91"/>
              </w:rPr>
              <w:t>87-1729256</w:t>
            </w:r>
          </w:p>
        </w:tc>
        <w:tc>
          <w:tcPr>
            <w:tcW w:w="0" w:type="dxa"/>
            <w:vAlign w:val="bottom"/>
          </w:tcPr>
          <w:p>
            <w:pPr>
              <w:spacing w:after="0"/>
              <w:rPr>
                <w:sz w:val="1"/>
                <w:szCs w:val="1"/>
                <w:color w:val="auto"/>
              </w:rPr>
            </w:pPr>
          </w:p>
        </w:tc>
      </w:tr>
      <w:tr>
        <w:trPr>
          <w:trHeight w:val="283"/>
        </w:trPr>
        <w:tc>
          <w:tcPr>
            <w:tcW w:w="3920" w:type="dxa"/>
            <w:vAlign w:val="bottom"/>
            <w:gridSpan w:val="2"/>
          </w:tcPr>
          <w:p>
            <w:pPr>
              <w:jc w:val="center"/>
              <w:ind w:left="1630"/>
              <w:spacing w:after="0"/>
              <w:rPr>
                <w:sz w:val="20"/>
                <w:szCs w:val="20"/>
                <w:color w:val="auto"/>
              </w:rPr>
            </w:pPr>
            <w:r>
              <w:rPr>
                <w:rFonts w:ascii="Arial" w:cs="Arial" w:eastAsia="Arial" w:hAnsi="Arial"/>
                <w:sz w:val="18"/>
                <w:szCs w:val="18"/>
                <w:color w:val="auto"/>
                <w:w w:val="92"/>
              </w:rPr>
              <w:t>(State or other jurisdiction of</w:t>
            </w:r>
          </w:p>
        </w:tc>
        <w:tc>
          <w:tcPr>
            <w:tcW w:w="2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80" w:type="dxa"/>
            <w:vAlign w:val="bottom"/>
          </w:tcPr>
          <w:p>
            <w:pPr>
              <w:jc w:val="center"/>
              <w:ind w:right="470"/>
              <w:spacing w:after="0"/>
              <w:rPr>
                <w:sz w:val="20"/>
                <w:szCs w:val="20"/>
                <w:color w:val="auto"/>
              </w:rPr>
            </w:pPr>
            <w:r>
              <w:rPr>
                <w:rFonts w:ascii="Arial" w:cs="Arial" w:eastAsia="Arial" w:hAnsi="Arial"/>
                <w:sz w:val="18"/>
                <w:szCs w:val="18"/>
                <w:color w:val="auto"/>
                <w:w w:val="93"/>
              </w:rPr>
              <w:t>(I.R.S. Employer</w:t>
            </w:r>
          </w:p>
        </w:tc>
        <w:tc>
          <w:tcPr>
            <w:tcW w:w="0" w:type="dxa"/>
            <w:vAlign w:val="bottom"/>
          </w:tcPr>
          <w:p>
            <w:pPr>
              <w:spacing w:after="0"/>
              <w:rPr>
                <w:sz w:val="1"/>
                <w:szCs w:val="1"/>
                <w:color w:val="auto"/>
              </w:rPr>
            </w:pPr>
          </w:p>
        </w:tc>
      </w:tr>
      <w:tr>
        <w:trPr>
          <w:trHeight w:val="257"/>
        </w:trPr>
        <w:tc>
          <w:tcPr>
            <w:tcW w:w="3920" w:type="dxa"/>
            <w:vAlign w:val="bottom"/>
            <w:gridSpan w:val="2"/>
          </w:tcPr>
          <w:p>
            <w:pPr>
              <w:jc w:val="center"/>
              <w:ind w:left="1630"/>
              <w:spacing w:after="0"/>
              <w:rPr>
                <w:sz w:val="20"/>
                <w:szCs w:val="20"/>
                <w:color w:val="auto"/>
              </w:rPr>
            </w:pPr>
            <w:r>
              <w:rPr>
                <w:rFonts w:ascii="Arial" w:cs="Arial" w:eastAsia="Arial" w:hAnsi="Arial"/>
                <w:sz w:val="18"/>
                <w:szCs w:val="18"/>
                <w:color w:val="auto"/>
                <w:w w:val="92"/>
              </w:rPr>
              <w:t>incorporation or organization)</w:t>
            </w:r>
          </w:p>
        </w:tc>
        <w:tc>
          <w:tcPr>
            <w:tcW w:w="20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680" w:type="dxa"/>
            <w:vAlign w:val="bottom"/>
          </w:tcPr>
          <w:p>
            <w:pPr>
              <w:jc w:val="center"/>
              <w:ind w:right="49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512"/>
        </w:trPr>
        <w:tc>
          <w:tcPr>
            <w:tcW w:w="3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320" w:type="dxa"/>
            <w:vAlign w:val="bottom"/>
            <w:gridSpan w:val="3"/>
          </w:tcPr>
          <w:p>
            <w:pPr>
              <w:jc w:val="center"/>
              <w:ind w:right="3830"/>
              <w:spacing w:after="0"/>
              <w:rPr>
                <w:sz w:val="20"/>
                <w:szCs w:val="20"/>
                <w:color w:val="auto"/>
              </w:rPr>
            </w:pPr>
            <w:r>
              <w:rPr>
                <w:rFonts w:ascii="Arial" w:cs="Arial" w:eastAsia="Arial" w:hAnsi="Arial"/>
                <w:sz w:val="18"/>
                <w:szCs w:val="18"/>
                <w:b w:val="1"/>
                <w:bCs w:val="1"/>
                <w:color w:val="auto"/>
                <w:w w:val="91"/>
              </w:rPr>
              <w:t>51 E. Hines Hill Road, Boston Heights, Ohio</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320" w:type="dxa"/>
            <w:vAlign w:val="bottom"/>
            <w:gridSpan w:val="3"/>
          </w:tcPr>
          <w:p>
            <w:pPr>
              <w:jc w:val="center"/>
              <w:ind w:right="3810"/>
              <w:spacing w:after="0"/>
              <w:rPr>
                <w:sz w:val="20"/>
                <w:szCs w:val="20"/>
                <w:color w:val="auto"/>
              </w:rPr>
            </w:pPr>
            <w:r>
              <w:rPr>
                <w:rFonts w:ascii="Arial" w:cs="Arial" w:eastAsia="Arial" w:hAnsi="Arial"/>
                <w:sz w:val="18"/>
                <w:szCs w:val="18"/>
                <w:color w:val="auto"/>
                <w:w w:val="92"/>
              </w:rPr>
              <w:t>(Address of Principal Executive Offices)</w:t>
            </w:r>
          </w:p>
        </w:tc>
        <w:tc>
          <w:tcPr>
            <w:tcW w:w="0" w:type="dxa"/>
            <w:vAlign w:val="bottom"/>
          </w:tcPr>
          <w:p>
            <w:pPr>
              <w:spacing w:after="0"/>
              <w:rPr>
                <w:sz w:val="1"/>
                <w:szCs w:val="1"/>
                <w:color w:val="auto"/>
              </w:rPr>
            </w:pPr>
          </w:p>
        </w:tc>
      </w:tr>
      <w:tr>
        <w:trPr>
          <w:trHeight w:val="256"/>
        </w:trPr>
        <w:tc>
          <w:tcPr>
            <w:tcW w:w="3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b w:val="1"/>
                <w:bCs w:val="1"/>
                <w:color w:val="auto"/>
              </w:rPr>
              <w:t>44236</w:t>
            </w:r>
          </w:p>
        </w:tc>
        <w:tc>
          <w:tcPr>
            <w:tcW w:w="60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40" w:type="dxa"/>
            <w:vAlign w:val="bottom"/>
            <w:gridSpan w:val="2"/>
          </w:tcPr>
          <w:p>
            <w:pPr>
              <w:jc w:val="center"/>
              <w:ind w:left="670"/>
              <w:spacing w:after="0"/>
              <w:rPr>
                <w:sz w:val="20"/>
                <w:szCs w:val="20"/>
                <w:color w:val="auto"/>
              </w:rPr>
            </w:pPr>
            <w:r>
              <w:rPr>
                <w:rFonts w:ascii="Arial" w:cs="Arial" w:eastAsia="Arial" w:hAnsi="Arial"/>
                <w:sz w:val="18"/>
                <w:szCs w:val="18"/>
                <w:color w:val="auto"/>
                <w:w w:val="94"/>
              </w:rPr>
              <w:t>(Zip Code)</w:t>
            </w:r>
          </w:p>
        </w:tc>
        <w:tc>
          <w:tcPr>
            <w:tcW w:w="4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1"/>
        </w:trPr>
        <w:tc>
          <w:tcPr>
            <w:tcW w:w="3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(440) 439-7700</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p>
        </w:tc>
        <w:tc>
          <w:tcPr>
            <w:tcW w:w="7660" w:type="dxa"/>
            <w:vAlign w:val="bottom"/>
            <w:gridSpan w:val="4"/>
          </w:tcPr>
          <w:p>
            <w:pPr>
              <w:jc w:val="center"/>
              <w:ind w:right="3490"/>
              <w:spacing w:after="0"/>
              <w:rPr>
                <w:sz w:val="20"/>
                <w:szCs w:val="20"/>
                <w:color w:val="auto"/>
              </w:rPr>
            </w:pPr>
            <w:r>
              <w:rPr>
                <w:rFonts w:ascii="Arial" w:cs="Arial" w:eastAsia="Arial" w:hAnsi="Arial"/>
                <w:sz w:val="18"/>
                <w:szCs w:val="18"/>
                <w:color w:val="auto"/>
                <w:w w:val="89"/>
              </w:rPr>
              <w:t>(Registrant's telephone number, including area code)</w:t>
            </w:r>
          </w:p>
        </w:tc>
        <w:tc>
          <w:tcPr>
            <w:tcW w:w="0" w:type="dxa"/>
            <w:vAlign w:val="bottom"/>
          </w:tcPr>
          <w:p>
            <w:pPr>
              <w:spacing w:after="0"/>
              <w:rPr>
                <w:sz w:val="1"/>
                <w:szCs w:val="1"/>
                <w:color w:val="auto"/>
              </w:rPr>
            </w:pPr>
          </w:p>
        </w:tc>
      </w:tr>
      <w:tr>
        <w:trPr>
          <w:trHeight w:val="391"/>
        </w:trPr>
        <w:tc>
          <w:tcPr>
            <w:tcW w:w="6560" w:type="dxa"/>
            <w:vAlign w:val="bottom"/>
            <w:gridSpan w:val="4"/>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5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4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340" w:type="dxa"/>
            <w:vAlign w:val="bottom"/>
            <w:tcBorders>
              <w:bottom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89"/>
              </w:rPr>
              <w:t>Trading Symbol(s)</w:t>
            </w:r>
          </w:p>
        </w:tc>
        <w:tc>
          <w:tcPr>
            <w:tcW w:w="600" w:type="dxa"/>
            <w:vAlign w:val="bottom"/>
            <w:tcBorders>
              <w:bottom w:val="single" w:sz="8" w:color="auto"/>
            </w:tcBorders>
          </w:tcPr>
          <w:p>
            <w:pPr>
              <w:spacing w:after="0"/>
              <w:rPr>
                <w:sz w:val="20"/>
                <w:szCs w:val="20"/>
                <w:color w:val="auto"/>
              </w:rPr>
            </w:pPr>
          </w:p>
        </w:tc>
        <w:tc>
          <w:tcPr>
            <w:tcW w:w="4680" w:type="dxa"/>
            <w:vAlign w:val="bottom"/>
            <w:tcBorders>
              <w:bottom w:val="single" w:sz="8" w:color="auto"/>
              <w:right w:val="single" w:sz="8" w:color="auto"/>
            </w:tcBorders>
          </w:tcPr>
          <w:p>
            <w:pPr>
              <w:jc w:val="center"/>
              <w:ind w:right="530"/>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173"/>
        </w:trPr>
        <w:tc>
          <w:tcPr>
            <w:tcW w:w="3580" w:type="dxa"/>
            <w:vAlign w:val="bottom"/>
            <w:tcBorders>
              <w:left w:val="single" w:sz="8" w:color="auto"/>
              <w:right w:val="single" w:sz="8" w:color="auto"/>
            </w:tcBorders>
            <w:shd w:val="clear" w:color="auto" w:fill="CCEEFF"/>
          </w:tcPr>
          <w:p>
            <w:pPr>
              <w:jc w:val="center"/>
              <w:spacing w:after="0" w:line="173" w:lineRule="exact"/>
              <w:rPr>
                <w:sz w:val="20"/>
                <w:szCs w:val="20"/>
                <w:color w:val="auto"/>
              </w:rPr>
            </w:pPr>
            <w:r>
              <w:rPr>
                <w:rFonts w:ascii="Arial" w:cs="Arial" w:eastAsia="Arial" w:hAnsi="Arial"/>
                <w:sz w:val="18"/>
                <w:szCs w:val="18"/>
                <w:color w:val="auto"/>
                <w:w w:val="89"/>
              </w:rPr>
              <w:t>Class A common stock, $0.001 par value per</w:t>
            </w:r>
          </w:p>
        </w:tc>
        <w:tc>
          <w:tcPr>
            <w:tcW w:w="340" w:type="dxa"/>
            <w:vAlign w:val="bottom"/>
            <w:shd w:val="clear" w:color="auto" w:fill="CCEEFF"/>
          </w:tcPr>
          <w:p>
            <w:pPr>
              <w:spacing w:after="0"/>
              <w:rPr>
                <w:sz w:val="15"/>
                <w:szCs w:val="15"/>
                <w:color w:val="auto"/>
              </w:rPr>
            </w:pPr>
          </w:p>
        </w:tc>
        <w:tc>
          <w:tcPr>
            <w:tcW w:w="2040" w:type="dxa"/>
            <w:vAlign w:val="bottom"/>
            <w:tcBorders>
              <w:right w:val="single" w:sz="8" w:color="auto"/>
            </w:tcBorders>
            <w:vMerge w:val="restart"/>
            <w:shd w:val="clear" w:color="auto" w:fill="CCEEFF"/>
          </w:tcPr>
          <w:p>
            <w:pPr>
              <w:jc w:val="center"/>
              <w:ind w:right="270"/>
              <w:spacing w:after="0"/>
              <w:rPr>
                <w:sz w:val="20"/>
                <w:szCs w:val="20"/>
                <w:color w:val="auto"/>
              </w:rPr>
            </w:pPr>
            <w:r>
              <w:rPr>
                <w:rFonts w:ascii="Arial" w:cs="Arial" w:eastAsia="Arial" w:hAnsi="Arial"/>
                <w:sz w:val="18"/>
                <w:szCs w:val="18"/>
                <w:color w:val="auto"/>
                <w:w w:val="95"/>
              </w:rPr>
              <w:t>ARHS</w:t>
            </w:r>
          </w:p>
        </w:tc>
        <w:tc>
          <w:tcPr>
            <w:tcW w:w="600" w:type="dxa"/>
            <w:vAlign w:val="bottom"/>
            <w:shd w:val="clear" w:color="auto" w:fill="CCEEFF"/>
          </w:tcPr>
          <w:p>
            <w:pPr>
              <w:spacing w:after="0"/>
              <w:rPr>
                <w:sz w:val="15"/>
                <w:szCs w:val="15"/>
                <w:color w:val="auto"/>
              </w:rPr>
            </w:pPr>
          </w:p>
        </w:tc>
        <w:tc>
          <w:tcPr>
            <w:tcW w:w="4680" w:type="dxa"/>
            <w:vAlign w:val="bottom"/>
            <w:tcBorders>
              <w:right w:val="single" w:sz="8" w:color="auto"/>
            </w:tcBorders>
            <w:shd w:val="clear" w:color="auto" w:fill="CCEEFF"/>
          </w:tcPr>
          <w:p>
            <w:pPr>
              <w:jc w:val="center"/>
              <w:ind w:right="530"/>
              <w:spacing w:after="0" w:line="173" w:lineRule="exact"/>
              <w:rPr>
                <w:sz w:val="20"/>
                <w:szCs w:val="20"/>
                <w:color w:val="auto"/>
              </w:rPr>
            </w:pPr>
            <w:r>
              <w:rPr>
                <w:rFonts w:ascii="Arial" w:cs="Arial" w:eastAsia="Arial" w:hAnsi="Arial"/>
                <w:sz w:val="18"/>
                <w:szCs w:val="18"/>
                <w:color w:val="auto"/>
                <w:w w:val="91"/>
              </w:rPr>
              <w:t>The Nasdaq Global Select Market</w:t>
            </w:r>
          </w:p>
        </w:tc>
        <w:tc>
          <w:tcPr>
            <w:tcW w:w="0" w:type="dxa"/>
            <w:vAlign w:val="bottom"/>
          </w:tcPr>
          <w:p>
            <w:pPr>
              <w:spacing w:after="0"/>
              <w:rPr>
                <w:sz w:val="1"/>
                <w:szCs w:val="1"/>
                <w:color w:val="auto"/>
              </w:rPr>
            </w:pPr>
          </w:p>
        </w:tc>
      </w:tr>
      <w:tr>
        <w:trPr>
          <w:trHeight w:val="135"/>
        </w:trPr>
        <w:tc>
          <w:tcPr>
            <w:tcW w:w="358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4"/>
              </w:rPr>
              <w:t>share</w:t>
            </w:r>
          </w:p>
        </w:tc>
        <w:tc>
          <w:tcPr>
            <w:tcW w:w="340" w:type="dxa"/>
            <w:vAlign w:val="bottom"/>
            <w:shd w:val="clear" w:color="auto" w:fill="CCEEFF"/>
          </w:tcPr>
          <w:p>
            <w:pPr>
              <w:spacing w:after="0"/>
              <w:rPr>
                <w:sz w:val="11"/>
                <w:szCs w:val="11"/>
                <w:color w:val="auto"/>
              </w:rPr>
            </w:pPr>
          </w:p>
        </w:tc>
        <w:tc>
          <w:tcPr>
            <w:tcW w:w="2040" w:type="dxa"/>
            <w:vAlign w:val="bottom"/>
            <w:tcBorders>
              <w:right w:val="single" w:sz="8" w:color="auto"/>
            </w:tcBorders>
            <w:vMerge w:val="continue"/>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680" w:type="dxa"/>
            <w:vAlign w:val="bottom"/>
            <w:tcBorders>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580" w:type="dxa"/>
            <w:vAlign w:val="bottom"/>
            <w:tcBorders>
              <w:left w:val="single" w:sz="8" w:color="auto"/>
              <w:bottom w:val="single" w:sz="8" w:color="auto"/>
              <w:right w:val="single" w:sz="8" w:color="auto"/>
            </w:tcBorders>
            <w:vMerge w:val="continue"/>
            <w:shd w:val="clear" w:color="auto" w:fill="CCEEFF"/>
          </w:tcPr>
          <w:p>
            <w:pPr>
              <w:spacing w:after="0"/>
              <w:rPr>
                <w:sz w:val="8"/>
                <w:szCs w:val="8"/>
                <w:color w:val="auto"/>
              </w:rPr>
            </w:pPr>
          </w:p>
        </w:tc>
        <w:tc>
          <w:tcPr>
            <w:tcW w:w="340" w:type="dxa"/>
            <w:vAlign w:val="bottom"/>
            <w:tcBorders>
              <w:bottom w:val="single" w:sz="8" w:color="auto"/>
            </w:tcBorders>
            <w:shd w:val="clear" w:color="auto" w:fill="CCEEFF"/>
          </w:tcPr>
          <w:p>
            <w:pPr>
              <w:spacing w:after="0"/>
              <w:rPr>
                <w:sz w:val="8"/>
                <w:szCs w:val="8"/>
                <w:color w:val="auto"/>
              </w:rPr>
            </w:pPr>
          </w:p>
        </w:tc>
        <w:tc>
          <w:tcPr>
            <w:tcW w:w="2040" w:type="dxa"/>
            <w:vAlign w:val="bottom"/>
            <w:tcBorders>
              <w:bottom w:val="single" w:sz="8" w:color="auto"/>
              <w:right w:val="single" w:sz="8" w:color="auto"/>
            </w:tcBorders>
            <w:shd w:val="clear" w:color="auto" w:fill="CCEEFF"/>
          </w:tcPr>
          <w:p>
            <w:pPr>
              <w:spacing w:after="0"/>
              <w:rPr>
                <w:sz w:val="8"/>
                <w:szCs w:val="8"/>
                <w:color w:val="auto"/>
              </w:rPr>
            </w:pPr>
          </w:p>
        </w:tc>
        <w:tc>
          <w:tcPr>
            <w:tcW w:w="600" w:type="dxa"/>
            <w:vAlign w:val="bottom"/>
            <w:tcBorders>
              <w:bottom w:val="single" w:sz="8" w:color="auto"/>
            </w:tcBorders>
            <w:shd w:val="clear" w:color="auto" w:fill="CCEEFF"/>
          </w:tcPr>
          <w:p>
            <w:pPr>
              <w:spacing w:after="0"/>
              <w:rPr>
                <w:sz w:val="8"/>
                <w:szCs w:val="8"/>
                <w:color w:val="auto"/>
              </w:rPr>
            </w:pPr>
          </w:p>
        </w:tc>
        <w:tc>
          <w:tcPr>
            <w:tcW w:w="4680" w:type="dxa"/>
            <w:vAlign w:val="bottom"/>
            <w:tcBorders>
              <w:bottom w:val="single" w:sz="8" w:color="auto"/>
              <w:right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256" w:lineRule="exact"/>
        <w:rPr>
          <w:sz w:val="24"/>
          <w:szCs w:val="24"/>
          <w:color w:val="auto"/>
        </w:rPr>
      </w:pPr>
    </w:p>
    <w:p>
      <w:pPr>
        <w:ind w:right="260"/>
        <w:spacing w:after="0" w:line="24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132" w:lineRule="exact"/>
        <w:rPr>
          <w:sz w:val="24"/>
          <w:szCs w:val="24"/>
          <w:color w:val="auto"/>
        </w:rPr>
      </w:pPr>
    </w:p>
    <w:p>
      <w:pPr>
        <w:jc w:val="both"/>
        <w:ind w:right="300"/>
        <w:spacing w:after="0" w:line="24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118"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19"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3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00" w:type="dxa"/>
            <w:vAlign w:val="bottom"/>
            <w:vMerge w:val="restart"/>
          </w:tcPr>
          <w:p>
            <w:pPr>
              <w:ind w:left="720"/>
              <w:spacing w:after="0" w:line="221" w:lineRule="exact"/>
              <w:rPr>
                <w:sz w:val="20"/>
                <w:szCs w:val="20"/>
                <w:color w:val="auto"/>
              </w:rPr>
            </w:pPr>
            <w:r>
              <w:rPr>
                <w:rFonts w:ascii="MS PGothic" w:cs="MS PGothic" w:eastAsia="MS PGothic" w:hAnsi="MS PGothic"/>
                <w:sz w:val="22"/>
                <w:szCs w:val="22"/>
                <w:color w:val="auto"/>
              </w:rPr>
              <w:t>☐</w:t>
            </w:r>
          </w:p>
        </w:tc>
        <w:tc>
          <w:tcPr>
            <w:tcW w:w="4800" w:type="dxa"/>
            <w:vAlign w:val="bottom"/>
          </w:tcPr>
          <w:p>
            <w:pPr>
              <w:ind w:left="1960"/>
              <w:spacing w:after="0"/>
              <w:rPr>
                <w:sz w:val="20"/>
                <w:szCs w:val="20"/>
                <w:color w:val="auto"/>
              </w:rPr>
            </w:pPr>
            <w:r>
              <w:rPr>
                <w:rFonts w:ascii="Arial" w:cs="Arial" w:eastAsia="Arial" w:hAnsi="Arial"/>
                <w:sz w:val="18"/>
                <w:szCs w:val="18"/>
                <w:color w:val="auto"/>
              </w:rPr>
              <w:t>Accelerated filer</w:t>
            </w:r>
          </w:p>
        </w:tc>
        <w:tc>
          <w:tcPr>
            <w:tcW w:w="1060" w:type="dxa"/>
            <w:vAlign w:val="bottom"/>
            <w:vMerge w:val="restart"/>
          </w:tcPr>
          <w:p>
            <w:pPr>
              <w:ind w:left="880"/>
              <w:spacing w:after="0" w:line="221" w:lineRule="exact"/>
              <w:rPr>
                <w:sz w:val="20"/>
                <w:szCs w:val="20"/>
                <w:color w:val="auto"/>
              </w:rPr>
            </w:pPr>
            <w:r>
              <w:rPr>
                <w:rFonts w:ascii="MS PGothic" w:cs="MS PGothic" w:eastAsia="MS PGothic" w:hAnsi="MS PGothic"/>
                <w:sz w:val="22"/>
                <w:szCs w:val="22"/>
                <w:color w:val="auto"/>
                <w:w w:val="72"/>
              </w:rPr>
              <w:t>☒</w:t>
            </w:r>
          </w:p>
        </w:tc>
        <w:tc>
          <w:tcPr>
            <w:tcW w:w="0" w:type="dxa"/>
            <w:vAlign w:val="bottom"/>
          </w:tcPr>
          <w:p>
            <w:pPr>
              <w:spacing w:after="0"/>
              <w:rPr>
                <w:sz w:val="1"/>
                <w:szCs w:val="1"/>
                <w:color w:val="auto"/>
              </w:rPr>
            </w:pPr>
          </w:p>
        </w:tc>
      </w:tr>
      <w:tr>
        <w:trPr>
          <w:trHeight w:val="152"/>
        </w:trPr>
        <w:tc>
          <w:tcPr>
            <w:tcW w:w="2340" w:type="dxa"/>
            <w:vAlign w:val="bottom"/>
          </w:tcPr>
          <w:p>
            <w:pPr>
              <w:spacing w:after="0"/>
              <w:rPr>
                <w:sz w:val="13"/>
                <w:szCs w:val="13"/>
                <w:color w:val="auto"/>
              </w:rPr>
            </w:pPr>
          </w:p>
        </w:tc>
        <w:tc>
          <w:tcPr>
            <w:tcW w:w="2900" w:type="dxa"/>
            <w:vAlign w:val="bottom"/>
            <w:vMerge w:val="continue"/>
          </w:tcPr>
          <w:p>
            <w:pPr>
              <w:spacing w:after="0"/>
              <w:rPr>
                <w:sz w:val="13"/>
                <w:szCs w:val="13"/>
                <w:color w:val="auto"/>
              </w:rPr>
            </w:pPr>
          </w:p>
        </w:tc>
        <w:tc>
          <w:tcPr>
            <w:tcW w:w="48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48"/>
        </w:trPr>
        <w:tc>
          <w:tcPr>
            <w:tcW w:w="2340" w:type="dxa"/>
            <w:vAlign w:val="bottom"/>
          </w:tcPr>
          <w:p>
            <w:pPr>
              <w:spacing w:after="0"/>
              <w:rPr>
                <w:sz w:val="20"/>
                <w:szCs w:val="20"/>
                <w:color w:val="auto"/>
              </w:rPr>
            </w:pPr>
            <w:r>
              <w:rPr>
                <w:rFonts w:ascii="Arial" w:cs="Arial" w:eastAsia="Arial" w:hAnsi="Arial"/>
                <w:sz w:val="18"/>
                <w:szCs w:val="18"/>
                <w:color w:val="auto"/>
              </w:rPr>
              <w:t>Non-accelerated filer</w:t>
            </w:r>
          </w:p>
        </w:tc>
        <w:tc>
          <w:tcPr>
            <w:tcW w:w="2900" w:type="dxa"/>
            <w:vAlign w:val="bottom"/>
            <w:vMerge w:val="restart"/>
          </w:tcPr>
          <w:p>
            <w:pPr>
              <w:ind w:left="720"/>
              <w:spacing w:after="0" w:line="221" w:lineRule="exact"/>
              <w:rPr>
                <w:sz w:val="20"/>
                <w:szCs w:val="20"/>
                <w:color w:val="auto"/>
              </w:rPr>
            </w:pPr>
            <w:r>
              <w:rPr>
                <w:rFonts w:ascii="MS PGothic" w:cs="MS PGothic" w:eastAsia="MS PGothic" w:hAnsi="MS PGothic"/>
                <w:sz w:val="22"/>
                <w:szCs w:val="22"/>
                <w:color w:val="auto"/>
              </w:rPr>
              <w:t>☐</w:t>
            </w:r>
          </w:p>
        </w:tc>
        <w:tc>
          <w:tcPr>
            <w:tcW w:w="4800" w:type="dxa"/>
            <w:vAlign w:val="bottom"/>
          </w:tcPr>
          <w:p>
            <w:pPr>
              <w:ind w:left="1960"/>
              <w:spacing w:after="0"/>
              <w:rPr>
                <w:sz w:val="20"/>
                <w:szCs w:val="20"/>
                <w:color w:val="auto"/>
              </w:rPr>
            </w:pPr>
            <w:r>
              <w:rPr>
                <w:rFonts w:ascii="Arial" w:cs="Arial" w:eastAsia="Arial" w:hAnsi="Arial"/>
                <w:sz w:val="18"/>
                <w:szCs w:val="18"/>
                <w:color w:val="auto"/>
              </w:rPr>
              <w:t>Smaller reporting company</w:t>
            </w:r>
          </w:p>
        </w:tc>
        <w:tc>
          <w:tcPr>
            <w:tcW w:w="1060" w:type="dxa"/>
            <w:vAlign w:val="bottom"/>
            <w:vMerge w:val="restart"/>
          </w:tcPr>
          <w:p>
            <w:pPr>
              <w:ind w:left="880"/>
              <w:spacing w:after="0" w:line="221" w:lineRule="exact"/>
              <w:rPr>
                <w:sz w:val="20"/>
                <w:szCs w:val="20"/>
                <w:color w:val="auto"/>
              </w:rPr>
            </w:pPr>
            <w:r>
              <w:rPr>
                <w:rFonts w:ascii="MS PGothic" w:cs="MS PGothic" w:eastAsia="MS PGothic" w:hAnsi="MS PGothic"/>
                <w:sz w:val="22"/>
                <w:szCs w:val="22"/>
                <w:color w:val="auto"/>
                <w:w w:val="72"/>
              </w:rPr>
              <w:t>☒</w:t>
            </w:r>
          </w:p>
        </w:tc>
        <w:tc>
          <w:tcPr>
            <w:tcW w:w="0" w:type="dxa"/>
            <w:vAlign w:val="bottom"/>
          </w:tcPr>
          <w:p>
            <w:pPr>
              <w:spacing w:after="0"/>
              <w:rPr>
                <w:sz w:val="1"/>
                <w:szCs w:val="1"/>
                <w:color w:val="auto"/>
              </w:rPr>
            </w:pPr>
          </w:p>
        </w:tc>
      </w:tr>
      <w:tr>
        <w:trPr>
          <w:trHeight w:val="73"/>
        </w:trPr>
        <w:tc>
          <w:tcPr>
            <w:tcW w:w="2340" w:type="dxa"/>
            <w:vAlign w:val="bottom"/>
          </w:tcPr>
          <w:p>
            <w:pPr>
              <w:spacing w:after="0"/>
              <w:rPr>
                <w:sz w:val="6"/>
                <w:szCs w:val="6"/>
                <w:color w:val="auto"/>
              </w:rPr>
            </w:pPr>
          </w:p>
        </w:tc>
        <w:tc>
          <w:tcPr>
            <w:tcW w:w="2900" w:type="dxa"/>
            <w:vAlign w:val="bottom"/>
            <w:vMerge w:val="continue"/>
          </w:tcPr>
          <w:p>
            <w:pPr>
              <w:spacing w:after="0"/>
              <w:rPr>
                <w:sz w:val="6"/>
                <w:szCs w:val="6"/>
                <w:color w:val="auto"/>
              </w:rPr>
            </w:pPr>
          </w:p>
        </w:tc>
        <w:tc>
          <w:tcPr>
            <w:tcW w:w="48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62"/>
        </w:trPr>
        <w:tc>
          <w:tcPr>
            <w:tcW w:w="23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800" w:type="dxa"/>
            <w:vAlign w:val="bottom"/>
          </w:tcPr>
          <w:p>
            <w:pPr>
              <w:ind w:left="1960"/>
              <w:spacing w:after="0"/>
              <w:rPr>
                <w:sz w:val="20"/>
                <w:szCs w:val="20"/>
                <w:color w:val="auto"/>
              </w:rPr>
            </w:pPr>
            <w:r>
              <w:rPr>
                <w:rFonts w:ascii="Arial" w:cs="Arial" w:eastAsia="Arial" w:hAnsi="Arial"/>
                <w:sz w:val="18"/>
                <w:szCs w:val="18"/>
                <w:color w:val="auto"/>
              </w:rPr>
              <w:t>Emerging growth company</w:t>
            </w:r>
          </w:p>
        </w:tc>
        <w:tc>
          <w:tcPr>
            <w:tcW w:w="1060" w:type="dxa"/>
            <w:vAlign w:val="bottom"/>
          </w:tcPr>
          <w:p>
            <w:pPr>
              <w:ind w:left="880"/>
              <w:spacing w:after="0" w:line="221" w:lineRule="exact"/>
              <w:rPr>
                <w:sz w:val="20"/>
                <w:szCs w:val="20"/>
                <w:color w:val="auto"/>
              </w:rPr>
            </w:pPr>
            <w:r>
              <w:rPr>
                <w:rFonts w:ascii="MS PGothic" w:cs="MS PGothic" w:eastAsia="MS PGothic" w:hAnsi="MS PGothic"/>
                <w:sz w:val="22"/>
                <w:szCs w:val="22"/>
                <w:color w:val="auto"/>
                <w:w w:val="72"/>
              </w:rPr>
              <w:t>☒</w:t>
            </w:r>
          </w:p>
        </w:tc>
        <w:tc>
          <w:tcPr>
            <w:tcW w:w="0" w:type="dxa"/>
            <w:vAlign w:val="bottom"/>
          </w:tcPr>
          <w:p>
            <w:pPr>
              <w:spacing w:after="0"/>
              <w:rPr>
                <w:sz w:val="1"/>
                <w:szCs w:val="1"/>
                <w:color w:val="auto"/>
              </w:rPr>
            </w:pPr>
          </w:p>
        </w:tc>
      </w:tr>
    </w:tbl>
    <w:p>
      <w:pPr>
        <w:spacing w:after="0" w:line="225" w:lineRule="exact"/>
        <w:rPr>
          <w:sz w:val="24"/>
          <w:szCs w:val="24"/>
          <w:color w:val="auto"/>
        </w:rPr>
      </w:pPr>
    </w:p>
    <w:p>
      <w:pPr>
        <w:ind w:right="160"/>
        <w:spacing w:after="0" w:line="26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70"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ectPr>
          <w:pgSz w:w="11900" w:h="16838" w:orient="portrait"/>
          <w:cols w:equalWidth="0" w:num="1">
            <w:col w:w="11240"/>
          </w:cols>
          <w:pgMar w:left="320" w:top="229" w:right="339" w:bottom="11"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As of August 3, 2023 the registrant had 53,166,638 shares of Class A common stock and 87,115,600 shares of Class B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839470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40"/>
          </w:cols>
          <w:pgMar w:left="320" w:top="125" w:right="10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15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292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Page</w:t>
            </w:r>
          </w:p>
        </w:tc>
      </w:tr>
      <w:tr>
        <w:trPr>
          <w:trHeight w:val="385"/>
        </w:trPr>
        <w:tc>
          <w:tcPr>
            <w:tcW w:w="20" w:type="dxa"/>
            <w:vAlign w:val="bottom"/>
            <w:tcBorders>
              <w:bottom w:val="single" w:sz="8" w:color="CCEEFF"/>
            </w:tcBorders>
            <w:shd w:val="clear" w:color="auto" w:fill="CCEEFF"/>
          </w:tcPr>
          <w:p>
            <w:pPr>
              <w:spacing w:after="0"/>
              <w:rPr>
                <w:sz w:val="24"/>
                <w:szCs w:val="24"/>
                <w:color w:val="auto"/>
              </w:rPr>
            </w:pPr>
          </w:p>
        </w:tc>
        <w:tc>
          <w:tcPr>
            <w:tcW w:w="2320" w:type="dxa"/>
            <w:vAlign w:val="bottom"/>
            <w:tcBorders>
              <w:bottom w:val="single" w:sz="8" w:color="0000FF"/>
            </w:tcBorders>
            <w:gridSpan w:val="8"/>
            <w:shd w:val="clear" w:color="auto" w:fill="CCEEFF"/>
          </w:tcPr>
          <w:p>
            <w:pPr>
              <w:spacing w:after="0"/>
              <w:rPr>
                <w:sz w:val="20"/>
                <w:szCs w:val="20"/>
                <w:color w:val="auto"/>
              </w:rPr>
            </w:pPr>
            <w:r>
              <w:rPr>
                <w:rFonts w:ascii="Arial" w:cs="Arial" w:eastAsia="Arial" w:hAnsi="Arial"/>
                <w:sz w:val="18"/>
                <w:szCs w:val="18"/>
                <w:b w:val="1"/>
                <w:bCs w:val="1"/>
                <w:color w:val="0000FF"/>
                <w:w w:val="94"/>
              </w:rPr>
              <w:t>Part I - Financial Information</w:t>
            </w:r>
          </w:p>
        </w:tc>
        <w:tc>
          <w:tcPr>
            <w:tcW w:w="8080" w:type="dxa"/>
            <w:vAlign w:val="bottom"/>
            <w:tcBorders>
              <w:bottom w:val="single" w:sz="8" w:color="CCEEFF"/>
            </w:tcBorders>
            <w:gridSpan w:val="13"/>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189"/>
        </w:trPr>
        <w:tc>
          <w:tcPr>
            <w:tcW w:w="20" w:type="dxa"/>
            <w:vAlign w:val="bottom"/>
          </w:tcPr>
          <w:p>
            <w:pPr>
              <w:spacing w:after="0"/>
              <w:rPr>
                <w:sz w:val="16"/>
                <w:szCs w:val="16"/>
                <w:color w:val="auto"/>
              </w:rPr>
            </w:pPr>
          </w:p>
        </w:tc>
        <w:tc>
          <w:tcPr>
            <w:tcW w:w="1020" w:type="dxa"/>
            <w:vAlign w:val="bottom"/>
            <w:gridSpan w:val="4"/>
          </w:tcPr>
          <w:p>
            <w:pPr>
              <w:spacing w:after="0" w:line="189" w:lineRule="exact"/>
              <w:rPr>
                <w:sz w:val="20"/>
                <w:szCs w:val="20"/>
                <w:color w:val="auto"/>
              </w:rPr>
            </w:pPr>
            <w:r>
              <w:rPr>
                <w:rFonts w:ascii="Arial" w:cs="Arial" w:eastAsia="Arial" w:hAnsi="Arial"/>
                <w:sz w:val="18"/>
                <w:szCs w:val="18"/>
                <w:color w:val="0000FF"/>
              </w:rPr>
              <w:t>Item 1.</w:t>
            </w:r>
          </w:p>
        </w:tc>
        <w:tc>
          <w:tcPr>
            <w:tcW w:w="9380" w:type="dxa"/>
            <w:vAlign w:val="bottom"/>
            <w:gridSpan w:val="17"/>
          </w:tcPr>
          <w:p>
            <w:pPr>
              <w:spacing w:after="0" w:line="189" w:lineRule="exact"/>
              <w:rPr>
                <w:sz w:val="20"/>
                <w:szCs w:val="20"/>
                <w:color w:val="auto"/>
              </w:rPr>
            </w:pPr>
            <w:r>
              <w:rPr>
                <w:rFonts w:ascii="Arial" w:cs="Arial" w:eastAsia="Arial" w:hAnsi="Arial"/>
                <w:sz w:val="18"/>
                <w:szCs w:val="18"/>
                <w:color w:val="0000FF"/>
              </w:rPr>
              <w:t>Financial Statements of Arhaus, Inc. and Subsidiaries</w:t>
            </w: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2</w:t>
            </w: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820" w:type="dxa"/>
            <w:vAlign w:val="bottom"/>
            <w:tcBorders>
              <w:bottom w:val="single" w:sz="8" w:color="0000FF"/>
            </w:tcBorders>
            <w:gridSpan w:val="9"/>
            <w:shd w:val="clear" w:color="auto" w:fill="CCEEFF"/>
          </w:tcPr>
          <w:p>
            <w:pPr>
              <w:spacing w:after="0" w:line="189" w:lineRule="exact"/>
              <w:rPr>
                <w:sz w:val="20"/>
                <w:szCs w:val="20"/>
                <w:color w:val="auto"/>
              </w:rPr>
            </w:pPr>
            <w:r>
              <w:rPr>
                <w:rFonts w:ascii="Arial" w:cs="Arial" w:eastAsia="Arial" w:hAnsi="Arial"/>
                <w:sz w:val="18"/>
                <w:szCs w:val="18"/>
                <w:color w:val="0000FF"/>
                <w:w w:val="88"/>
              </w:rPr>
              <w:t>Condensed Consolidated Balance Sheets (unaudited)</w:t>
            </w:r>
          </w:p>
        </w:tc>
        <w:tc>
          <w:tcPr>
            <w:tcW w:w="5560" w:type="dxa"/>
            <w:vAlign w:val="bottom"/>
            <w:tcBorders>
              <w:bottom w:val="single" w:sz="8" w:color="CCEEFF"/>
            </w:tcBorders>
            <w:gridSpan w:val="8"/>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w:t>
            </w: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380" w:type="dxa"/>
            <w:vAlign w:val="bottom"/>
            <w:gridSpan w:val="17"/>
          </w:tcPr>
          <w:p>
            <w:pPr>
              <w:spacing w:after="0" w:line="189" w:lineRule="exact"/>
              <w:rPr>
                <w:sz w:val="20"/>
                <w:szCs w:val="20"/>
                <w:color w:val="auto"/>
              </w:rPr>
            </w:pPr>
            <w:r>
              <w:rPr>
                <w:rFonts w:ascii="Arial" w:cs="Arial" w:eastAsia="Arial" w:hAnsi="Arial"/>
                <w:sz w:val="18"/>
                <w:szCs w:val="18"/>
                <w:color w:val="0000FF"/>
              </w:rPr>
              <w:t>Condensed Consolidated Statements of Comprehensive Income (unaudited)</w:t>
            </w: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3</w:t>
            </w:r>
          </w:p>
        </w:tc>
      </w:tr>
      <w:tr>
        <w:trPr>
          <w:trHeight w:val="34"/>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15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380" w:type="dxa"/>
            <w:vAlign w:val="bottom"/>
            <w:gridSpan w:val="17"/>
            <w:shd w:val="clear" w:color="auto" w:fill="CCEEFF"/>
          </w:tcPr>
          <w:p>
            <w:pPr>
              <w:spacing w:after="0" w:line="189" w:lineRule="exact"/>
              <w:rPr>
                <w:sz w:val="20"/>
                <w:szCs w:val="20"/>
                <w:color w:val="auto"/>
              </w:rPr>
            </w:pPr>
            <w:r>
              <w:rPr>
                <w:rFonts w:ascii="Arial" w:cs="Arial" w:eastAsia="Arial" w:hAnsi="Arial"/>
                <w:sz w:val="18"/>
                <w:szCs w:val="18"/>
                <w:color w:val="0000FF"/>
              </w:rPr>
              <w:t>Condensed Consolidated Statements of Changes in Stockholders’ Equity (unaudited)</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w:t>
            </w:r>
          </w:p>
        </w:tc>
      </w:tr>
      <w:tr>
        <w:trPr>
          <w:trHeight w:val="189"/>
        </w:trPr>
        <w:tc>
          <w:tcPr>
            <w:tcW w:w="2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6100" w:type="dxa"/>
            <w:vAlign w:val="bottom"/>
            <w:tcBorders>
              <w:top w:val="single" w:sz="8" w:color="0000FF"/>
            </w:tcBorders>
            <w:gridSpan w:val="15"/>
          </w:tcPr>
          <w:p>
            <w:pPr>
              <w:spacing w:after="0" w:line="189" w:lineRule="exact"/>
              <w:rPr>
                <w:sz w:val="20"/>
                <w:szCs w:val="20"/>
                <w:color w:val="auto"/>
              </w:rPr>
            </w:pPr>
            <w:r>
              <w:rPr>
                <w:rFonts w:ascii="Arial" w:cs="Arial" w:eastAsia="Arial" w:hAnsi="Arial"/>
                <w:sz w:val="18"/>
                <w:szCs w:val="18"/>
                <w:color w:val="0000FF"/>
              </w:rPr>
              <w:t>Condensed Consolidated Statements of Cash Flows (unaudited)</w:t>
            </w:r>
          </w:p>
        </w:tc>
        <w:tc>
          <w:tcPr>
            <w:tcW w:w="3280" w:type="dxa"/>
            <w:vAlign w:val="bottom"/>
            <w:tcBorders>
              <w:top w:val="single" w:sz="8" w:color="CCEEFF"/>
            </w:tcBorders>
            <w:gridSpan w:val="2"/>
          </w:tcPr>
          <w:p>
            <w:pPr>
              <w:spacing w:after="0"/>
              <w:rPr>
                <w:sz w:val="16"/>
                <w:szCs w:val="16"/>
                <w:color w:val="auto"/>
              </w:rPr>
            </w:pPr>
          </w:p>
        </w:tc>
        <w:tc>
          <w:tcPr>
            <w:tcW w:w="820" w:type="dxa"/>
            <w:vAlign w:val="bottom"/>
            <w:tcBorders>
              <w:top w:val="single" w:sz="8" w:color="CCEEFF"/>
            </w:tcBorders>
          </w:tcPr>
          <w:p>
            <w:pPr>
              <w:jc w:val="right"/>
              <w:spacing w:after="0" w:line="189" w:lineRule="exact"/>
              <w:rPr>
                <w:sz w:val="20"/>
                <w:szCs w:val="20"/>
                <w:color w:val="auto"/>
              </w:rPr>
            </w:pPr>
            <w:r>
              <w:rPr>
                <w:rFonts w:ascii="Arial" w:cs="Arial" w:eastAsia="Arial" w:hAnsi="Arial"/>
                <w:sz w:val="18"/>
                <w:szCs w:val="18"/>
                <w:color w:val="auto"/>
              </w:rPr>
              <w:t>6</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4880" w:type="dxa"/>
            <w:vAlign w:val="bottom"/>
            <w:tcBorders>
              <w:bottom w:val="single" w:sz="8" w:color="0000FF"/>
            </w:tcBorders>
            <w:gridSpan w:val="13"/>
            <w:shd w:val="clear" w:color="auto" w:fill="CCEEFF"/>
          </w:tcPr>
          <w:p>
            <w:pPr>
              <w:spacing w:after="0" w:line="189" w:lineRule="exact"/>
              <w:rPr>
                <w:sz w:val="20"/>
                <w:szCs w:val="20"/>
                <w:color w:val="auto"/>
              </w:rPr>
            </w:pPr>
            <w:r>
              <w:rPr>
                <w:rFonts w:ascii="Arial" w:cs="Arial" w:eastAsia="Arial" w:hAnsi="Arial"/>
                <w:sz w:val="18"/>
                <w:szCs w:val="18"/>
                <w:color w:val="0000FF"/>
                <w:w w:val="89"/>
              </w:rPr>
              <w:t>Notes to Condensed Consolidated Financial Statements (unaudited)</w:t>
            </w:r>
          </w:p>
        </w:tc>
        <w:tc>
          <w:tcPr>
            <w:tcW w:w="4500" w:type="dxa"/>
            <w:vAlign w:val="bottom"/>
            <w:tcBorders>
              <w:bottom w:val="single" w:sz="8" w:color="CCEEFF"/>
            </w:tcBorders>
            <w:gridSpan w:val="4"/>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w:t>
            </w:r>
          </w:p>
        </w:tc>
      </w:tr>
      <w:tr>
        <w:trPr>
          <w:trHeight w:val="189"/>
        </w:trPr>
        <w:tc>
          <w:tcPr>
            <w:tcW w:w="20" w:type="dxa"/>
            <w:vAlign w:val="bottom"/>
          </w:tcPr>
          <w:p>
            <w:pPr>
              <w:spacing w:after="0"/>
              <w:rPr>
                <w:sz w:val="16"/>
                <w:szCs w:val="16"/>
                <w:color w:val="auto"/>
              </w:rPr>
            </w:pPr>
          </w:p>
        </w:tc>
        <w:tc>
          <w:tcPr>
            <w:tcW w:w="1020" w:type="dxa"/>
            <w:vAlign w:val="bottom"/>
            <w:gridSpan w:val="4"/>
          </w:tcPr>
          <w:p>
            <w:pPr>
              <w:spacing w:after="0" w:line="189" w:lineRule="exact"/>
              <w:rPr>
                <w:sz w:val="20"/>
                <w:szCs w:val="20"/>
                <w:color w:val="auto"/>
              </w:rPr>
            </w:pPr>
            <w:r>
              <w:rPr>
                <w:rFonts w:ascii="Arial" w:cs="Arial" w:eastAsia="Arial" w:hAnsi="Arial"/>
                <w:sz w:val="18"/>
                <w:szCs w:val="18"/>
                <w:color w:val="0000FF"/>
              </w:rPr>
              <w:t>Item 2.</w:t>
            </w:r>
          </w:p>
        </w:tc>
        <w:tc>
          <w:tcPr>
            <w:tcW w:w="9380" w:type="dxa"/>
            <w:vAlign w:val="bottom"/>
            <w:gridSpan w:val="17"/>
          </w:tcPr>
          <w:p>
            <w:pPr>
              <w:spacing w:after="0" w:line="189"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17</w:t>
            </w: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0000FF"/>
            </w:tcBorders>
            <w:shd w:val="clear" w:color="auto" w:fill="CCEEFF"/>
          </w:tcPr>
          <w:p>
            <w:pPr>
              <w:spacing w:after="0" w:line="189" w:lineRule="exact"/>
              <w:rPr>
                <w:sz w:val="20"/>
                <w:szCs w:val="20"/>
                <w:color w:val="auto"/>
              </w:rPr>
            </w:pPr>
            <w:r>
              <w:rPr>
                <w:rFonts w:ascii="Arial" w:cs="Arial" w:eastAsia="Arial" w:hAnsi="Arial"/>
                <w:sz w:val="18"/>
                <w:szCs w:val="18"/>
                <w:color w:val="0000FF"/>
                <w:w w:val="90"/>
              </w:rPr>
              <w:t>Item 3.</w:t>
            </w:r>
          </w:p>
        </w:tc>
        <w:tc>
          <w:tcPr>
            <w:tcW w:w="500" w:type="dxa"/>
            <w:vAlign w:val="bottom"/>
            <w:tcBorders>
              <w:bottom w:val="single" w:sz="8" w:color="CCEEFF"/>
            </w:tcBorders>
            <w:gridSpan w:val="3"/>
            <w:shd w:val="clear" w:color="auto" w:fill="CCEEFF"/>
          </w:tcPr>
          <w:p>
            <w:pPr>
              <w:spacing w:after="0"/>
              <w:rPr>
                <w:sz w:val="18"/>
                <w:szCs w:val="18"/>
                <w:color w:val="auto"/>
              </w:rPr>
            </w:pPr>
          </w:p>
        </w:tc>
        <w:tc>
          <w:tcPr>
            <w:tcW w:w="4360" w:type="dxa"/>
            <w:vAlign w:val="bottom"/>
            <w:tcBorders>
              <w:bottom w:val="single" w:sz="8" w:color="0000FF"/>
            </w:tcBorders>
            <w:gridSpan w:val="11"/>
            <w:shd w:val="clear" w:color="auto" w:fill="CCEEFF"/>
          </w:tcPr>
          <w:p>
            <w:pPr>
              <w:spacing w:after="0" w:line="189" w:lineRule="exact"/>
              <w:rPr>
                <w:sz w:val="20"/>
                <w:szCs w:val="20"/>
                <w:color w:val="auto"/>
              </w:rPr>
            </w:pPr>
            <w:r>
              <w:rPr>
                <w:rFonts w:ascii="Arial" w:cs="Arial" w:eastAsia="Arial" w:hAnsi="Arial"/>
                <w:sz w:val="18"/>
                <w:szCs w:val="18"/>
                <w:color w:val="0000FF"/>
                <w:w w:val="92"/>
              </w:rPr>
              <w:t>Quantitative and Qualitative Disclosures About Market Risk</w:t>
            </w:r>
          </w:p>
        </w:tc>
        <w:tc>
          <w:tcPr>
            <w:tcW w:w="5020" w:type="dxa"/>
            <w:vAlign w:val="bottom"/>
            <w:tcBorders>
              <w:bottom w:val="single" w:sz="8" w:color="CCEEFF"/>
            </w:tcBorders>
            <w:gridSpan w:val="6"/>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25</w:t>
            </w:r>
          </w:p>
        </w:tc>
      </w:tr>
      <w:tr>
        <w:trPr>
          <w:trHeight w:val="189"/>
        </w:trPr>
        <w:tc>
          <w:tcPr>
            <w:tcW w:w="20" w:type="dxa"/>
            <w:vAlign w:val="bottom"/>
          </w:tcPr>
          <w:p>
            <w:pPr>
              <w:spacing w:after="0"/>
              <w:rPr>
                <w:sz w:val="16"/>
                <w:szCs w:val="16"/>
                <w:color w:val="auto"/>
              </w:rPr>
            </w:pPr>
          </w:p>
        </w:tc>
        <w:tc>
          <w:tcPr>
            <w:tcW w:w="1020" w:type="dxa"/>
            <w:vAlign w:val="bottom"/>
            <w:gridSpan w:val="4"/>
          </w:tcPr>
          <w:p>
            <w:pPr>
              <w:spacing w:after="0" w:line="189" w:lineRule="exact"/>
              <w:rPr>
                <w:sz w:val="20"/>
                <w:szCs w:val="20"/>
                <w:color w:val="auto"/>
              </w:rPr>
            </w:pPr>
            <w:r>
              <w:rPr>
                <w:rFonts w:ascii="Arial" w:cs="Arial" w:eastAsia="Arial" w:hAnsi="Arial"/>
                <w:sz w:val="18"/>
                <w:szCs w:val="18"/>
                <w:color w:val="0000FF"/>
              </w:rPr>
              <w:t>Item 4.</w:t>
            </w:r>
          </w:p>
        </w:tc>
        <w:tc>
          <w:tcPr>
            <w:tcW w:w="9380" w:type="dxa"/>
            <w:vAlign w:val="bottom"/>
            <w:gridSpan w:val="17"/>
          </w:tcPr>
          <w:p>
            <w:pPr>
              <w:spacing w:after="0" w:line="189" w:lineRule="exact"/>
              <w:rPr>
                <w:sz w:val="20"/>
                <w:szCs w:val="20"/>
                <w:color w:val="auto"/>
              </w:rPr>
            </w:pPr>
            <w:r>
              <w:rPr>
                <w:rFonts w:ascii="Arial" w:cs="Arial" w:eastAsia="Arial" w:hAnsi="Arial"/>
                <w:sz w:val="18"/>
                <w:szCs w:val="18"/>
                <w:color w:val="0000FF"/>
              </w:rPr>
              <w:t>Controls and Procedures</w:t>
            </w: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26</w:t>
            </w:r>
          </w:p>
        </w:tc>
      </w:tr>
      <w:tr>
        <w:trPr>
          <w:trHeight w:val="34"/>
        </w:trPr>
        <w:tc>
          <w:tcPr>
            <w:tcW w:w="2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10400" w:type="dxa"/>
            <w:vAlign w:val="bottom"/>
            <w:gridSpan w:val="21"/>
            <w:shd w:val="clear" w:color="auto" w:fill="CCEEFF"/>
          </w:tcPr>
          <w:p>
            <w:pPr>
              <w:spacing w:after="0" w:line="189" w:lineRule="exact"/>
              <w:rPr>
                <w:sz w:val="20"/>
                <w:szCs w:val="20"/>
                <w:color w:val="auto"/>
              </w:rPr>
            </w:pPr>
            <w:r>
              <w:rPr>
                <w:rFonts w:ascii="Arial" w:cs="Arial" w:eastAsia="Arial" w:hAnsi="Arial"/>
                <w:sz w:val="18"/>
                <w:szCs w:val="18"/>
                <w:b w:val="1"/>
                <w:bCs w:val="1"/>
                <w:color w:val="0000FF"/>
              </w:rPr>
              <w:t>Part II. Other Information</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29</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20" w:type="dxa"/>
            <w:vAlign w:val="bottom"/>
            <w:gridSpan w:val="4"/>
          </w:tcPr>
          <w:p>
            <w:pPr>
              <w:spacing w:after="0" w:line="189" w:lineRule="exact"/>
              <w:rPr>
                <w:sz w:val="20"/>
                <w:szCs w:val="20"/>
                <w:color w:val="auto"/>
              </w:rPr>
            </w:pPr>
            <w:r>
              <w:rPr>
                <w:rFonts w:ascii="Arial" w:cs="Arial" w:eastAsia="Arial" w:hAnsi="Arial"/>
                <w:sz w:val="18"/>
                <w:szCs w:val="18"/>
                <w:color w:val="0000FF"/>
              </w:rPr>
              <w:t>Item 1.</w:t>
            </w:r>
          </w:p>
        </w:tc>
        <w:tc>
          <w:tcPr>
            <w:tcW w:w="9380" w:type="dxa"/>
            <w:vAlign w:val="bottom"/>
            <w:gridSpan w:val="17"/>
          </w:tcPr>
          <w:p>
            <w:pPr>
              <w:spacing w:after="0" w:line="189" w:lineRule="exact"/>
              <w:rPr>
                <w:sz w:val="20"/>
                <w:szCs w:val="20"/>
                <w:color w:val="auto"/>
              </w:rPr>
            </w:pPr>
            <w:r>
              <w:rPr>
                <w:rFonts w:ascii="Arial" w:cs="Arial" w:eastAsia="Arial" w:hAnsi="Arial"/>
                <w:sz w:val="18"/>
                <w:szCs w:val="18"/>
                <w:color w:val="0000FF"/>
              </w:rPr>
              <w:t>Legal Proceedings</w:t>
            </w: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29</w:t>
            </w: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2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color w:val="0000FF"/>
              </w:rPr>
              <w:t>Item 1A.</w:t>
            </w:r>
          </w:p>
        </w:tc>
        <w:tc>
          <w:tcPr>
            <w:tcW w:w="9380" w:type="dxa"/>
            <w:vAlign w:val="bottom"/>
            <w:gridSpan w:val="17"/>
            <w:shd w:val="clear" w:color="auto" w:fill="CCEEFF"/>
          </w:tcPr>
          <w:p>
            <w:pPr>
              <w:spacing w:after="0" w:line="189" w:lineRule="exact"/>
              <w:rPr>
                <w:sz w:val="20"/>
                <w:szCs w:val="20"/>
                <w:color w:val="auto"/>
              </w:rPr>
            </w:pPr>
            <w:r>
              <w:rPr>
                <w:rFonts w:ascii="Arial" w:cs="Arial" w:eastAsia="Arial" w:hAnsi="Arial"/>
                <w:sz w:val="18"/>
                <w:szCs w:val="18"/>
                <w:color w:val="0000FF"/>
              </w:rPr>
              <w:t>Risk Factors</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29</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9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640" w:type="dxa"/>
            <w:vAlign w:val="bottom"/>
            <w:gridSpan w:val="2"/>
          </w:tcPr>
          <w:p>
            <w:pPr>
              <w:spacing w:after="0" w:line="189" w:lineRule="exact"/>
              <w:rPr>
                <w:sz w:val="20"/>
                <w:szCs w:val="20"/>
                <w:color w:val="auto"/>
              </w:rPr>
            </w:pPr>
            <w:r>
              <w:rPr>
                <w:rFonts w:ascii="Arial" w:cs="Arial" w:eastAsia="Arial" w:hAnsi="Arial"/>
                <w:sz w:val="18"/>
                <w:szCs w:val="18"/>
                <w:color w:val="0000FF"/>
              </w:rPr>
              <w:t>Item 2.</w:t>
            </w:r>
          </w:p>
        </w:tc>
        <w:tc>
          <w:tcPr>
            <w:tcW w:w="380" w:type="dxa"/>
            <w:vAlign w:val="bottom"/>
            <w:gridSpan w:val="2"/>
          </w:tcPr>
          <w:p>
            <w:pPr>
              <w:spacing w:after="0"/>
              <w:rPr>
                <w:sz w:val="16"/>
                <w:szCs w:val="16"/>
                <w:color w:val="auto"/>
              </w:rPr>
            </w:pPr>
          </w:p>
        </w:tc>
        <w:tc>
          <w:tcPr>
            <w:tcW w:w="9380" w:type="dxa"/>
            <w:vAlign w:val="bottom"/>
            <w:gridSpan w:val="17"/>
          </w:tcPr>
          <w:p>
            <w:pPr>
              <w:spacing w:after="0" w:line="189" w:lineRule="exact"/>
              <w:rPr>
                <w:sz w:val="20"/>
                <w:szCs w:val="20"/>
                <w:color w:val="auto"/>
              </w:rPr>
            </w:pPr>
            <w:r>
              <w:rPr>
                <w:rFonts w:ascii="Arial" w:cs="Arial" w:eastAsia="Arial" w:hAnsi="Arial"/>
                <w:sz w:val="18"/>
                <w:szCs w:val="18"/>
                <w:color w:val="0000FF"/>
              </w:rPr>
              <w:t>Unregistered Sales of Equity Securities and Use of Proceeds</w:t>
            </w: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29</w:t>
            </w: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90"/>
              </w:rPr>
              <w:t>Item 3.</w:t>
            </w:r>
          </w:p>
        </w:tc>
        <w:tc>
          <w:tcPr>
            <w:tcW w:w="500" w:type="dxa"/>
            <w:vAlign w:val="bottom"/>
            <w:gridSpan w:val="3"/>
            <w:shd w:val="clear" w:color="auto" w:fill="CCEEFF"/>
          </w:tcPr>
          <w:p>
            <w:pPr>
              <w:spacing w:after="0"/>
              <w:rPr>
                <w:sz w:val="18"/>
                <w:szCs w:val="18"/>
                <w:color w:val="auto"/>
              </w:rPr>
            </w:pPr>
          </w:p>
        </w:tc>
        <w:tc>
          <w:tcPr>
            <w:tcW w:w="9380" w:type="dxa"/>
            <w:vAlign w:val="bottom"/>
            <w:gridSpan w:val="17"/>
            <w:shd w:val="clear" w:color="auto" w:fill="CCEEFF"/>
          </w:tcPr>
          <w:p>
            <w:pPr>
              <w:spacing w:after="0" w:line="189" w:lineRule="exact"/>
              <w:rPr>
                <w:sz w:val="20"/>
                <w:szCs w:val="20"/>
                <w:color w:val="auto"/>
              </w:rPr>
            </w:pPr>
            <w:r>
              <w:rPr>
                <w:rFonts w:ascii="Arial" w:cs="Arial" w:eastAsia="Arial" w:hAnsi="Arial"/>
                <w:sz w:val="18"/>
                <w:szCs w:val="18"/>
                <w:color w:val="0000FF"/>
              </w:rPr>
              <w:t>Defaults Upon Senior Securities</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29</w:t>
            </w:r>
          </w:p>
        </w:tc>
      </w:tr>
      <w:tr>
        <w:trPr>
          <w:trHeight w:val="189"/>
        </w:trPr>
        <w:tc>
          <w:tcPr>
            <w:tcW w:w="20" w:type="dxa"/>
            <w:vAlign w:val="bottom"/>
            <w:tcBorders>
              <w:top w:val="single" w:sz="8" w:color="CCEEFF"/>
            </w:tcBorders>
          </w:tcPr>
          <w:p>
            <w:pPr>
              <w:spacing w:after="0"/>
              <w:rPr>
                <w:sz w:val="16"/>
                <w:szCs w:val="16"/>
                <w:color w:val="auto"/>
              </w:rPr>
            </w:pPr>
          </w:p>
        </w:tc>
        <w:tc>
          <w:tcPr>
            <w:tcW w:w="520" w:type="dxa"/>
            <w:vAlign w:val="bottom"/>
            <w:tcBorders>
              <w:top w:val="single" w:sz="8" w:color="0000FF"/>
            </w:tcBorders>
          </w:tcPr>
          <w:p>
            <w:pPr>
              <w:spacing w:after="0" w:line="189" w:lineRule="exact"/>
              <w:rPr>
                <w:sz w:val="20"/>
                <w:szCs w:val="20"/>
                <w:color w:val="auto"/>
              </w:rPr>
            </w:pPr>
            <w:r>
              <w:rPr>
                <w:rFonts w:ascii="Arial" w:cs="Arial" w:eastAsia="Arial" w:hAnsi="Arial"/>
                <w:sz w:val="18"/>
                <w:szCs w:val="18"/>
                <w:color w:val="0000FF"/>
                <w:w w:val="90"/>
              </w:rPr>
              <w:t>Item 4.</w:t>
            </w:r>
          </w:p>
        </w:tc>
        <w:tc>
          <w:tcPr>
            <w:tcW w:w="500" w:type="dxa"/>
            <w:vAlign w:val="bottom"/>
            <w:tcBorders>
              <w:top w:val="single" w:sz="8" w:color="CCEEFF"/>
            </w:tcBorders>
            <w:gridSpan w:val="3"/>
          </w:tcPr>
          <w:p>
            <w:pPr>
              <w:spacing w:after="0"/>
              <w:rPr>
                <w:sz w:val="16"/>
                <w:szCs w:val="16"/>
                <w:color w:val="auto"/>
              </w:rPr>
            </w:pPr>
          </w:p>
        </w:tc>
        <w:tc>
          <w:tcPr>
            <w:tcW w:w="2320" w:type="dxa"/>
            <w:vAlign w:val="bottom"/>
            <w:tcBorders>
              <w:top w:val="single" w:sz="8" w:color="0000FF"/>
            </w:tcBorders>
            <w:gridSpan w:val="8"/>
          </w:tcPr>
          <w:p>
            <w:pPr>
              <w:spacing w:after="0" w:line="189" w:lineRule="exact"/>
              <w:rPr>
                <w:sz w:val="20"/>
                <w:szCs w:val="20"/>
                <w:color w:val="auto"/>
              </w:rPr>
            </w:pPr>
            <w:r>
              <w:rPr>
                <w:rFonts w:ascii="Arial" w:cs="Arial" w:eastAsia="Arial" w:hAnsi="Arial"/>
                <w:sz w:val="18"/>
                <w:szCs w:val="18"/>
                <w:color w:val="0000FF"/>
              </w:rPr>
              <w:t>Mine Safety Disclosures</w:t>
            </w:r>
          </w:p>
        </w:tc>
        <w:tc>
          <w:tcPr>
            <w:tcW w:w="7060" w:type="dxa"/>
            <w:vAlign w:val="bottom"/>
            <w:tcBorders>
              <w:top w:val="single" w:sz="8" w:color="CCEEFF"/>
            </w:tcBorders>
            <w:gridSpan w:val="9"/>
          </w:tcPr>
          <w:p>
            <w:pPr>
              <w:spacing w:after="0"/>
              <w:rPr>
                <w:sz w:val="16"/>
                <w:szCs w:val="16"/>
                <w:color w:val="auto"/>
              </w:rPr>
            </w:pPr>
          </w:p>
        </w:tc>
        <w:tc>
          <w:tcPr>
            <w:tcW w:w="820" w:type="dxa"/>
            <w:vAlign w:val="bottom"/>
            <w:tcBorders>
              <w:top w:val="single" w:sz="8" w:color="CCEEFF"/>
            </w:tcBorders>
          </w:tcPr>
          <w:p>
            <w:pPr>
              <w:jc w:val="right"/>
              <w:spacing w:after="0" w:line="189" w:lineRule="exact"/>
              <w:rPr>
                <w:sz w:val="20"/>
                <w:szCs w:val="20"/>
                <w:color w:val="auto"/>
              </w:rPr>
            </w:pPr>
            <w:r>
              <w:rPr>
                <w:rFonts w:ascii="Arial" w:cs="Arial" w:eastAsia="Arial" w:hAnsi="Arial"/>
                <w:sz w:val="18"/>
                <w:szCs w:val="18"/>
                <w:color w:val="auto"/>
              </w:rPr>
              <w:t>29</w:t>
            </w:r>
          </w:p>
        </w:tc>
      </w:tr>
      <w:tr>
        <w:trPr>
          <w:trHeight w:val="34"/>
        </w:trPr>
        <w:tc>
          <w:tcPr>
            <w:tcW w:w="2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0000FF"/>
            </w:tcBorders>
            <w:shd w:val="clear" w:color="auto" w:fill="CCEEFF"/>
          </w:tcPr>
          <w:p>
            <w:pPr>
              <w:spacing w:after="0" w:line="189" w:lineRule="exact"/>
              <w:rPr>
                <w:sz w:val="20"/>
                <w:szCs w:val="20"/>
                <w:color w:val="auto"/>
              </w:rPr>
            </w:pPr>
            <w:r>
              <w:rPr>
                <w:rFonts w:ascii="Arial" w:cs="Arial" w:eastAsia="Arial" w:hAnsi="Arial"/>
                <w:sz w:val="18"/>
                <w:szCs w:val="18"/>
                <w:color w:val="0000FF"/>
                <w:w w:val="90"/>
              </w:rPr>
              <w:t>Item 5.</w:t>
            </w:r>
          </w:p>
        </w:tc>
        <w:tc>
          <w:tcPr>
            <w:tcW w:w="500" w:type="dxa"/>
            <w:vAlign w:val="bottom"/>
            <w:tcBorders>
              <w:bottom w:val="single" w:sz="8" w:color="CCEEFF"/>
            </w:tcBorders>
            <w:gridSpan w:val="3"/>
            <w:shd w:val="clear" w:color="auto" w:fill="CCEEFF"/>
          </w:tcPr>
          <w:p>
            <w:pPr>
              <w:spacing w:after="0"/>
              <w:rPr>
                <w:sz w:val="18"/>
                <w:szCs w:val="18"/>
                <w:color w:val="auto"/>
              </w:rPr>
            </w:pPr>
          </w:p>
        </w:tc>
        <w:tc>
          <w:tcPr>
            <w:tcW w:w="1320" w:type="dxa"/>
            <w:vAlign w:val="bottom"/>
            <w:tcBorders>
              <w:bottom w:val="single" w:sz="8" w:color="0000FF"/>
            </w:tcBorders>
            <w:gridSpan w:val="5"/>
            <w:shd w:val="clear" w:color="auto" w:fill="CCEEFF"/>
          </w:tcPr>
          <w:p>
            <w:pPr>
              <w:spacing w:after="0" w:line="189" w:lineRule="exact"/>
              <w:rPr>
                <w:sz w:val="20"/>
                <w:szCs w:val="20"/>
                <w:color w:val="auto"/>
              </w:rPr>
            </w:pPr>
            <w:r>
              <w:rPr>
                <w:rFonts w:ascii="Arial" w:cs="Arial" w:eastAsia="Arial" w:hAnsi="Arial"/>
                <w:sz w:val="18"/>
                <w:szCs w:val="18"/>
                <w:color w:val="0000FF"/>
                <w:w w:val="92"/>
              </w:rPr>
              <w:t>Other Information</w:t>
            </w:r>
          </w:p>
        </w:tc>
        <w:tc>
          <w:tcPr>
            <w:tcW w:w="8060" w:type="dxa"/>
            <w:vAlign w:val="bottom"/>
            <w:tcBorders>
              <w:bottom w:val="single" w:sz="8" w:color="CCEEFF"/>
            </w:tcBorders>
            <w:gridSpan w:val="12"/>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29</w:t>
            </w:r>
          </w:p>
        </w:tc>
      </w:tr>
      <w:tr>
        <w:trPr>
          <w:trHeight w:val="189"/>
        </w:trPr>
        <w:tc>
          <w:tcPr>
            <w:tcW w:w="20" w:type="dxa"/>
            <w:vAlign w:val="bottom"/>
          </w:tcPr>
          <w:p>
            <w:pPr>
              <w:spacing w:after="0"/>
              <w:rPr>
                <w:sz w:val="16"/>
                <w:szCs w:val="16"/>
                <w:color w:val="auto"/>
              </w:rPr>
            </w:pPr>
          </w:p>
        </w:tc>
        <w:tc>
          <w:tcPr>
            <w:tcW w:w="1020" w:type="dxa"/>
            <w:vAlign w:val="bottom"/>
            <w:gridSpan w:val="4"/>
          </w:tcPr>
          <w:p>
            <w:pPr>
              <w:spacing w:after="0" w:line="189" w:lineRule="exact"/>
              <w:rPr>
                <w:sz w:val="20"/>
                <w:szCs w:val="20"/>
                <w:color w:val="auto"/>
              </w:rPr>
            </w:pPr>
            <w:r>
              <w:rPr>
                <w:rFonts w:ascii="Arial" w:cs="Arial" w:eastAsia="Arial" w:hAnsi="Arial"/>
                <w:sz w:val="18"/>
                <w:szCs w:val="18"/>
                <w:color w:val="0000FF"/>
              </w:rPr>
              <w:t>Item 6.</w:t>
            </w:r>
          </w:p>
        </w:tc>
        <w:tc>
          <w:tcPr>
            <w:tcW w:w="9380" w:type="dxa"/>
            <w:vAlign w:val="bottom"/>
            <w:gridSpan w:val="17"/>
          </w:tcPr>
          <w:p>
            <w:pPr>
              <w:spacing w:after="0" w:line="189" w:lineRule="exact"/>
              <w:rPr>
                <w:sz w:val="20"/>
                <w:szCs w:val="20"/>
                <w:color w:val="auto"/>
              </w:rPr>
            </w:pPr>
            <w:r>
              <w:rPr>
                <w:rFonts w:ascii="Arial" w:cs="Arial" w:eastAsia="Arial" w:hAnsi="Arial"/>
                <w:sz w:val="18"/>
                <w:szCs w:val="18"/>
                <w:color w:val="0000FF"/>
              </w:rPr>
              <w:t>Exhibits</w:t>
            </w: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30</w:t>
            </w: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2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b w:val="1"/>
                <w:bCs w:val="1"/>
                <w:color w:val="0000FF"/>
              </w:rPr>
              <w:t>Signatures</w:t>
            </w: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9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31</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9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of Arhaus, Inc. and Subsidiaries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Arhaus, Inc. and Subsidiaries</w:t>
      </w:r>
    </w:p>
    <w:p>
      <w:pPr>
        <w:jc w:val="center"/>
        <w:spacing w:after="0" w:line="219" w:lineRule="auto"/>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(Unaudited, amounts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tcPr>
          <w:p>
            <w:pPr>
              <w:jc w:val="right"/>
              <w:ind w:right="49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29"/>
        </w:trPr>
        <w:tc>
          <w:tcPr>
            <w:tcW w:w="76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Cash and cash equivalents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176,759</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145,181</w:t>
            </w: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231F20"/>
              </w:rPr>
              <w:t>Restricted cash equivalents</w:t>
            </w: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7,346</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Accounts receivable, net</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0" w:type="dxa"/>
            <w:vAlign w:val="bottom"/>
          </w:tcPr>
          <w:p>
            <w:pPr>
              <w:spacing w:after="0"/>
              <w:rPr>
                <w:sz w:val="1"/>
                <w:szCs w:val="1"/>
                <w:color w:val="auto"/>
              </w:rPr>
            </w:pP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231F20"/>
              </w:rPr>
              <w:t>Merchandise inventory, net</w:t>
            </w:r>
          </w:p>
        </w:tc>
        <w:tc>
          <w:tcPr>
            <w:tcW w:w="3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294,854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286,419</w:t>
            </w:r>
          </w:p>
        </w:tc>
        <w:tc>
          <w:tcPr>
            <w:tcW w:w="0" w:type="dxa"/>
            <w:vAlign w:val="bottom"/>
          </w:tcPr>
          <w:p>
            <w:pPr>
              <w:spacing w:after="0"/>
              <w:rPr>
                <w:sz w:val="1"/>
                <w:szCs w:val="1"/>
                <w:color w:val="auto"/>
              </w:rPr>
            </w:pPr>
          </w:p>
        </w:tc>
      </w:tr>
      <w:tr>
        <w:trPr>
          <w:trHeight w:val="236"/>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231F20"/>
              </w:rPr>
              <w:t>Prepaid and other current assets</w:t>
            </w:r>
          </w:p>
        </w:tc>
        <w:tc>
          <w:tcPr>
            <w:tcW w:w="34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43,084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37,371</w:t>
            </w:r>
          </w:p>
        </w:tc>
        <w:tc>
          <w:tcPr>
            <w:tcW w:w="0" w:type="dxa"/>
            <w:vAlign w:val="bottom"/>
          </w:tcPr>
          <w:p>
            <w:pPr>
              <w:spacing w:after="0"/>
              <w:rPr>
                <w:sz w:val="1"/>
                <w:szCs w:val="1"/>
                <w:color w:val="auto"/>
              </w:rPr>
            </w:pPr>
          </w:p>
        </w:tc>
      </w:tr>
      <w:tr>
        <w:trPr>
          <w:trHeight w:val="236"/>
        </w:trPr>
        <w:tc>
          <w:tcPr>
            <w:tcW w:w="7640" w:type="dxa"/>
            <w:vAlign w:val="bottom"/>
          </w:tcPr>
          <w:p>
            <w:pPr>
              <w:ind w:left="360"/>
              <w:spacing w:after="0"/>
              <w:rPr>
                <w:sz w:val="20"/>
                <w:szCs w:val="20"/>
                <w:color w:val="auto"/>
              </w:rPr>
            </w:pPr>
            <w:r>
              <w:rPr>
                <w:rFonts w:ascii="Arial" w:cs="Arial" w:eastAsia="Arial" w:hAnsi="Arial"/>
                <w:sz w:val="18"/>
                <w:szCs w:val="18"/>
                <w:color w:val="231F20"/>
              </w:rPr>
              <w:t>Total current assets</w:t>
            </w:r>
          </w:p>
        </w:tc>
        <w:tc>
          <w:tcPr>
            <w:tcW w:w="3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521,047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478,051</w:t>
            </w:r>
          </w:p>
        </w:tc>
        <w:tc>
          <w:tcPr>
            <w:tcW w:w="0" w:type="dxa"/>
            <w:vAlign w:val="bottom"/>
          </w:tcPr>
          <w:p>
            <w:pPr>
              <w:spacing w:after="0"/>
              <w:rPr>
                <w:sz w:val="1"/>
                <w:szCs w:val="1"/>
                <w:color w:val="auto"/>
              </w:rPr>
            </w:pPr>
          </w:p>
        </w:tc>
      </w:tr>
      <w:tr>
        <w:trPr>
          <w:trHeight w:val="24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Operating right-of-use assets</w:t>
            </w:r>
          </w:p>
        </w:tc>
        <w:tc>
          <w:tcPr>
            <w:tcW w:w="3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309,211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252,055</w:t>
            </w: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231F20"/>
              </w:rPr>
              <w:t>Financing right-of-use assets</w:t>
            </w: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39,979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38,522</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Property, furniture and equipment, net</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135,066</w:t>
            </w:r>
          </w:p>
        </w:tc>
        <w:tc>
          <w:tcPr>
            <w:tcW w:w="0" w:type="dxa"/>
            <w:vAlign w:val="bottom"/>
          </w:tcPr>
          <w:p>
            <w:pPr>
              <w:spacing w:after="0"/>
              <w:rPr>
                <w:sz w:val="1"/>
                <w:szCs w:val="1"/>
                <w:color w:val="auto"/>
              </w:rPr>
            </w:pP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231F20"/>
              </w:rPr>
              <w:t>Deferred tax asset</w:t>
            </w:r>
          </w:p>
        </w:tc>
        <w:tc>
          <w:tcPr>
            <w:tcW w:w="3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11,508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16,841</w:t>
            </w:r>
          </w:p>
        </w:tc>
        <w:tc>
          <w:tcPr>
            <w:tcW w:w="0" w:type="dxa"/>
            <w:vAlign w:val="bottom"/>
          </w:tcPr>
          <w:p>
            <w:pPr>
              <w:spacing w:after="0"/>
              <w:rPr>
                <w:sz w:val="1"/>
                <w:szCs w:val="1"/>
                <w:color w:val="auto"/>
              </w:rPr>
            </w:pPr>
          </w:p>
        </w:tc>
      </w:tr>
      <w:tr>
        <w:trPr>
          <w:trHeight w:val="236"/>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Goodwill</w:t>
            </w:r>
          </w:p>
        </w:tc>
        <w:tc>
          <w:tcPr>
            <w:tcW w:w="3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10,961</w:t>
            </w: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231F20"/>
              </w:rPr>
              <w:t>Other noncurrent assets</w:t>
            </w: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3,058</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57"/>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231F20"/>
              </w:rPr>
              <w:t>Total assets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1,045,279</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931,792</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Accounts payable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55,082</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62,636</w:t>
            </w:r>
          </w:p>
        </w:tc>
        <w:tc>
          <w:tcPr>
            <w:tcW w:w="0" w:type="dxa"/>
            <w:vAlign w:val="bottom"/>
          </w:tcPr>
          <w:p>
            <w:pPr>
              <w:spacing w:after="0"/>
              <w:rPr>
                <w:sz w:val="1"/>
                <w:szCs w:val="1"/>
                <w:color w:val="auto"/>
              </w:rPr>
            </w:pP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231F20"/>
              </w:rPr>
              <w:t>Accrued taxes</w:t>
            </w:r>
          </w:p>
        </w:tc>
        <w:tc>
          <w:tcPr>
            <w:tcW w:w="3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8,637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12,256</w:t>
            </w:r>
          </w:p>
        </w:tc>
        <w:tc>
          <w:tcPr>
            <w:tcW w:w="0" w:type="dxa"/>
            <w:vAlign w:val="bottom"/>
          </w:tcPr>
          <w:p>
            <w:pPr>
              <w:spacing w:after="0"/>
              <w:rPr>
                <w:sz w:val="1"/>
                <w:szCs w:val="1"/>
                <w:color w:val="auto"/>
              </w:rPr>
            </w:pPr>
          </w:p>
        </w:tc>
      </w:tr>
      <w:tr>
        <w:trPr>
          <w:trHeight w:val="236"/>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Accrued wages</w:t>
            </w:r>
          </w:p>
        </w:tc>
        <w:tc>
          <w:tcPr>
            <w:tcW w:w="3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20,860</w:t>
            </w: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231F20"/>
              </w:rPr>
              <w:t>Accrued other expenses</w:t>
            </w: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33,857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35,169</w:t>
            </w:r>
          </w:p>
        </w:tc>
        <w:tc>
          <w:tcPr>
            <w:tcW w:w="0" w:type="dxa"/>
            <w:vAlign w:val="bottom"/>
          </w:tcPr>
          <w:p>
            <w:pPr>
              <w:spacing w:after="0"/>
              <w:rPr>
                <w:sz w:val="1"/>
                <w:szCs w:val="1"/>
                <w:color w:val="auto"/>
              </w:rPr>
            </w:pPr>
          </w:p>
        </w:tc>
      </w:tr>
      <w:tr>
        <w:trPr>
          <w:trHeight w:val="24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Client deposits</w:t>
            </w:r>
          </w:p>
        </w:tc>
        <w:tc>
          <w:tcPr>
            <w:tcW w:w="3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193,401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202,587</w:t>
            </w: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231F20"/>
              </w:rPr>
              <w:t>Current portion of operating lease liabilities</w:t>
            </w: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41,483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39,744</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231F20"/>
              </w:rPr>
              <w:t>Current portion of financing lease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50"/>
        </w:trPr>
        <w:tc>
          <w:tcPr>
            <w:tcW w:w="7640" w:type="dxa"/>
            <w:vAlign w:val="bottom"/>
          </w:tcPr>
          <w:p>
            <w:pPr>
              <w:ind w:left="360"/>
              <w:spacing w:after="0"/>
              <w:rPr>
                <w:sz w:val="20"/>
                <w:szCs w:val="20"/>
                <w:color w:val="auto"/>
              </w:rPr>
            </w:pPr>
            <w:r>
              <w:rPr>
                <w:rFonts w:ascii="Arial" w:cs="Arial" w:eastAsia="Arial" w:hAnsi="Arial"/>
                <w:sz w:val="18"/>
                <w:szCs w:val="18"/>
                <w:color w:val="231F20"/>
              </w:rPr>
              <w:t>Total current liabilities</w:t>
            </w:r>
          </w:p>
        </w:tc>
        <w:tc>
          <w:tcPr>
            <w:tcW w:w="3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344,627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373,783</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long-term</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289,871</w:t>
            </w: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Financing lease liabilities, long-term</w:t>
            </w: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53,863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51,835</w:t>
            </w:r>
          </w:p>
        </w:tc>
        <w:tc>
          <w:tcPr>
            <w:tcW w:w="0" w:type="dxa"/>
            <w:vAlign w:val="bottom"/>
          </w:tcPr>
          <w:p>
            <w:pPr>
              <w:spacing w:after="0"/>
              <w:rPr>
                <w:sz w:val="1"/>
                <w:szCs w:val="1"/>
                <w:color w:val="auto"/>
              </w:rPr>
            </w:pPr>
          </w:p>
        </w:tc>
      </w:tr>
      <w:tr>
        <w:trPr>
          <w:trHeight w:val="24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Deferred rent and lease incentives</w:t>
            </w:r>
          </w:p>
        </w:tc>
        <w:tc>
          <w:tcPr>
            <w:tcW w:w="3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231F20"/>
              </w:rPr>
              <w:t>Other long-term liabilities</w:t>
            </w: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4,215</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4,336</w:t>
            </w:r>
          </w:p>
        </w:tc>
        <w:tc>
          <w:tcPr>
            <w:tcW w:w="0" w:type="dxa"/>
            <w:vAlign w:val="bottom"/>
          </w:tcPr>
          <w:p>
            <w:pPr>
              <w:spacing w:after="0"/>
              <w:rPr>
                <w:sz w:val="1"/>
                <w:szCs w:val="1"/>
                <w:color w:val="auto"/>
              </w:rPr>
            </w:pPr>
          </w:p>
        </w:tc>
      </w:tr>
      <w:tr>
        <w:trPr>
          <w:trHeight w:val="237"/>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231F20"/>
              </w:rPr>
              <w:t>Total liabilities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757,715</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722,097</w:t>
            </w:r>
          </w:p>
        </w:tc>
        <w:tc>
          <w:tcPr>
            <w:tcW w:w="0" w:type="dxa"/>
            <w:vAlign w:val="bottom"/>
          </w:tcPr>
          <w:p>
            <w:pPr>
              <w:spacing w:after="0"/>
              <w:rPr>
                <w:sz w:val="1"/>
                <w:szCs w:val="1"/>
                <w:color w:val="auto"/>
              </w:rPr>
            </w:pPr>
          </w:p>
        </w:tc>
      </w:tr>
      <w:tr>
        <w:trPr>
          <w:trHeight w:val="209"/>
        </w:trPr>
        <w:tc>
          <w:tcPr>
            <w:tcW w:w="76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231F20"/>
              </w:rPr>
              <w:t>Commitments and contingencies (Note 9)</w:t>
            </w:r>
          </w:p>
        </w:tc>
        <w:tc>
          <w:tcPr>
            <w:tcW w:w="3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Stockholders' equity</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0"/>
              <w:spacing w:after="0" w:line="162" w:lineRule="exact"/>
              <w:rPr>
                <w:sz w:val="20"/>
                <w:szCs w:val="20"/>
                <w:color w:val="auto"/>
              </w:rPr>
            </w:pPr>
            <w:r>
              <w:rPr>
                <w:rFonts w:ascii="Arial" w:cs="Arial" w:eastAsia="Arial" w:hAnsi="Arial"/>
                <w:sz w:val="18"/>
                <w:szCs w:val="18"/>
                <w:color w:val="auto"/>
                <w:w w:val="95"/>
              </w:rPr>
              <w:t>Class A shares, par value $0.001 per share (600,000,000 shares authorized, 52,370,200 issued and</w:t>
            </w:r>
          </w:p>
        </w:tc>
        <w:tc>
          <w:tcPr>
            <w:tcW w:w="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40" w:type="dxa"/>
            <w:vAlign w:val="bottom"/>
          </w:tcPr>
          <w:p>
            <w:pPr>
              <w:ind w:left="20"/>
              <w:spacing w:after="0" w:line="176" w:lineRule="exact"/>
              <w:rPr>
                <w:sz w:val="20"/>
                <w:szCs w:val="20"/>
                <w:color w:val="auto"/>
              </w:rPr>
            </w:pPr>
            <w:r>
              <w:rPr>
                <w:rFonts w:ascii="Arial" w:cs="Arial" w:eastAsia="Arial" w:hAnsi="Arial"/>
                <w:sz w:val="18"/>
                <w:szCs w:val="18"/>
                <w:color w:val="auto"/>
                <w:w w:val="99"/>
              </w:rPr>
              <w:t>52,345,693 outstanding and 51,437,348 shares issued and outstanding as of June 30, 2023 and</w:t>
            </w:r>
          </w:p>
        </w:tc>
        <w:tc>
          <w:tcPr>
            <w:tcW w:w="34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December 31, 2022, respectively)</w:t>
            </w:r>
          </w:p>
        </w:tc>
        <w:tc>
          <w:tcPr>
            <w:tcW w:w="340" w:type="dxa"/>
            <w:vAlign w:val="bottom"/>
          </w:tcPr>
          <w:p>
            <w:pPr>
              <w:spacing w:after="0"/>
              <w:rPr>
                <w:sz w:val="20"/>
                <w:szCs w:val="20"/>
                <w:color w:val="auto"/>
              </w:rPr>
            </w:pPr>
          </w:p>
        </w:tc>
        <w:tc>
          <w:tcPr>
            <w:tcW w:w="14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764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w w:val="88"/>
              </w:rPr>
              <w:t>Class B shares, par value $0.001 per share (100,000,000 shares authorized, 87,115,600 shares issued and</w:t>
            </w:r>
          </w:p>
        </w:tc>
        <w:tc>
          <w:tcPr>
            <w:tcW w:w="34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June 30, 2023 and December 31, 2022)</w:t>
            </w:r>
          </w:p>
        </w:tc>
        <w:tc>
          <w:tcPr>
            <w:tcW w:w="34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231F20"/>
              </w:rPr>
              <w:t>Retained Earnings</w:t>
            </w: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94,335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20,053</w:t>
            </w:r>
          </w:p>
        </w:tc>
        <w:tc>
          <w:tcPr>
            <w:tcW w:w="0" w:type="dxa"/>
            <w:vAlign w:val="bottom"/>
          </w:tcPr>
          <w:p>
            <w:pPr>
              <w:spacing w:after="0"/>
              <w:rPr>
                <w:sz w:val="1"/>
                <w:szCs w:val="1"/>
                <w:color w:val="auto"/>
              </w:rPr>
            </w:pPr>
          </w:p>
        </w:tc>
      </w:tr>
      <w:tr>
        <w:trPr>
          <w:trHeight w:val="24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Additional Paid-in Capital</w:t>
            </w:r>
          </w:p>
        </w:tc>
        <w:tc>
          <w:tcPr>
            <w:tcW w:w="3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193,090</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189,504</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231F20"/>
              </w:rPr>
              <w:t>Total Arhaus, Inc. stockholders' equity</w:t>
            </w: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287,564</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209,695</w:t>
            </w:r>
          </w:p>
        </w:tc>
        <w:tc>
          <w:tcPr>
            <w:tcW w:w="0" w:type="dxa"/>
            <w:vAlign w:val="bottom"/>
          </w:tcPr>
          <w:p>
            <w:pPr>
              <w:spacing w:after="0"/>
              <w:rPr>
                <w:sz w:val="1"/>
                <w:szCs w:val="1"/>
                <w:color w:val="auto"/>
              </w:rPr>
            </w:pPr>
          </w:p>
        </w:tc>
      </w:tr>
      <w:tr>
        <w:trPr>
          <w:trHeight w:val="254"/>
        </w:trPr>
        <w:tc>
          <w:tcPr>
            <w:tcW w:w="7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1,045,279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931,792</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 w:name="page5"/>
    <w:bookmarkEnd w:id="4"/>
    <w:p>
      <w:pPr>
        <w:jc w:val="center"/>
        <w:ind w:right="-219"/>
        <w:spacing w:after="0"/>
        <w:rPr>
          <w:sz w:val="20"/>
          <w:szCs w:val="20"/>
          <w:color w:val="auto"/>
        </w:rPr>
      </w:pPr>
      <w:r>
        <w:rPr>
          <w:rFonts w:ascii="Arial" w:cs="Arial" w:eastAsia="Arial" w:hAnsi="Arial"/>
          <w:sz w:val="18"/>
          <w:szCs w:val="18"/>
          <w:b w:val="1"/>
          <w:bCs w:val="1"/>
          <w:color w:val="auto"/>
        </w:rPr>
        <w:t>Arhaus, Inc.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 amounts in thousands, except share and per share data)</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98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2580" w:type="dxa"/>
            <w:vAlign w:val="bottom"/>
            <w:tcBorders>
              <w:top w:val="single" w:sz="8" w:color="auto"/>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w w:val="93"/>
              </w:rPr>
              <w:t>Six months ended June 30,</w:t>
            </w:r>
          </w:p>
        </w:tc>
        <w:tc>
          <w:tcPr>
            <w:tcW w:w="10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2840" w:type="dxa"/>
            <w:vAlign w:val="bottom"/>
            <w:tcBorders>
              <w:top w:val="single" w:sz="8" w:color="auto"/>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w w:val="94"/>
              </w:rPr>
              <w:t>Three months ended June 30,</w:t>
            </w:r>
          </w:p>
        </w:tc>
      </w:tr>
      <w:tr>
        <w:trPr>
          <w:trHeight w:val="227"/>
        </w:trPr>
        <w:tc>
          <w:tcPr>
            <w:tcW w:w="49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617,467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552,565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312,899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306,265</w:t>
            </w:r>
          </w:p>
        </w:tc>
      </w:tr>
      <w:tr>
        <w:trPr>
          <w:trHeight w:val="243"/>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349,109</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321,822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172,779</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173,239</w:t>
            </w:r>
          </w:p>
        </w:tc>
      </w:tr>
      <w:tr>
        <w:trPr>
          <w:trHeight w:val="223"/>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margin</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268,358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133,026</w:t>
            </w:r>
          </w:p>
        </w:tc>
      </w:tr>
      <w:tr>
        <w:trPr>
          <w:trHeight w:val="230"/>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168,913</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157,622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86,131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82,774</w:t>
            </w:r>
          </w:p>
        </w:tc>
      </w:tr>
      <w:tr>
        <w:trPr>
          <w:trHeight w:val="223"/>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99,445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50,252</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Interest expense (income), net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1,316</w:t>
            </w:r>
          </w:p>
        </w:tc>
      </w:tr>
      <w:tr>
        <w:trPr>
          <w:trHeight w:val="24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23"/>
        </w:trPr>
        <w:tc>
          <w:tcPr>
            <w:tcW w:w="4980" w:type="dxa"/>
            <w:vAlign w:val="bottom"/>
          </w:tcPr>
          <w:p>
            <w:pPr>
              <w:ind w:left="240"/>
              <w:spacing w:after="0"/>
              <w:rPr>
                <w:sz w:val="20"/>
                <w:szCs w:val="20"/>
                <w:color w:val="auto"/>
              </w:rPr>
            </w:pPr>
            <w:r>
              <w:rPr>
                <w:rFonts w:ascii="Arial" w:cs="Arial" w:eastAsia="Arial" w:hAnsi="Arial"/>
                <w:sz w:val="18"/>
                <w:szCs w:val="18"/>
                <w:color w:val="auto"/>
              </w:rPr>
              <w:t>Income before taxes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100,756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70,980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54,555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49,053</w:t>
            </w:r>
          </w:p>
        </w:tc>
      </w:tr>
      <w:tr>
        <w:trPr>
          <w:trHeight w:val="229"/>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26,474</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12,414</w:t>
            </w:r>
          </w:p>
        </w:tc>
      </w:tr>
      <w:tr>
        <w:trPr>
          <w:trHeight w:val="210"/>
        </w:trPr>
        <w:tc>
          <w:tcPr>
            <w:tcW w:w="4980" w:type="dxa"/>
            <w:vAlign w:val="bottom"/>
          </w:tcPr>
          <w:p>
            <w:pPr>
              <w:ind w:left="180"/>
              <w:spacing w:after="0"/>
              <w:rPr>
                <w:sz w:val="20"/>
                <w:szCs w:val="20"/>
                <w:color w:val="auto"/>
              </w:rPr>
            </w:pPr>
            <w:r>
              <w:rPr>
                <w:rFonts w:ascii="Arial" w:cs="Arial" w:eastAsia="Arial" w:hAnsi="Arial"/>
                <w:sz w:val="18"/>
                <w:szCs w:val="18"/>
                <w:color w:val="auto"/>
              </w:rPr>
              <w:t>Net and comprehensive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74,282</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52,697</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40,183</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36,639</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4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4"/>
        </w:trPr>
        <w:tc>
          <w:tcPr>
            <w:tcW w:w="4980" w:type="dxa"/>
            <w:vAlign w:val="bottom"/>
          </w:tcPr>
          <w:p>
            <w:pPr>
              <w:ind w:left="20"/>
              <w:spacing w:after="0"/>
              <w:rPr>
                <w:sz w:val="20"/>
                <w:szCs w:val="20"/>
                <w:color w:val="auto"/>
              </w:rPr>
            </w:pPr>
            <w:r>
              <w:rPr>
                <w:rFonts w:ascii="Arial" w:cs="Arial" w:eastAsia="Arial" w:hAnsi="Arial"/>
                <w:sz w:val="18"/>
                <w:szCs w:val="18"/>
                <w:b w:val="1"/>
                <w:bCs w:val="1"/>
                <w:color w:val="231F20"/>
              </w:rPr>
              <w:t>Net and comprehensive income per share, basic</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2"/>
        </w:trPr>
        <w:tc>
          <w:tcPr>
            <w:tcW w:w="4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43"/>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Weighted-average number of common shares outstanding, basic</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139,232,238</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137,662,601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139,389,967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137,840,691</w:t>
            </w:r>
          </w:p>
        </w:tc>
      </w:tr>
      <w:tr>
        <w:trPr>
          <w:trHeight w:val="230"/>
        </w:trPr>
        <w:tc>
          <w:tcPr>
            <w:tcW w:w="4980" w:type="dxa"/>
            <w:vAlign w:val="bottom"/>
          </w:tcPr>
          <w:p>
            <w:pPr>
              <w:ind w:left="140"/>
              <w:spacing w:after="0"/>
              <w:rPr>
                <w:sz w:val="20"/>
                <w:szCs w:val="20"/>
                <w:color w:val="auto"/>
              </w:rPr>
            </w:pPr>
            <w:r>
              <w:rPr>
                <w:rFonts w:ascii="Arial" w:cs="Arial" w:eastAsia="Arial" w:hAnsi="Arial"/>
                <w:sz w:val="18"/>
                <w:szCs w:val="18"/>
                <w:color w:val="auto"/>
              </w:rPr>
              <w:t>Net and comprehensive income per share, basic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0.53</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0.38</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0.29</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0.27</w:t>
            </w:r>
          </w:p>
        </w:tc>
      </w:tr>
      <w:tr>
        <w:trPr>
          <w:trHeight w:val="236"/>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231F20"/>
              </w:rPr>
              <w:t>Net and comprehensive income per share, diluted</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30"/>
        </w:trPr>
        <w:tc>
          <w:tcPr>
            <w:tcW w:w="4980" w:type="dxa"/>
            <w:vAlign w:val="bottom"/>
          </w:tcPr>
          <w:p>
            <w:pPr>
              <w:ind w:left="140"/>
              <w:spacing w:after="0"/>
              <w:rPr>
                <w:sz w:val="20"/>
                <w:szCs w:val="20"/>
                <w:color w:val="auto"/>
              </w:rPr>
            </w:pPr>
            <w:r>
              <w:rPr>
                <w:rFonts w:ascii="Arial" w:cs="Arial" w:eastAsia="Arial" w:hAnsi="Arial"/>
                <w:sz w:val="18"/>
                <w:szCs w:val="18"/>
                <w:color w:val="auto"/>
                <w:w w:val="91"/>
              </w:rPr>
              <w:t>Weighted-average number of common shares outstanding, diluted</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139,959,943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139,394,055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139,979,928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139,454,109</w:t>
            </w:r>
          </w:p>
        </w:tc>
      </w:tr>
      <w:tr>
        <w:trPr>
          <w:trHeight w:val="243"/>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and comprehensive income per share, diluted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r>
    </w:tbl>
    <w:p>
      <w:pPr>
        <w:spacing w:after="0" w:line="200" w:lineRule="exact"/>
        <w:rPr>
          <w:sz w:val="20"/>
          <w:szCs w:val="20"/>
          <w:color w:val="auto"/>
        </w:rPr>
      </w:pPr>
    </w:p>
    <w:p>
      <w:pPr>
        <w:spacing w:after="0" w:line="2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850" w:right="559" w:bottom="1440" w:gutter="0" w:footer="0" w:header="0"/>
        </w:sectPr>
      </w:pPr>
    </w:p>
    <w:bookmarkStart w:id="5" w:name="page6"/>
    <w:bookmarkEnd w:id="5"/>
    <w:p>
      <w:pPr>
        <w:ind w:left="4460"/>
        <w:spacing w:after="0"/>
        <w:rPr>
          <w:sz w:val="20"/>
          <w:szCs w:val="20"/>
          <w:color w:val="auto"/>
        </w:rPr>
      </w:pPr>
      <w:r>
        <w:rPr>
          <w:rFonts w:ascii="Arial" w:cs="Arial" w:eastAsia="Arial" w:hAnsi="Arial"/>
          <w:sz w:val="18"/>
          <w:szCs w:val="18"/>
          <w:b w:val="1"/>
          <w:bCs w:val="1"/>
          <w:color w:val="auto"/>
        </w:rPr>
        <w:t>Arhaus, Inc. and Subsidiaries</w:t>
      </w:r>
    </w:p>
    <w:p>
      <w:pPr>
        <w:spacing w:after="0" w:line="27" w:lineRule="exact"/>
        <w:rPr>
          <w:sz w:val="20"/>
          <w:szCs w:val="20"/>
          <w:color w:val="auto"/>
        </w:rPr>
      </w:pPr>
    </w:p>
    <w:p>
      <w:pPr>
        <w:ind w:left="2820"/>
        <w:spacing w:after="0"/>
        <w:rPr>
          <w:sz w:val="20"/>
          <w:szCs w:val="20"/>
          <w:color w:val="auto"/>
        </w:rPr>
      </w:pPr>
      <w:r>
        <w:rPr>
          <w:rFonts w:ascii="Arial" w:cs="Arial" w:eastAsia="Arial" w:hAnsi="Arial"/>
          <w:sz w:val="15"/>
          <w:szCs w:val="15"/>
          <w:b w:val="1"/>
          <w:bCs w:val="1"/>
          <w:color w:val="auto"/>
        </w:rPr>
        <w:t>Condensed Consolidated Statements of Changes in Stockholders’ Equity</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Balances as of December 31, 2022</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Net income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Shareholder capital contribution</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Equity based compensation</w:t>
      </w:r>
    </w:p>
    <w:p>
      <w:pPr>
        <w:spacing w:after="0" w:line="55"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Shares withheld to cover employees' withholding taxes for equity based compensation</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Balances as of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Balances as of December 31, 2021</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Net income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Shareholder capital contribution</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Equity based compensation</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Balances as of June 30,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600"/>
        <w:spacing w:after="0"/>
        <w:rPr>
          <w:sz w:val="20"/>
          <w:szCs w:val="20"/>
          <w:color w:val="auto"/>
        </w:rPr>
      </w:pPr>
      <w:r>
        <w:rPr>
          <w:rFonts w:ascii="Arial" w:cs="Arial" w:eastAsia="Arial" w:hAnsi="Arial"/>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52978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97805"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5"/>
          </w:tcPr>
          <w:p>
            <w:pPr>
              <w:jc w:val="center"/>
              <w:ind w:left="788"/>
              <w:spacing w:after="0"/>
              <w:rPr>
                <w:sz w:val="20"/>
                <w:szCs w:val="20"/>
                <w:color w:val="auto"/>
              </w:rPr>
            </w:pPr>
            <w:r>
              <w:rPr>
                <w:rFonts w:ascii="Arial" w:cs="Arial" w:eastAsia="Arial" w:hAnsi="Arial"/>
                <w:sz w:val="14"/>
                <w:szCs w:val="14"/>
                <w:b w:val="1"/>
                <w:bCs w:val="1"/>
                <w:color w:val="auto"/>
                <w:w w:val="91"/>
              </w:rPr>
              <w:t>Total Stockholders'</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3"/>
          </w:tcPr>
          <w:p>
            <w:pPr>
              <w:jc w:val="right"/>
              <w:ind w:right="268"/>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Treasury Stock</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Equity</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4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620" w:type="dxa"/>
            <w:vAlign w:val="bottom"/>
            <w:gridSpan w:val="4"/>
          </w:tcPr>
          <w:p>
            <w:pPr>
              <w:jc w:val="right"/>
              <w:ind w:right="508"/>
              <w:spacing w:after="0"/>
              <w:rPr>
                <w:sz w:val="20"/>
                <w:szCs w:val="20"/>
                <w:color w:val="auto"/>
              </w:rPr>
            </w:pPr>
            <w:r>
              <w:rPr>
                <w:rFonts w:ascii="Arial" w:cs="Arial" w:eastAsia="Arial" w:hAnsi="Arial"/>
                <w:sz w:val="14"/>
                <w:szCs w:val="14"/>
                <w:b w:val="1"/>
                <w:bCs w:val="1"/>
                <w:color w:val="auto"/>
              </w:rPr>
              <w:t>Class A</w:t>
            </w:r>
          </w:p>
        </w:tc>
        <w:tc>
          <w:tcPr>
            <w:tcW w:w="80" w:type="dxa"/>
            <w:vAlign w:val="bottom"/>
          </w:tcPr>
          <w:p>
            <w:pPr>
              <w:spacing w:after="0"/>
              <w:rPr>
                <w:sz w:val="16"/>
                <w:szCs w:val="16"/>
                <w:color w:val="auto"/>
              </w:rPr>
            </w:pPr>
          </w:p>
        </w:tc>
        <w:tc>
          <w:tcPr>
            <w:tcW w:w="1620" w:type="dxa"/>
            <w:vAlign w:val="bottom"/>
            <w:gridSpan w:val="4"/>
          </w:tcPr>
          <w:p>
            <w:pPr>
              <w:jc w:val="right"/>
              <w:ind w:right="508"/>
              <w:spacing w:after="0"/>
              <w:rPr>
                <w:sz w:val="20"/>
                <w:szCs w:val="20"/>
                <w:color w:val="auto"/>
              </w:rPr>
            </w:pPr>
            <w:r>
              <w:rPr>
                <w:rFonts w:ascii="Arial" w:cs="Arial" w:eastAsia="Arial" w:hAnsi="Arial"/>
                <w:sz w:val="14"/>
                <w:szCs w:val="14"/>
                <w:b w:val="1"/>
                <w:bCs w:val="1"/>
                <w:color w:val="auto"/>
              </w:rPr>
              <w:t>Class B</w:t>
            </w:r>
          </w:p>
        </w:tc>
        <w:tc>
          <w:tcPr>
            <w:tcW w:w="80" w:type="dxa"/>
            <w:vAlign w:val="bottom"/>
          </w:tcPr>
          <w:p>
            <w:pPr>
              <w:spacing w:after="0"/>
              <w:rPr>
                <w:sz w:val="16"/>
                <w:szCs w:val="16"/>
                <w:color w:val="auto"/>
              </w:rPr>
            </w:pPr>
          </w:p>
        </w:tc>
        <w:tc>
          <w:tcPr>
            <w:tcW w:w="16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Class A</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2"/>
                <w:szCs w:val="2"/>
                <w:color w:val="auto"/>
              </w:rPr>
            </w:pPr>
          </w:p>
        </w:tc>
        <w:tc>
          <w:tcPr>
            <w:tcW w:w="80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28"/>
              <w:spacing w:after="0"/>
              <w:rPr>
                <w:sz w:val="20"/>
                <w:szCs w:val="20"/>
                <w:color w:val="auto"/>
              </w:rPr>
            </w:pPr>
            <w:r>
              <w:rPr>
                <w:rFonts w:ascii="Arial" w:cs="Arial" w:eastAsia="Arial" w:hAnsi="Arial"/>
                <w:sz w:val="14"/>
                <w:szCs w:val="14"/>
                <w:b w:val="1"/>
                <w:bCs w:val="1"/>
                <w:color w:val="auto"/>
                <w:w w:val="91"/>
              </w:rPr>
              <w:t>Retained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Paid-in</w:t>
            </w: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Stockholders'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6"/>
                <w:szCs w:val="16"/>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6"/>
                <w:szCs w:val="16"/>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ind w:left="2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48"/>
              <w:spacing w:after="0"/>
              <w:rPr>
                <w:sz w:val="20"/>
                <w:szCs w:val="20"/>
                <w:color w:val="auto"/>
              </w:rPr>
            </w:pPr>
            <w:r>
              <w:rPr>
                <w:rFonts w:ascii="Arial" w:cs="Arial" w:eastAsia="Arial" w:hAnsi="Arial"/>
                <w:sz w:val="14"/>
                <w:szCs w:val="14"/>
                <w:b w:val="1"/>
                <w:bCs w:val="1"/>
                <w:color w:val="auto"/>
                <w:w w:val="93"/>
              </w:rPr>
              <w:t>Earnings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800" w:type="dxa"/>
            <w:vAlign w:val="bottom"/>
          </w:tcPr>
          <w:p>
            <w:pPr>
              <w:jc w:val="center"/>
              <w:ind w:right="108"/>
              <w:spacing w:after="0"/>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51,437</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51</w:t>
            </w:r>
          </w:p>
        </w:tc>
        <w:tc>
          <w:tcPr>
            <w:tcW w:w="8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87,116</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87</w:t>
            </w:r>
          </w:p>
        </w:tc>
        <w:tc>
          <w:tcPr>
            <w:tcW w:w="80" w:type="dxa"/>
            <w:vAlign w:val="bottom"/>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20,053</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189,504</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209,695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74,282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74,282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jc w:val="right"/>
              <w:spacing w:after="0"/>
              <w:rPr>
                <w:sz w:val="20"/>
                <w:szCs w:val="20"/>
                <w:color w:val="auto"/>
              </w:rPr>
            </w:pPr>
            <w:r>
              <w:rPr>
                <w:rFonts w:ascii="Arial" w:cs="Arial" w:eastAsia="Arial" w:hAnsi="Arial"/>
                <w:sz w:val="14"/>
                <w:szCs w:val="14"/>
                <w:color w:val="auto"/>
              </w:rPr>
              <w:t>933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3,903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3,904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760" w:type="dxa"/>
            <w:vAlign w:val="bottom"/>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(347)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52,345</w:t>
            </w: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52</w:t>
            </w: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87,116</w:t>
            </w:r>
          </w:p>
        </w:tc>
        <w:tc>
          <w:tcPr>
            <w:tcW w:w="1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auto"/>
              </w:rPr>
              <w:t>87</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25</w:t>
            </w: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ind w:left="460"/>
              <w:spacing w:after="0"/>
              <w:rPr>
                <w:sz w:val="20"/>
                <w:szCs w:val="20"/>
                <w:color w:val="auto"/>
              </w:rPr>
            </w:pPr>
            <w:r>
              <w:rPr>
                <w:rFonts w:ascii="Arial" w:cs="Arial" w:eastAsia="Arial" w:hAnsi="Arial"/>
                <w:sz w:val="14"/>
                <w:szCs w:val="14"/>
                <w:b w:val="1"/>
                <w:bCs w:val="1"/>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94,335</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193,090</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287,564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3"/>
        </w:trPr>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gridSpan w:val="4"/>
          </w:tcPr>
          <w:p>
            <w:pPr>
              <w:ind w:left="200"/>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60" w:type="dxa"/>
            <w:vAlign w:val="bottom"/>
            <w:gridSpan w:val="5"/>
          </w:tcPr>
          <w:p>
            <w:pPr>
              <w:jc w:val="center"/>
              <w:ind w:left="788"/>
              <w:spacing w:after="0" w:line="160" w:lineRule="exact"/>
              <w:rPr>
                <w:sz w:val="20"/>
                <w:szCs w:val="20"/>
                <w:color w:val="auto"/>
              </w:rPr>
            </w:pPr>
            <w:r>
              <w:rPr>
                <w:rFonts w:ascii="Arial" w:cs="Arial" w:eastAsia="Arial" w:hAnsi="Arial"/>
                <w:sz w:val="14"/>
                <w:szCs w:val="14"/>
                <w:b w:val="1"/>
                <w:bCs w:val="1"/>
                <w:color w:val="auto"/>
                <w:w w:val="91"/>
              </w:rPr>
              <w:t>Total Stockholders'</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3"/>
          </w:tcPr>
          <w:p>
            <w:pPr>
              <w:jc w:val="right"/>
              <w:ind w:right="268"/>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Treasury Stock</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Equity</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62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4"/>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gridSpan w:val="4"/>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620" w:type="dxa"/>
            <w:vAlign w:val="bottom"/>
            <w:gridSpan w:val="4"/>
          </w:tcPr>
          <w:p>
            <w:pPr>
              <w:jc w:val="right"/>
              <w:ind w:right="508"/>
              <w:spacing w:after="0"/>
              <w:rPr>
                <w:sz w:val="20"/>
                <w:szCs w:val="20"/>
                <w:color w:val="auto"/>
              </w:rPr>
            </w:pPr>
            <w:r>
              <w:rPr>
                <w:rFonts w:ascii="Arial" w:cs="Arial" w:eastAsia="Arial" w:hAnsi="Arial"/>
                <w:sz w:val="14"/>
                <w:szCs w:val="14"/>
                <w:b w:val="1"/>
                <w:bCs w:val="1"/>
                <w:color w:val="auto"/>
              </w:rPr>
              <w:t>Class A</w:t>
            </w:r>
          </w:p>
        </w:tc>
        <w:tc>
          <w:tcPr>
            <w:tcW w:w="80" w:type="dxa"/>
            <w:vAlign w:val="bottom"/>
          </w:tcPr>
          <w:p>
            <w:pPr>
              <w:spacing w:after="0"/>
              <w:rPr>
                <w:sz w:val="16"/>
                <w:szCs w:val="16"/>
                <w:color w:val="auto"/>
              </w:rPr>
            </w:pPr>
          </w:p>
        </w:tc>
        <w:tc>
          <w:tcPr>
            <w:tcW w:w="1620" w:type="dxa"/>
            <w:vAlign w:val="bottom"/>
            <w:gridSpan w:val="4"/>
          </w:tcPr>
          <w:p>
            <w:pPr>
              <w:jc w:val="right"/>
              <w:ind w:right="508"/>
              <w:spacing w:after="0"/>
              <w:rPr>
                <w:sz w:val="20"/>
                <w:szCs w:val="20"/>
                <w:color w:val="auto"/>
              </w:rPr>
            </w:pPr>
            <w:r>
              <w:rPr>
                <w:rFonts w:ascii="Arial" w:cs="Arial" w:eastAsia="Arial" w:hAnsi="Arial"/>
                <w:sz w:val="14"/>
                <w:szCs w:val="14"/>
                <w:b w:val="1"/>
                <w:bCs w:val="1"/>
                <w:color w:val="auto"/>
              </w:rPr>
              <w:t>Class B</w:t>
            </w:r>
          </w:p>
        </w:tc>
        <w:tc>
          <w:tcPr>
            <w:tcW w:w="80" w:type="dxa"/>
            <w:vAlign w:val="bottom"/>
          </w:tcPr>
          <w:p>
            <w:pPr>
              <w:spacing w:after="0"/>
              <w:rPr>
                <w:sz w:val="16"/>
                <w:szCs w:val="16"/>
                <w:color w:val="auto"/>
              </w:rPr>
            </w:pPr>
          </w:p>
        </w:tc>
        <w:tc>
          <w:tcPr>
            <w:tcW w:w="16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Class A</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1"/>
              </w:rPr>
              <w:t>Retained</w:t>
            </w: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center"/>
              <w:ind w:right="48"/>
              <w:spacing w:after="0"/>
              <w:rPr>
                <w:sz w:val="20"/>
                <w:szCs w:val="20"/>
                <w:color w:val="auto"/>
              </w:rPr>
            </w:pPr>
            <w:r>
              <w:rPr>
                <w:rFonts w:ascii="Arial" w:cs="Arial" w:eastAsia="Arial" w:hAnsi="Arial"/>
                <w:sz w:val="14"/>
                <w:szCs w:val="14"/>
                <w:b w:val="1"/>
                <w:bCs w:val="1"/>
                <w:color w:val="auto"/>
                <w:w w:val="93"/>
              </w:rPr>
              <w:t>Earnings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5"/>
                <w:szCs w:val="15"/>
                <w:color w:val="auto"/>
              </w:rPr>
            </w:pPr>
          </w:p>
        </w:tc>
        <w:tc>
          <w:tcPr>
            <w:tcW w:w="800" w:type="dxa"/>
            <w:vAlign w:val="bottom"/>
          </w:tcPr>
          <w:p>
            <w:pPr>
              <w:jc w:val="center"/>
              <w:ind w:right="108"/>
              <w:spacing w:after="0"/>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28"/>
              <w:spacing w:after="0"/>
              <w:rPr>
                <w:sz w:val="20"/>
                <w:szCs w:val="20"/>
                <w:color w:val="auto"/>
              </w:rPr>
            </w:pPr>
            <w:r>
              <w:rPr>
                <w:rFonts w:ascii="Arial" w:cs="Arial" w:eastAsia="Arial" w:hAnsi="Arial"/>
                <w:sz w:val="14"/>
                <w:szCs w:val="14"/>
                <w:b w:val="1"/>
                <w:bCs w:val="1"/>
                <w:color w:val="auto"/>
                <w:w w:val="92"/>
              </w:rPr>
              <w:t>(Accumulated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Paid-in</w:t>
            </w: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Stockholders'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6"/>
                <w:szCs w:val="16"/>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6"/>
                <w:szCs w:val="16"/>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ind w:left="2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28"/>
              <w:spacing w:after="0"/>
              <w:rPr>
                <w:sz w:val="20"/>
                <w:szCs w:val="20"/>
                <w:color w:val="auto"/>
              </w:rPr>
            </w:pPr>
            <w:r>
              <w:rPr>
                <w:rFonts w:ascii="Arial" w:cs="Arial" w:eastAsia="Arial" w:hAnsi="Arial"/>
                <w:sz w:val="14"/>
                <w:szCs w:val="14"/>
                <w:b w:val="1"/>
                <w:bCs w:val="1"/>
                <w:color w:val="auto"/>
                <w:w w:val="96"/>
              </w:rPr>
              <w:t>Deficit)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800" w:type="dxa"/>
            <w:vAlign w:val="bottom"/>
          </w:tcPr>
          <w:p>
            <w:pPr>
              <w:jc w:val="center"/>
              <w:ind w:right="108"/>
              <w:spacing w:after="0"/>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6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50,428</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w:t>
            </w:r>
          </w:p>
        </w:tc>
        <w:tc>
          <w:tcPr>
            <w:tcW w:w="8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86,519</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87</w:t>
            </w:r>
          </w:p>
        </w:tc>
        <w:tc>
          <w:tcPr>
            <w:tcW w:w="80" w:type="dxa"/>
            <w:vAlign w:val="bottom"/>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(116,581)</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186,209</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69,765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52,697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52,697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jc w:val="right"/>
              <w:spacing w:after="0"/>
              <w:rPr>
                <w:sz w:val="20"/>
                <w:szCs w:val="20"/>
                <w:color w:val="auto"/>
              </w:rPr>
            </w:pPr>
            <w:r>
              <w:rPr>
                <w:rFonts w:ascii="Arial" w:cs="Arial" w:eastAsia="Arial" w:hAnsi="Arial"/>
                <w:sz w:val="14"/>
                <w:szCs w:val="14"/>
                <w:color w:val="auto"/>
              </w:rPr>
              <w:t>932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597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1,388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1,389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51,360</w:t>
            </w: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51</w:t>
            </w: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87,116</w:t>
            </w:r>
          </w:p>
        </w:tc>
        <w:tc>
          <w:tcPr>
            <w:tcW w:w="1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auto"/>
              </w:rPr>
              <w:t>87</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ind w:left="460"/>
              <w:spacing w:after="0"/>
              <w:rPr>
                <w:sz w:val="20"/>
                <w:szCs w:val="20"/>
                <w:color w:val="auto"/>
              </w:rPr>
            </w:pPr>
            <w:r>
              <w:rPr>
                <w:rFonts w:ascii="Arial" w:cs="Arial" w:eastAsia="Arial" w:hAnsi="Arial"/>
                <w:sz w:val="14"/>
                <w:szCs w:val="14"/>
                <w:b w:val="1"/>
                <w:bCs w:val="1"/>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(63,884)</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187,640</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123,894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-1784985</wp:posOffset>
            </wp:positionH>
            <wp:positionV relativeFrom="paragraph">
              <wp:posOffset>-2931160</wp:posOffset>
            </wp:positionV>
            <wp:extent cx="708088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0885" cy="137160"/>
                    </a:xfrm>
                    <a:prstGeom prst="rect">
                      <a:avLst/>
                    </a:prstGeom>
                    <a:noFill/>
                  </pic:spPr>
                </pic:pic>
              </a:graphicData>
            </a:graphic>
          </wp:anchor>
        </w:drawing>
        <w:drawing>
          <wp:anchor simplePos="0" relativeHeight="251657728" behindDoc="1" locked="0" layoutInCell="0" allowOverlap="1">
            <wp:simplePos x="0" y="0"/>
            <wp:positionH relativeFrom="column">
              <wp:posOffset>-1784985</wp:posOffset>
            </wp:positionH>
            <wp:positionV relativeFrom="paragraph">
              <wp:posOffset>-2656840</wp:posOffset>
            </wp:positionV>
            <wp:extent cx="7080885"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0885" cy="137160"/>
                    </a:xfrm>
                    <a:prstGeom prst="rect">
                      <a:avLst/>
                    </a:prstGeom>
                    <a:noFill/>
                  </pic:spPr>
                </pic:pic>
              </a:graphicData>
            </a:graphic>
          </wp:anchor>
        </w:drawing>
        <w:drawing>
          <wp:anchor simplePos="0" relativeHeight="251657728" behindDoc="1" locked="0" layoutInCell="0" allowOverlap="1">
            <wp:simplePos x="0" y="0"/>
            <wp:positionH relativeFrom="column">
              <wp:posOffset>-1784985</wp:posOffset>
            </wp:positionH>
            <wp:positionV relativeFrom="paragraph">
              <wp:posOffset>-2382520</wp:posOffset>
            </wp:positionV>
            <wp:extent cx="7080885" cy="3429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0885" cy="342900"/>
                    </a:xfrm>
                    <a:prstGeom prst="rect">
                      <a:avLst/>
                    </a:prstGeom>
                    <a:noFill/>
                  </pic:spPr>
                </pic:pic>
              </a:graphicData>
            </a:graphic>
          </wp:anchor>
        </w:drawing>
        <w:drawing>
          <wp:anchor simplePos="0" relativeHeight="251657728" behindDoc="1" locked="0" layoutInCell="0" allowOverlap="1">
            <wp:simplePos x="0" y="0"/>
            <wp:positionH relativeFrom="column">
              <wp:posOffset>-1784985</wp:posOffset>
            </wp:positionH>
            <wp:positionV relativeFrom="paragraph">
              <wp:posOffset>-728345</wp:posOffset>
            </wp:positionV>
            <wp:extent cx="708088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0885" cy="137160"/>
                    </a:xfrm>
                    <a:prstGeom prst="rect">
                      <a:avLst/>
                    </a:prstGeom>
                    <a:noFill/>
                  </pic:spPr>
                </pic:pic>
              </a:graphicData>
            </a:graphic>
          </wp:anchor>
        </w:drawing>
        <w:drawing>
          <wp:anchor simplePos="0" relativeHeight="251657728" behindDoc="1" locked="0" layoutInCell="0" allowOverlap="1">
            <wp:simplePos x="0" y="0"/>
            <wp:positionH relativeFrom="column">
              <wp:posOffset>-1784985</wp:posOffset>
            </wp:positionH>
            <wp:positionV relativeFrom="paragraph">
              <wp:posOffset>-453390</wp:posOffset>
            </wp:positionV>
            <wp:extent cx="708088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0885" cy="137160"/>
                    </a:xfrm>
                    <a:prstGeom prst="rect">
                      <a:avLst/>
                    </a:prstGeom>
                    <a:noFill/>
                  </pic:spPr>
                </pic:pic>
              </a:graphicData>
            </a:graphic>
          </wp:anchor>
        </w:drawing>
        <w:drawing>
          <wp:anchor simplePos="0" relativeHeight="251657728" behindDoc="1" locked="0" layoutInCell="0" allowOverlap="1">
            <wp:simplePos x="0" y="0"/>
            <wp:positionH relativeFrom="column">
              <wp:posOffset>-1784985</wp:posOffset>
            </wp:positionH>
            <wp:positionV relativeFrom="paragraph">
              <wp:posOffset>-179070</wp:posOffset>
            </wp:positionV>
            <wp:extent cx="7080885"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80885"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00" w:space="700"/>
            <w:col w:w="8420"/>
          </w:cols>
          <w:pgMar w:left="340" w:top="17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75" w:right="339" w:bottom="1440" w:gutter="0" w:footer="0" w:header="0"/>
          <w:type w:val="continuous"/>
        </w:sectPr>
      </w:pPr>
    </w:p>
    <w:bookmarkStart w:id="6" w:name="page7"/>
    <w:bookmarkEnd w:id="6"/>
    <w:p>
      <w:pPr>
        <w:ind w:left="4480"/>
        <w:spacing w:after="0"/>
        <w:rPr>
          <w:sz w:val="20"/>
          <w:szCs w:val="20"/>
          <w:color w:val="auto"/>
        </w:rPr>
      </w:pPr>
      <w:r>
        <w:rPr>
          <w:rFonts w:ascii="Arial" w:cs="Arial" w:eastAsia="Arial" w:hAnsi="Arial"/>
          <w:sz w:val="18"/>
          <w:szCs w:val="18"/>
          <w:b w:val="1"/>
          <w:bCs w:val="1"/>
          <w:color w:val="auto"/>
        </w:rPr>
        <w:t>Arhaus, Inc. and Subsidiaries</w:t>
      </w:r>
    </w:p>
    <w:p>
      <w:pPr>
        <w:spacing w:after="0" w:line="25"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4"/>
          </w:tcPr>
          <w:p>
            <w:pPr>
              <w:ind w:left="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8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gridSpan w:val="5"/>
          </w:tcPr>
          <w:p>
            <w:pPr>
              <w:jc w:val="center"/>
              <w:ind w:left="808"/>
              <w:spacing w:after="0" w:line="160" w:lineRule="exact"/>
              <w:rPr>
                <w:sz w:val="20"/>
                <w:szCs w:val="20"/>
                <w:color w:val="auto"/>
              </w:rPr>
            </w:pPr>
            <w:r>
              <w:rPr>
                <w:rFonts w:ascii="Arial" w:cs="Arial" w:eastAsia="Arial" w:hAnsi="Arial"/>
                <w:sz w:val="14"/>
                <w:szCs w:val="14"/>
                <w:b w:val="1"/>
                <w:bCs w:val="1"/>
                <w:color w:val="auto"/>
                <w:w w:val="91"/>
              </w:rPr>
              <w:t>Total Stockholders'</w:t>
            </w: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3"/>
          </w:tcPr>
          <w:p>
            <w:pPr>
              <w:jc w:val="right"/>
              <w:ind w:right="268"/>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Treasury Stock</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Equity</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820" w:type="dxa"/>
            <w:vAlign w:val="bottom"/>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820" w:type="dxa"/>
            <w:vAlign w:val="bottom"/>
          </w:tcPr>
          <w:p>
            <w:pPr>
              <w:spacing w:after="0"/>
              <w:rPr>
                <w:sz w:val="16"/>
                <w:szCs w:val="16"/>
                <w:color w:val="auto"/>
              </w:rPr>
            </w:pPr>
          </w:p>
        </w:tc>
        <w:tc>
          <w:tcPr>
            <w:tcW w:w="1660" w:type="dxa"/>
            <w:vAlign w:val="bottom"/>
            <w:gridSpan w:val="4"/>
          </w:tcPr>
          <w:p>
            <w:pPr>
              <w:jc w:val="right"/>
              <w:ind w:right="528"/>
              <w:spacing w:after="0"/>
              <w:rPr>
                <w:sz w:val="20"/>
                <w:szCs w:val="20"/>
                <w:color w:val="auto"/>
              </w:rPr>
            </w:pPr>
            <w:r>
              <w:rPr>
                <w:rFonts w:ascii="Arial" w:cs="Arial" w:eastAsia="Arial" w:hAnsi="Arial"/>
                <w:sz w:val="14"/>
                <w:szCs w:val="14"/>
                <w:b w:val="1"/>
                <w:bCs w:val="1"/>
                <w:color w:val="auto"/>
              </w:rPr>
              <w:t>Class A</w:t>
            </w:r>
          </w:p>
        </w:tc>
        <w:tc>
          <w:tcPr>
            <w:tcW w:w="100" w:type="dxa"/>
            <w:vAlign w:val="bottom"/>
          </w:tcPr>
          <w:p>
            <w:pPr>
              <w:spacing w:after="0"/>
              <w:rPr>
                <w:sz w:val="16"/>
                <w:szCs w:val="16"/>
                <w:color w:val="auto"/>
              </w:rPr>
            </w:pPr>
          </w:p>
        </w:tc>
        <w:tc>
          <w:tcPr>
            <w:tcW w:w="1660" w:type="dxa"/>
            <w:vAlign w:val="bottom"/>
            <w:gridSpan w:val="4"/>
          </w:tcPr>
          <w:p>
            <w:pPr>
              <w:jc w:val="right"/>
              <w:ind w:right="528"/>
              <w:spacing w:after="0"/>
              <w:rPr>
                <w:sz w:val="20"/>
                <w:szCs w:val="20"/>
                <w:color w:val="auto"/>
              </w:rPr>
            </w:pPr>
            <w:r>
              <w:rPr>
                <w:rFonts w:ascii="Arial" w:cs="Arial" w:eastAsia="Arial" w:hAnsi="Arial"/>
                <w:sz w:val="14"/>
                <w:szCs w:val="14"/>
                <w:b w:val="1"/>
                <w:bCs w:val="1"/>
                <w:color w:val="auto"/>
              </w:rPr>
              <w:t>Class B</w:t>
            </w:r>
          </w:p>
        </w:tc>
        <w:tc>
          <w:tcPr>
            <w:tcW w:w="80" w:type="dxa"/>
            <w:vAlign w:val="bottom"/>
          </w:tcPr>
          <w:p>
            <w:pPr>
              <w:spacing w:after="0"/>
              <w:rPr>
                <w:sz w:val="16"/>
                <w:szCs w:val="16"/>
                <w:color w:val="auto"/>
              </w:rPr>
            </w:pPr>
          </w:p>
        </w:tc>
        <w:tc>
          <w:tcPr>
            <w:tcW w:w="15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Class A</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8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0"/>
        </w:trPr>
        <w:tc>
          <w:tcPr>
            <w:tcW w:w="2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28"/>
              <w:spacing w:after="0"/>
              <w:rPr>
                <w:sz w:val="20"/>
                <w:szCs w:val="20"/>
                <w:color w:val="auto"/>
              </w:rPr>
            </w:pPr>
            <w:r>
              <w:rPr>
                <w:rFonts w:ascii="Arial" w:cs="Arial" w:eastAsia="Arial" w:hAnsi="Arial"/>
                <w:sz w:val="14"/>
                <w:szCs w:val="14"/>
                <w:b w:val="1"/>
                <w:bCs w:val="1"/>
                <w:color w:val="auto"/>
                <w:w w:val="94"/>
              </w:rPr>
              <w:t>Retained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Additional</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86"/>
        </w:trPr>
        <w:tc>
          <w:tcPr>
            <w:tcW w:w="282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6"/>
                <w:szCs w:val="16"/>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ind w:left="2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28"/>
              <w:spacing w:after="0"/>
              <w:rPr>
                <w:sz w:val="20"/>
                <w:szCs w:val="20"/>
                <w:color w:val="auto"/>
              </w:rPr>
            </w:pPr>
            <w:r>
              <w:rPr>
                <w:rFonts w:ascii="Arial" w:cs="Arial" w:eastAsia="Arial" w:hAnsi="Arial"/>
                <w:sz w:val="14"/>
                <w:szCs w:val="14"/>
                <w:b w:val="1"/>
                <w:bCs w:val="1"/>
                <w:color w:val="auto"/>
                <w:w w:val="93"/>
              </w:rPr>
              <w:t>Earnings</w:t>
            </w:r>
          </w:p>
        </w:tc>
        <w:tc>
          <w:tcPr>
            <w:tcW w:w="80" w:type="dxa"/>
            <w:vAlign w:val="bottom"/>
          </w:tcPr>
          <w:p>
            <w:pPr>
              <w:spacing w:after="0"/>
              <w:rPr>
                <w:sz w:val="16"/>
                <w:szCs w:val="16"/>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Paid-in Capital</w:t>
            </w:r>
          </w:p>
        </w:tc>
        <w:tc>
          <w:tcPr>
            <w:tcW w:w="200" w:type="dxa"/>
            <w:vAlign w:val="bottom"/>
          </w:tcPr>
          <w:p>
            <w:pPr>
              <w:spacing w:after="0"/>
              <w:rPr>
                <w:sz w:val="16"/>
                <w:szCs w:val="16"/>
                <w:color w:val="auto"/>
              </w:rPr>
            </w:pPr>
          </w:p>
        </w:tc>
        <w:tc>
          <w:tcPr>
            <w:tcW w:w="800" w:type="dxa"/>
            <w:vAlign w:val="bottom"/>
          </w:tcPr>
          <w:p>
            <w:pPr>
              <w:jc w:val="center"/>
              <w:ind w:right="12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6"/>
        </w:trPr>
        <w:tc>
          <w:tcPr>
            <w:tcW w:w="28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March 31, 2023</w:t>
            </w: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52,216</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87,116</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87</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54,152</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190,803</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245,094</w:t>
            </w:r>
          </w:p>
        </w:tc>
        <w:tc>
          <w:tcPr>
            <w:tcW w:w="0" w:type="dxa"/>
            <w:vAlign w:val="bottom"/>
          </w:tcPr>
          <w:p>
            <w:pPr>
              <w:spacing w:after="0"/>
              <w:rPr>
                <w:sz w:val="1"/>
                <w:szCs w:val="1"/>
                <w:color w:val="auto"/>
              </w:rPr>
            </w:pPr>
          </w:p>
        </w:tc>
      </w:tr>
      <w:tr>
        <w:trPr>
          <w:trHeight w:val="190"/>
        </w:trPr>
        <w:tc>
          <w:tcPr>
            <w:tcW w:w="28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40,183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40,183</w:t>
            </w:r>
          </w:p>
        </w:tc>
        <w:tc>
          <w:tcPr>
            <w:tcW w:w="0" w:type="dxa"/>
            <w:vAlign w:val="bottom"/>
          </w:tcPr>
          <w:p>
            <w:pPr>
              <w:spacing w:after="0"/>
              <w:rPr>
                <w:sz w:val="1"/>
                <w:szCs w:val="1"/>
                <w:color w:val="auto"/>
              </w:rPr>
            </w:pPr>
          </w:p>
        </w:tc>
      </w:tr>
      <w:tr>
        <w:trPr>
          <w:trHeight w:val="26"/>
        </w:trPr>
        <w:tc>
          <w:tcPr>
            <w:tcW w:w="2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Shareholder capital contribution</w:t>
            </w: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91"/>
        </w:trPr>
        <w:tc>
          <w:tcPr>
            <w:tcW w:w="2820" w:type="dxa"/>
            <w:vAlign w:val="bottom"/>
          </w:tcPr>
          <w:p>
            <w:pPr>
              <w:ind w:left="20"/>
              <w:spacing w:after="0"/>
              <w:rPr>
                <w:sz w:val="20"/>
                <w:szCs w:val="20"/>
                <w:color w:val="auto"/>
              </w:rPr>
            </w:pPr>
            <w:r>
              <w:rPr>
                <w:rFonts w:ascii="Arial" w:cs="Arial" w:eastAsia="Arial" w:hAnsi="Arial"/>
                <w:sz w:val="14"/>
                <w:szCs w:val="14"/>
                <w:color w:val="auto"/>
              </w:rPr>
              <w:t>Equity based compensation</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129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2,274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2,274</w:t>
            </w:r>
          </w:p>
        </w:tc>
        <w:tc>
          <w:tcPr>
            <w:tcW w:w="0" w:type="dxa"/>
            <w:vAlign w:val="bottom"/>
          </w:tcPr>
          <w:p>
            <w:pPr>
              <w:spacing w:after="0"/>
              <w:rPr>
                <w:sz w:val="1"/>
                <w:szCs w:val="1"/>
                <w:color w:val="auto"/>
              </w:rPr>
            </w:pPr>
          </w:p>
        </w:tc>
      </w:tr>
      <w:tr>
        <w:trPr>
          <w:trHeight w:val="26"/>
        </w:trPr>
        <w:tc>
          <w:tcPr>
            <w:tcW w:w="28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June 30, 2023</w:t>
            </w: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52,345</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87,116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87</w:t>
            </w:r>
          </w:p>
        </w:tc>
        <w:tc>
          <w:tcPr>
            <w:tcW w:w="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94,335</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193,090</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287,564</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28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5"/>
          </w:tcPr>
          <w:p>
            <w:pPr>
              <w:jc w:val="center"/>
              <w:ind w:left="808"/>
              <w:spacing w:after="0"/>
              <w:rPr>
                <w:sz w:val="20"/>
                <w:szCs w:val="20"/>
                <w:color w:val="auto"/>
              </w:rPr>
            </w:pPr>
            <w:r>
              <w:rPr>
                <w:rFonts w:ascii="Arial" w:cs="Arial" w:eastAsia="Arial" w:hAnsi="Arial"/>
                <w:sz w:val="14"/>
                <w:szCs w:val="14"/>
                <w:b w:val="1"/>
                <w:bCs w:val="1"/>
                <w:color w:val="auto"/>
                <w:w w:val="91"/>
              </w:rPr>
              <w:t>Total Stockholders'</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3"/>
          </w:tcPr>
          <w:p>
            <w:pPr>
              <w:jc w:val="right"/>
              <w:ind w:right="268"/>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Treasury Stock</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Equity</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820" w:type="dxa"/>
            <w:vAlign w:val="bottom"/>
          </w:tcPr>
          <w:p>
            <w:pPr>
              <w:spacing w:after="0"/>
              <w:rPr>
                <w:sz w:val="2"/>
                <w:szCs w:val="2"/>
                <w:color w:val="auto"/>
              </w:rPr>
            </w:pPr>
          </w:p>
        </w:tc>
        <w:tc>
          <w:tcPr>
            <w:tcW w:w="166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4"/>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auto"/>
            </w:tcBorders>
            <w:gridSpan w:val="4"/>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820" w:type="dxa"/>
            <w:vAlign w:val="bottom"/>
          </w:tcPr>
          <w:p>
            <w:pPr>
              <w:spacing w:after="0"/>
              <w:rPr>
                <w:sz w:val="16"/>
                <w:szCs w:val="16"/>
                <w:color w:val="auto"/>
              </w:rPr>
            </w:pPr>
          </w:p>
        </w:tc>
        <w:tc>
          <w:tcPr>
            <w:tcW w:w="1660" w:type="dxa"/>
            <w:vAlign w:val="bottom"/>
            <w:gridSpan w:val="4"/>
          </w:tcPr>
          <w:p>
            <w:pPr>
              <w:jc w:val="right"/>
              <w:ind w:right="528"/>
              <w:spacing w:after="0"/>
              <w:rPr>
                <w:sz w:val="20"/>
                <w:szCs w:val="20"/>
                <w:color w:val="auto"/>
              </w:rPr>
            </w:pPr>
            <w:r>
              <w:rPr>
                <w:rFonts w:ascii="Arial" w:cs="Arial" w:eastAsia="Arial" w:hAnsi="Arial"/>
                <w:sz w:val="14"/>
                <w:szCs w:val="14"/>
                <w:b w:val="1"/>
                <w:bCs w:val="1"/>
                <w:color w:val="auto"/>
              </w:rPr>
              <w:t>Class A</w:t>
            </w:r>
          </w:p>
        </w:tc>
        <w:tc>
          <w:tcPr>
            <w:tcW w:w="100" w:type="dxa"/>
            <w:vAlign w:val="bottom"/>
          </w:tcPr>
          <w:p>
            <w:pPr>
              <w:spacing w:after="0"/>
              <w:rPr>
                <w:sz w:val="16"/>
                <w:szCs w:val="16"/>
                <w:color w:val="auto"/>
              </w:rPr>
            </w:pPr>
          </w:p>
        </w:tc>
        <w:tc>
          <w:tcPr>
            <w:tcW w:w="1660" w:type="dxa"/>
            <w:vAlign w:val="bottom"/>
            <w:gridSpan w:val="4"/>
          </w:tcPr>
          <w:p>
            <w:pPr>
              <w:jc w:val="right"/>
              <w:ind w:right="528"/>
              <w:spacing w:after="0"/>
              <w:rPr>
                <w:sz w:val="20"/>
                <w:szCs w:val="20"/>
                <w:color w:val="auto"/>
              </w:rPr>
            </w:pPr>
            <w:r>
              <w:rPr>
                <w:rFonts w:ascii="Arial" w:cs="Arial" w:eastAsia="Arial" w:hAnsi="Arial"/>
                <w:sz w:val="14"/>
                <w:szCs w:val="14"/>
                <w:b w:val="1"/>
                <w:bCs w:val="1"/>
                <w:color w:val="auto"/>
              </w:rPr>
              <w:t>Class B</w:t>
            </w:r>
          </w:p>
        </w:tc>
        <w:tc>
          <w:tcPr>
            <w:tcW w:w="80" w:type="dxa"/>
            <w:vAlign w:val="bottom"/>
          </w:tcPr>
          <w:p>
            <w:pPr>
              <w:spacing w:after="0"/>
              <w:rPr>
                <w:sz w:val="16"/>
                <w:szCs w:val="16"/>
                <w:color w:val="auto"/>
              </w:rPr>
            </w:pPr>
          </w:p>
        </w:tc>
        <w:tc>
          <w:tcPr>
            <w:tcW w:w="15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Class A</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8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4"/>
              </w:rPr>
              <w:t>Retained</w:t>
            </w: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28"/>
              <w:spacing w:after="0"/>
              <w:rPr>
                <w:sz w:val="20"/>
                <w:szCs w:val="20"/>
                <w:color w:val="auto"/>
              </w:rPr>
            </w:pPr>
            <w:r>
              <w:rPr>
                <w:rFonts w:ascii="Arial" w:cs="Arial" w:eastAsia="Arial" w:hAnsi="Arial"/>
                <w:sz w:val="14"/>
                <w:szCs w:val="14"/>
                <w:b w:val="1"/>
                <w:bCs w:val="1"/>
                <w:color w:val="auto"/>
                <w:w w:val="93"/>
              </w:rPr>
              <w:t>Earnings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center"/>
              <w:ind w:right="12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5"/>
        </w:trPr>
        <w:tc>
          <w:tcPr>
            <w:tcW w:w="2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48"/>
              <w:spacing w:after="0"/>
              <w:rPr>
                <w:sz w:val="20"/>
                <w:szCs w:val="20"/>
                <w:color w:val="auto"/>
              </w:rPr>
            </w:pPr>
            <w:r>
              <w:rPr>
                <w:rFonts w:ascii="Arial" w:cs="Arial" w:eastAsia="Arial" w:hAnsi="Arial"/>
                <w:sz w:val="14"/>
                <w:szCs w:val="14"/>
                <w:b w:val="1"/>
                <w:bCs w:val="1"/>
                <w:color w:val="auto"/>
                <w:w w:val="92"/>
              </w:rPr>
              <w:t>(Accumulated</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Additional</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86"/>
        </w:trPr>
        <w:tc>
          <w:tcPr>
            <w:tcW w:w="282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6"/>
                <w:szCs w:val="16"/>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ind w:left="2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48"/>
              <w:spacing w:after="0"/>
              <w:rPr>
                <w:sz w:val="20"/>
                <w:szCs w:val="20"/>
                <w:color w:val="auto"/>
              </w:rPr>
            </w:pPr>
            <w:r>
              <w:rPr>
                <w:rFonts w:ascii="Arial" w:cs="Arial" w:eastAsia="Arial" w:hAnsi="Arial"/>
                <w:sz w:val="14"/>
                <w:szCs w:val="14"/>
                <w:b w:val="1"/>
                <w:bCs w:val="1"/>
                <w:color w:val="auto"/>
                <w:w w:val="96"/>
              </w:rPr>
              <w:t>Deficit)</w:t>
            </w:r>
          </w:p>
        </w:tc>
        <w:tc>
          <w:tcPr>
            <w:tcW w:w="80" w:type="dxa"/>
            <w:vAlign w:val="bottom"/>
          </w:tcPr>
          <w:p>
            <w:pPr>
              <w:spacing w:after="0"/>
              <w:rPr>
                <w:sz w:val="16"/>
                <w:szCs w:val="16"/>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Paid-in Capital</w:t>
            </w:r>
          </w:p>
        </w:tc>
        <w:tc>
          <w:tcPr>
            <w:tcW w:w="200" w:type="dxa"/>
            <w:vAlign w:val="bottom"/>
          </w:tcPr>
          <w:p>
            <w:pPr>
              <w:spacing w:after="0"/>
              <w:rPr>
                <w:sz w:val="16"/>
                <w:szCs w:val="16"/>
                <w:color w:val="auto"/>
              </w:rPr>
            </w:pPr>
          </w:p>
        </w:tc>
        <w:tc>
          <w:tcPr>
            <w:tcW w:w="800" w:type="dxa"/>
            <w:vAlign w:val="bottom"/>
          </w:tcPr>
          <w:p>
            <w:pPr>
              <w:jc w:val="center"/>
              <w:ind w:right="12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6"/>
        </w:trPr>
        <w:tc>
          <w:tcPr>
            <w:tcW w:w="28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March 31, 2022</w:t>
            </w: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51,232</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51</w:t>
            </w:r>
          </w:p>
        </w:tc>
        <w:tc>
          <w:tcPr>
            <w:tcW w:w="10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86,519</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87</w:t>
            </w:r>
          </w:p>
        </w:tc>
        <w:tc>
          <w:tcPr>
            <w:tcW w:w="8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(100,523)</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186,929</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86,544</w:t>
            </w:r>
          </w:p>
        </w:tc>
        <w:tc>
          <w:tcPr>
            <w:tcW w:w="0" w:type="dxa"/>
            <w:vAlign w:val="bottom"/>
          </w:tcPr>
          <w:p>
            <w:pPr>
              <w:spacing w:after="0"/>
              <w:rPr>
                <w:sz w:val="1"/>
                <w:szCs w:val="1"/>
                <w:color w:val="auto"/>
              </w:rPr>
            </w:pPr>
          </w:p>
        </w:tc>
      </w:tr>
      <w:tr>
        <w:trPr>
          <w:trHeight w:val="190"/>
        </w:trPr>
        <w:tc>
          <w:tcPr>
            <w:tcW w:w="28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36,639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36,639</w:t>
            </w:r>
          </w:p>
        </w:tc>
        <w:tc>
          <w:tcPr>
            <w:tcW w:w="0" w:type="dxa"/>
            <w:vAlign w:val="bottom"/>
          </w:tcPr>
          <w:p>
            <w:pPr>
              <w:spacing w:after="0"/>
              <w:rPr>
                <w:sz w:val="1"/>
                <w:szCs w:val="1"/>
                <w:color w:val="auto"/>
              </w:rPr>
            </w:pPr>
          </w:p>
        </w:tc>
      </w:tr>
      <w:tr>
        <w:trPr>
          <w:trHeight w:val="25"/>
        </w:trPr>
        <w:tc>
          <w:tcPr>
            <w:tcW w:w="2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Shareholder capital contribution</w:t>
            </w: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90"/>
        </w:trPr>
        <w:tc>
          <w:tcPr>
            <w:tcW w:w="2820" w:type="dxa"/>
            <w:vAlign w:val="bottom"/>
          </w:tcPr>
          <w:p>
            <w:pPr>
              <w:ind w:left="20"/>
              <w:spacing w:after="0"/>
              <w:rPr>
                <w:sz w:val="20"/>
                <w:szCs w:val="20"/>
                <w:color w:val="auto"/>
              </w:rPr>
            </w:pPr>
            <w:r>
              <w:rPr>
                <w:rFonts w:ascii="Arial" w:cs="Arial" w:eastAsia="Arial" w:hAnsi="Arial"/>
                <w:sz w:val="14"/>
                <w:szCs w:val="14"/>
                <w:color w:val="auto"/>
              </w:rPr>
              <w:t>Equity based compensation</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128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597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692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692</w:t>
            </w:r>
          </w:p>
        </w:tc>
        <w:tc>
          <w:tcPr>
            <w:tcW w:w="0" w:type="dxa"/>
            <w:vAlign w:val="bottom"/>
          </w:tcPr>
          <w:p>
            <w:pPr>
              <w:spacing w:after="0"/>
              <w:rPr>
                <w:sz w:val="1"/>
                <w:szCs w:val="1"/>
                <w:color w:val="auto"/>
              </w:rPr>
            </w:pPr>
          </w:p>
        </w:tc>
      </w:tr>
      <w:tr>
        <w:trPr>
          <w:trHeight w:val="25"/>
        </w:trPr>
        <w:tc>
          <w:tcPr>
            <w:tcW w:w="28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June 30, 2022</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51,360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87,116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87</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ind w:left="440"/>
              <w:spacing w:after="0"/>
              <w:rPr>
                <w:sz w:val="20"/>
                <w:szCs w:val="20"/>
                <w:color w:val="auto"/>
              </w:rPr>
            </w:pPr>
            <w:r>
              <w:rPr>
                <w:rFonts w:ascii="Arial" w:cs="Arial" w:eastAsia="Arial" w:hAnsi="Arial"/>
                <w:sz w:val="14"/>
                <w:szCs w:val="14"/>
                <w:b w:val="1"/>
                <w:bCs w:val="1"/>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(63,884)</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187,640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123,894</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7" w:name="page8"/>
    <w:bookmarkEnd w:id="7"/>
    <w:p>
      <w:pPr>
        <w:jc w:val="center"/>
        <w:ind w:right="-259"/>
        <w:spacing w:after="0"/>
        <w:rPr>
          <w:sz w:val="20"/>
          <w:szCs w:val="20"/>
          <w:color w:val="auto"/>
        </w:rPr>
      </w:pPr>
      <w:r>
        <w:rPr>
          <w:rFonts w:ascii="Arial" w:cs="Arial" w:eastAsia="Arial" w:hAnsi="Arial"/>
          <w:sz w:val="18"/>
          <w:szCs w:val="18"/>
          <w:b w:val="1"/>
          <w:bCs w:val="1"/>
          <w:color w:val="auto"/>
        </w:rPr>
        <w:t>Arhaus, Inc. and Subsidiaries</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(Unaudited, amounts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14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2580" w:type="dxa"/>
            <w:vAlign w:val="bottom"/>
            <w:tcBorders>
              <w:top w:val="single" w:sz="8" w:color="auto"/>
              <w:bottom w:val="single" w:sz="8" w:color="auto"/>
            </w:tcBorders>
            <w:gridSpan w:val="4"/>
          </w:tcPr>
          <w:p>
            <w:pPr>
              <w:jc w:val="right"/>
              <w:ind w:right="319"/>
              <w:spacing w:after="0"/>
              <w:rPr>
                <w:sz w:val="20"/>
                <w:szCs w:val="20"/>
                <w:color w:val="auto"/>
              </w:rPr>
            </w:pPr>
            <w:r>
              <w:rPr>
                <w:rFonts w:ascii="Arial" w:cs="Arial" w:eastAsia="Arial" w:hAnsi="Arial"/>
                <w:sz w:val="18"/>
                <w:szCs w:val="18"/>
                <w:b w:val="1"/>
                <w:bCs w:val="1"/>
                <w:color w:val="auto"/>
                <w:w w:val="93"/>
              </w:rPr>
              <w:t>Six months ended June 30,</w:t>
            </w:r>
          </w:p>
        </w:tc>
      </w:tr>
      <w:tr>
        <w:trPr>
          <w:trHeight w:val="236"/>
        </w:trPr>
        <w:tc>
          <w:tcPr>
            <w:tcW w:w="8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79"/>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8"/>
                <w:szCs w:val="18"/>
                <w:b w:val="1"/>
                <w:bCs w:val="1"/>
                <w:color w:val="auto"/>
              </w:rPr>
              <w:t>2022</w:t>
            </w:r>
          </w:p>
        </w:tc>
      </w:tr>
      <w:tr>
        <w:trPr>
          <w:trHeight w:val="227"/>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0"/>
        </w:trPr>
        <w:tc>
          <w:tcPr>
            <w:tcW w:w="81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74,282</w:t>
            </w:r>
          </w:p>
        </w:tc>
        <w:tc>
          <w:tcPr>
            <w:tcW w:w="5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52,697</w:t>
            </w:r>
          </w:p>
        </w:tc>
      </w:tr>
      <w:tr>
        <w:trPr>
          <w:trHeight w:val="233"/>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20"/>
        </w:trPr>
        <w:tc>
          <w:tcPr>
            <w:tcW w:w="814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14,140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11,995</w:t>
            </w:r>
          </w:p>
        </w:tc>
      </w:tr>
      <w:tr>
        <w:trPr>
          <w:trHeight w:val="233"/>
        </w:trPr>
        <w:tc>
          <w:tcPr>
            <w:tcW w:w="8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Amortization of operating lease right-of-use asset</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16,080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14,508</w:t>
            </w:r>
          </w:p>
        </w:tc>
      </w:tr>
      <w:tr>
        <w:trPr>
          <w:trHeight w:val="179"/>
        </w:trPr>
        <w:tc>
          <w:tcPr>
            <w:tcW w:w="8140" w:type="dxa"/>
            <w:vAlign w:val="bottom"/>
          </w:tcPr>
          <w:p>
            <w:pPr>
              <w:ind w:left="180"/>
              <w:spacing w:after="0" w:line="179" w:lineRule="exact"/>
              <w:rPr>
                <w:sz w:val="20"/>
                <w:szCs w:val="20"/>
                <w:color w:val="auto"/>
              </w:rPr>
            </w:pPr>
            <w:r>
              <w:rPr>
                <w:rFonts w:ascii="Arial" w:cs="Arial" w:eastAsia="Arial" w:hAnsi="Arial"/>
                <w:sz w:val="16"/>
                <w:szCs w:val="16"/>
                <w:color w:val="auto"/>
                <w:w w:val="96"/>
              </w:rPr>
              <w:t>Amortization of deferred financing fees, interest on finance lease in excess of principal paid and interest on operating</w:t>
            </w: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6"/>
        </w:trPr>
        <w:tc>
          <w:tcPr>
            <w:tcW w:w="8140" w:type="dxa"/>
            <w:vAlign w:val="bottom"/>
          </w:tcPr>
          <w:p>
            <w:pPr>
              <w:ind w:left="360"/>
              <w:spacing w:after="0"/>
              <w:rPr>
                <w:sz w:val="20"/>
                <w:szCs w:val="20"/>
                <w:color w:val="auto"/>
              </w:rPr>
            </w:pPr>
            <w:r>
              <w:rPr>
                <w:rFonts w:ascii="Arial" w:cs="Arial" w:eastAsia="Arial" w:hAnsi="Arial"/>
                <w:sz w:val="16"/>
                <w:szCs w:val="16"/>
                <w:color w:val="auto"/>
              </w:rPr>
              <w:t>leases</w:t>
            </w:r>
          </w:p>
        </w:tc>
        <w:tc>
          <w:tcPr>
            <w:tcW w:w="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9,945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5,489</w:t>
            </w:r>
          </w:p>
        </w:tc>
      </w:tr>
      <w:tr>
        <w:trPr>
          <w:trHeight w:val="33"/>
        </w:trPr>
        <w:tc>
          <w:tcPr>
            <w:tcW w:w="8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81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Equity based compensation</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1,389</w:t>
            </w:r>
          </w:p>
        </w:tc>
      </w:tr>
      <w:tr>
        <w:trPr>
          <w:trHeight w:val="210"/>
        </w:trPr>
        <w:tc>
          <w:tcPr>
            <w:tcW w:w="8140" w:type="dxa"/>
            <w:vAlign w:val="bottom"/>
          </w:tcPr>
          <w:p>
            <w:pPr>
              <w:ind w:left="180"/>
              <w:spacing w:after="0"/>
              <w:rPr>
                <w:sz w:val="20"/>
                <w:szCs w:val="20"/>
                <w:color w:val="auto"/>
              </w:rPr>
            </w:pPr>
            <w:r>
              <w:rPr>
                <w:rFonts w:ascii="Arial" w:cs="Arial" w:eastAsia="Arial" w:hAnsi="Arial"/>
                <w:sz w:val="16"/>
                <w:szCs w:val="16"/>
                <w:color w:val="auto"/>
              </w:rPr>
              <w:t>Deferred tax assets</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5,333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4,851</w:t>
            </w:r>
          </w:p>
        </w:tc>
      </w:tr>
      <w:tr>
        <w:trPr>
          <w:trHeight w:val="33"/>
        </w:trPr>
        <w:tc>
          <w:tcPr>
            <w:tcW w:w="8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81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 of cloud computing arrangements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8140" w:type="dxa"/>
            <w:vAlign w:val="bottom"/>
          </w:tcPr>
          <w:p>
            <w:pPr>
              <w:ind w:left="180"/>
              <w:spacing w:after="0"/>
              <w:rPr>
                <w:sz w:val="20"/>
                <w:szCs w:val="20"/>
                <w:color w:val="auto"/>
              </w:rPr>
            </w:pPr>
            <w:r>
              <w:rPr>
                <w:rFonts w:ascii="Arial" w:cs="Arial" w:eastAsia="Arial" w:hAnsi="Arial"/>
                <w:sz w:val="16"/>
                <w:szCs w:val="16"/>
                <w:color w:val="auto"/>
              </w:rPr>
              <w:t>Amortization and write-off of lease incentives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(144)</w:t>
            </w:r>
          </w:p>
        </w:tc>
      </w:tr>
      <w:tr>
        <w:trPr>
          <w:trHeight w:val="233"/>
        </w:trPr>
        <w:tc>
          <w:tcPr>
            <w:tcW w:w="8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Insurance proceeds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8140" w:type="dxa"/>
            <w:vAlign w:val="bottom"/>
          </w:tcPr>
          <w:p>
            <w:pPr>
              <w:ind w:left="180"/>
              <w:spacing w:after="0"/>
              <w:rPr>
                <w:sz w:val="20"/>
                <w:szCs w:val="20"/>
                <w:color w:val="auto"/>
              </w:rPr>
            </w:pPr>
            <w:r>
              <w:rPr>
                <w:rFonts w:ascii="Arial" w:cs="Arial" w:eastAsia="Arial" w:hAnsi="Arial"/>
                <w:sz w:val="16"/>
                <w:szCs w:val="16"/>
                <w:color w:val="auto"/>
              </w:rPr>
              <w:t>Changes in operating assets and liabilities</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3"/>
        </w:trPr>
        <w:tc>
          <w:tcPr>
            <w:tcW w:w="8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Accounts receivable</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(1,272)</w:t>
            </w:r>
          </w:p>
        </w:tc>
      </w:tr>
      <w:tr>
        <w:trPr>
          <w:trHeight w:val="220"/>
        </w:trPr>
        <w:tc>
          <w:tcPr>
            <w:tcW w:w="8140" w:type="dxa"/>
            <w:vAlign w:val="bottom"/>
          </w:tcPr>
          <w:p>
            <w:pPr>
              <w:ind w:left="360"/>
              <w:spacing w:after="0"/>
              <w:rPr>
                <w:sz w:val="20"/>
                <w:szCs w:val="20"/>
                <w:color w:val="auto"/>
              </w:rPr>
            </w:pPr>
            <w:r>
              <w:rPr>
                <w:rFonts w:ascii="Arial" w:cs="Arial" w:eastAsia="Arial" w:hAnsi="Arial"/>
                <w:sz w:val="16"/>
                <w:szCs w:val="16"/>
                <w:color w:val="auto"/>
              </w:rPr>
              <w:t>Merchandise inventory</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(8,495)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(64,135)</w:t>
            </w:r>
          </w:p>
        </w:tc>
      </w:tr>
      <w:tr>
        <w:trPr>
          <w:trHeight w:val="233"/>
        </w:trPr>
        <w:tc>
          <w:tcPr>
            <w:tcW w:w="8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Prepaid and other assets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(6,808)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(5,095)</w:t>
            </w:r>
          </w:p>
        </w:tc>
      </w:tr>
      <w:tr>
        <w:trPr>
          <w:trHeight w:val="220"/>
        </w:trPr>
        <w:tc>
          <w:tcPr>
            <w:tcW w:w="8140" w:type="dxa"/>
            <w:vAlign w:val="bottom"/>
          </w:tcPr>
          <w:p>
            <w:pPr>
              <w:ind w:left="360"/>
              <w:spacing w:after="0"/>
              <w:rPr>
                <w:sz w:val="20"/>
                <w:szCs w:val="20"/>
                <w:color w:val="auto"/>
              </w:rPr>
            </w:pPr>
            <w:r>
              <w:rPr>
                <w:rFonts w:ascii="Arial" w:cs="Arial" w:eastAsia="Arial" w:hAnsi="Arial"/>
                <w:sz w:val="16"/>
                <w:szCs w:val="16"/>
                <w:color w:val="auto"/>
              </w:rPr>
              <w:t>Other noncurrent liabilities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264</w:t>
            </w:r>
          </w:p>
        </w:tc>
      </w:tr>
      <w:tr>
        <w:trPr>
          <w:trHeight w:val="239"/>
        </w:trPr>
        <w:tc>
          <w:tcPr>
            <w:tcW w:w="8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(4,849)</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15,197</w:t>
            </w:r>
          </w:p>
        </w:tc>
      </w:tr>
      <w:tr>
        <w:trPr>
          <w:trHeight w:val="210"/>
        </w:trPr>
        <w:tc>
          <w:tcPr>
            <w:tcW w:w="8140" w:type="dxa"/>
            <w:vAlign w:val="bottom"/>
          </w:tcPr>
          <w:p>
            <w:pPr>
              <w:ind w:left="360"/>
              <w:spacing w:after="0"/>
              <w:rPr>
                <w:sz w:val="20"/>
                <w:szCs w:val="20"/>
                <w:color w:val="auto"/>
              </w:rPr>
            </w:pPr>
            <w:r>
              <w:rPr>
                <w:rFonts w:ascii="Arial" w:cs="Arial" w:eastAsia="Arial" w:hAnsi="Arial"/>
                <w:sz w:val="16"/>
                <w:szCs w:val="16"/>
                <w:color w:val="auto"/>
              </w:rPr>
              <w:t>Accrued expenses</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(14,847)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8,728</w:t>
            </w:r>
          </w:p>
        </w:tc>
      </w:tr>
      <w:tr>
        <w:trPr>
          <w:trHeight w:val="33"/>
        </w:trPr>
        <w:tc>
          <w:tcPr>
            <w:tcW w:w="8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0"/>
        </w:trPr>
        <w:tc>
          <w:tcPr>
            <w:tcW w:w="8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lease liabilities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(17,903)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(15,401)</w:t>
            </w:r>
          </w:p>
        </w:tc>
      </w:tr>
      <w:tr>
        <w:trPr>
          <w:trHeight w:val="236"/>
        </w:trPr>
        <w:tc>
          <w:tcPr>
            <w:tcW w:w="81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Client deposits</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(9,186)</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12,039</w:t>
            </w:r>
          </w:p>
        </w:tc>
      </w:tr>
      <w:tr>
        <w:trPr>
          <w:trHeight w:val="230"/>
        </w:trPr>
        <w:tc>
          <w:tcPr>
            <w:tcW w:w="81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61,795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41,110</w:t>
            </w:r>
          </w:p>
        </w:tc>
      </w:tr>
      <w:tr>
        <w:trPr>
          <w:trHeight w:val="190"/>
        </w:trPr>
        <w:tc>
          <w:tcPr>
            <w:tcW w:w="814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33"/>
        </w:trPr>
        <w:tc>
          <w:tcPr>
            <w:tcW w:w="8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furniture and equipment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(32,815)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(20,355)</w:t>
            </w:r>
          </w:p>
        </w:tc>
      </w:tr>
      <w:tr>
        <w:trPr>
          <w:trHeight w:val="236"/>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Insurance proceeds</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1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(32,482)</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(20,355)</w:t>
            </w:r>
          </w:p>
        </w:tc>
      </w:tr>
      <w:tr>
        <w:trPr>
          <w:trHeight w:val="216"/>
        </w:trPr>
        <w:tc>
          <w:tcPr>
            <w:tcW w:w="814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3"/>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Principal payments under finance leases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23"/>
        </w:trPr>
        <w:tc>
          <w:tcPr>
            <w:tcW w:w="8140" w:type="dxa"/>
            <w:vAlign w:val="bottom"/>
          </w:tcPr>
          <w:p>
            <w:pPr>
              <w:ind w:left="20"/>
              <w:spacing w:after="0"/>
              <w:rPr>
                <w:sz w:val="20"/>
                <w:szCs w:val="20"/>
                <w:color w:val="auto"/>
              </w:rPr>
            </w:pPr>
            <w:r>
              <w:rPr>
                <w:rFonts w:ascii="Arial" w:cs="Arial" w:eastAsia="Arial" w:hAnsi="Arial"/>
                <w:sz w:val="16"/>
                <w:szCs w:val="16"/>
                <w:color w:val="auto"/>
              </w:rPr>
              <w:t>Repurchase of shares for payment of withholding taxes for equity based compensation</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81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13"/>
        </w:trPr>
        <w:tc>
          <w:tcPr>
            <w:tcW w:w="8140" w:type="dxa"/>
            <w:vAlign w:val="bottom"/>
          </w:tcPr>
          <w:p>
            <w:pPr>
              <w:ind w:left="520"/>
              <w:spacing w:after="0"/>
              <w:rPr>
                <w:sz w:val="20"/>
                <w:szCs w:val="20"/>
                <w:color w:val="auto"/>
              </w:rPr>
            </w:pPr>
            <w:r>
              <w:rPr>
                <w:rFonts w:ascii="Arial" w:cs="Arial" w:eastAsia="Arial" w:hAnsi="Arial"/>
                <w:sz w:val="16"/>
                <w:szCs w:val="16"/>
                <w:color w:val="auto"/>
              </w:rPr>
              <w:t>Net increase (decrease) in cash, cash equivalents and restricted cash equivalents</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28,836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20,705</w:t>
            </w:r>
          </w:p>
        </w:tc>
      </w:tr>
      <w:tr>
        <w:trPr>
          <w:trHeight w:val="233"/>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cash equivalents and restricted cash equivalents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23"/>
        </w:trPr>
        <w:tc>
          <w:tcPr>
            <w:tcW w:w="8140" w:type="dxa"/>
            <w:vAlign w:val="bottom"/>
          </w:tcPr>
          <w:p>
            <w:pPr>
              <w:ind w:left="20"/>
              <w:spacing w:after="0"/>
              <w:rPr>
                <w:sz w:val="20"/>
                <w:szCs w:val="20"/>
                <w:color w:val="auto"/>
              </w:rPr>
            </w:pPr>
            <w:r>
              <w:rPr>
                <w:rFonts w:ascii="Arial" w:cs="Arial" w:eastAsia="Arial" w:hAnsi="Arial"/>
                <w:sz w:val="16"/>
                <w:szCs w:val="16"/>
                <w:color w:val="auto"/>
              </w:rPr>
              <w:t>Beginning of period</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152,527</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130,908</w:t>
            </w:r>
          </w:p>
        </w:tc>
      </w:tr>
      <w:tr>
        <w:trPr>
          <w:trHeight w:val="250"/>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 of period</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181,363</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151,613</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8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23"/>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r>
      <w:tr>
        <w:trPr>
          <w:trHeight w:val="220"/>
        </w:trPr>
        <w:tc>
          <w:tcPr>
            <w:tcW w:w="8140" w:type="dxa"/>
            <w:vAlign w:val="bottom"/>
          </w:tcPr>
          <w:p>
            <w:pPr>
              <w:ind w:left="20"/>
              <w:spacing w:after="0"/>
              <w:rPr>
                <w:sz w:val="20"/>
                <w:szCs w:val="20"/>
                <w:color w:val="auto"/>
              </w:rPr>
            </w:pPr>
            <w:r>
              <w:rPr>
                <w:rFonts w:ascii="Arial" w:cs="Arial" w:eastAsia="Arial" w:hAnsi="Arial"/>
                <w:sz w:val="16"/>
                <w:szCs w:val="16"/>
                <w:color w:val="auto"/>
              </w:rPr>
              <w:t>Interest paid in cash</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2,610</w:t>
            </w:r>
          </w:p>
        </w:tc>
        <w:tc>
          <w:tcPr>
            <w:tcW w:w="5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2,155</w:t>
            </w:r>
          </w:p>
        </w:tc>
      </w:tr>
      <w:tr>
        <w:trPr>
          <w:trHeight w:val="233"/>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received in cash</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3,172</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8140" w:type="dxa"/>
            <w:vAlign w:val="bottom"/>
          </w:tcPr>
          <w:p>
            <w:pPr>
              <w:ind w:left="20"/>
              <w:spacing w:after="0"/>
              <w:rPr>
                <w:sz w:val="20"/>
                <w:szCs w:val="20"/>
                <w:color w:val="auto"/>
              </w:rPr>
            </w:pPr>
            <w:r>
              <w:rPr>
                <w:rFonts w:ascii="Arial" w:cs="Arial" w:eastAsia="Arial" w:hAnsi="Arial"/>
                <w:sz w:val="16"/>
                <w:szCs w:val="16"/>
                <w:color w:val="auto"/>
              </w:rPr>
              <w:t>Income taxes paid in cash</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21,902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15,342</w:t>
            </w:r>
          </w:p>
        </w:tc>
      </w:tr>
      <w:tr>
        <w:trPr>
          <w:trHeight w:val="233"/>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Noncash operating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20"/>
        </w:trPr>
        <w:tc>
          <w:tcPr>
            <w:tcW w:w="8140" w:type="dxa"/>
            <w:vAlign w:val="bottom"/>
          </w:tcPr>
          <w:p>
            <w:pPr>
              <w:ind w:left="520"/>
              <w:spacing w:after="0"/>
              <w:rPr>
                <w:sz w:val="20"/>
                <w:szCs w:val="20"/>
                <w:color w:val="auto"/>
              </w:rPr>
            </w:pPr>
            <w:r>
              <w:rPr>
                <w:rFonts w:ascii="Arial" w:cs="Arial" w:eastAsia="Arial" w:hAnsi="Arial"/>
                <w:sz w:val="16"/>
                <w:szCs w:val="16"/>
                <w:color w:val="auto"/>
              </w:rPr>
              <w:t>Lease incentives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4,945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4,494</w:t>
            </w:r>
          </w:p>
        </w:tc>
      </w:tr>
      <w:tr>
        <w:trPr>
          <w:trHeight w:val="233"/>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Noncash investing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20"/>
        </w:trPr>
        <w:tc>
          <w:tcPr>
            <w:tcW w:w="8140" w:type="dxa"/>
            <w:vAlign w:val="bottom"/>
          </w:tcPr>
          <w:p>
            <w:pPr>
              <w:ind w:left="520"/>
              <w:spacing w:after="0"/>
              <w:rPr>
                <w:sz w:val="20"/>
                <w:szCs w:val="20"/>
                <w:color w:val="auto"/>
              </w:rPr>
            </w:pPr>
            <w:r>
              <w:rPr>
                <w:rFonts w:ascii="Arial" w:cs="Arial" w:eastAsia="Arial" w:hAnsi="Arial"/>
                <w:sz w:val="16"/>
                <w:szCs w:val="16"/>
                <w:color w:val="auto"/>
              </w:rPr>
              <w:t>Purchase of property, furniture and equipment in accounts payable</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1,673</w:t>
            </w:r>
          </w:p>
        </w:tc>
      </w:tr>
      <w:tr>
        <w:trPr>
          <w:trHeight w:val="23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financing activities:</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10"/>
        </w:trPr>
        <w:tc>
          <w:tcPr>
            <w:tcW w:w="8140" w:type="dxa"/>
            <w:vAlign w:val="bottom"/>
          </w:tcPr>
          <w:p>
            <w:pPr>
              <w:ind w:left="520"/>
              <w:spacing w:after="0"/>
              <w:rPr>
                <w:sz w:val="20"/>
                <w:szCs w:val="20"/>
                <w:color w:val="auto"/>
              </w:rPr>
            </w:pPr>
            <w:r>
              <w:rPr>
                <w:rFonts w:ascii="Arial" w:cs="Arial" w:eastAsia="Arial" w:hAnsi="Arial"/>
                <w:sz w:val="16"/>
                <w:szCs w:val="16"/>
                <w:color w:val="auto"/>
              </w:rPr>
              <w:t>Derecognition of build-to-suit assets as a result of ASC 842 adoption</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(31,017)</w:t>
            </w:r>
          </w:p>
        </w:tc>
      </w:tr>
      <w:tr>
        <w:trPr>
          <w:trHeight w:val="33"/>
        </w:trPr>
        <w:tc>
          <w:tcPr>
            <w:tcW w:w="8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81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Capital contributions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r>
    </w:tbl>
    <w:p>
      <w:pPr>
        <w:spacing w:after="0" w:line="242"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0980"/>
          </w:cols>
          <w:pgMar w:left="320" w:top="121" w:right="599" w:bottom="1440" w:gutter="0" w:footer="0" w:header="0"/>
        </w:sectPr>
      </w:pP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21" w:right="59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Arhaus,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7620" w:firstLine="8"/>
        <w:spacing w:after="0" w:line="464" w:lineRule="auto"/>
        <w:tabs>
          <w:tab w:leader="none" w:pos="1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Basis of Presentation Nature of Business</w:t>
      </w:r>
    </w:p>
    <w:p>
      <w:pPr>
        <w:ind w:right="160"/>
        <w:spacing w:after="0" w:line="257" w:lineRule="auto"/>
        <w:rPr>
          <w:sz w:val="20"/>
          <w:szCs w:val="20"/>
          <w:color w:val="auto"/>
        </w:rPr>
      </w:pPr>
      <w:r>
        <w:rPr>
          <w:rFonts w:ascii="Arial" w:cs="Arial" w:eastAsia="Arial" w:hAnsi="Arial"/>
          <w:sz w:val="18"/>
          <w:szCs w:val="18"/>
          <w:color w:val="auto"/>
        </w:rPr>
        <w:t>Arhaus, Inc. (the “Company,” “we” or “Arhaus”) is a Delaware corporation and is a premium retailer in the home furnishings market, specializing in livable luxury supported by heirloom quality merchandise. We offer merchandise in a number of categories, including furniture, outdoor, lighting, textiles and décor. Our curated assortments are presented across our sales channels in sophisticated, family friendly and unique lifestyle settings. We position our retail locations as Showrooms for our brand, while our website acts as a virtual extension of our Showrooms. The Company operated 85 Showrooms at June 30, 2023.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02"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The condensed consolidated financial statements have been prepared in conformity with accounting principles generally accepted in the United States of America (“U.S. GAAP”). The accompanying condensed consolidated financial statements include our accounts and those of our wholly owned subsidiaries. Accordingly, all intercompany balances and transactions have been eliminated through the consolidation process.</w:t>
      </w:r>
    </w:p>
    <w:p>
      <w:pPr>
        <w:spacing w:after="0" w:line="125" w:lineRule="exact"/>
        <w:rPr>
          <w:sz w:val="20"/>
          <w:szCs w:val="20"/>
          <w:color w:val="auto"/>
        </w:rPr>
      </w:pPr>
    </w:p>
    <w:p>
      <w:pPr>
        <w:ind w:right="280"/>
        <w:spacing w:after="0" w:line="296" w:lineRule="auto"/>
        <w:rPr>
          <w:sz w:val="20"/>
          <w:szCs w:val="20"/>
          <w:color w:val="auto"/>
        </w:rPr>
      </w:pPr>
      <w:r>
        <w:rPr>
          <w:rFonts w:ascii="Arial" w:cs="Arial" w:eastAsia="Arial" w:hAnsi="Arial"/>
          <w:sz w:val="16"/>
          <w:szCs w:val="16"/>
          <w:color w:val="auto"/>
        </w:rPr>
        <w:t>The accompanying condensed consolidated balance sheets at June 30, 2023 and December 31, 2022, the condensed consolidated statements of comprehensive income and changes in stockholders’equity for the six and three months ended June 30, 2023 and 2022, the condensed consolidated statements of cash flows for the six months ended June 30, 2023 and 2022 and the related interim condensed consolidated disclosures are unaudited and have been prepared pursuant to the rules and regulations of the Securities and Exchange Commission (“SEC”) for interim financial information. Accordingly, they do not include all of the information and footnotes required by U.S. GAAP for complete financial statements.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management’s opinion, the accompanying condensed consolidated financial statements contain all adjustments, consisting of normal recurring adjustments, necessary for a fair statement of the Company’s financial position at June 30, 2023, the results of operations and changes in stockholders’equity for the six and three months ended June 30, 2023 and 2022 and the condensed consolidated statements of cash flows for the six months ended June 30, 2023 and 2022. The condensed consolidated balance sheet as of December 31, 2022 included herein was derived from audited financial statements, but does not include all disclosures required by U.S. GAAP.</w:t>
      </w:r>
    </w:p>
    <w:p>
      <w:pPr>
        <w:spacing w:after="0" w:line="161"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results for the six and three months ended June 30, 2023 and 2022 are not necessarily indicative of the operating results to be expected for the full fiscal year or any future period. Certain information and footnote disclosures normally included in annual financial statements prepared in accordance with U.S. GAAP have been condensed or omitted. Therefore, these condensed consolidated financial statements should be read in conjunction with the consolidated financial statements and notes thereto included in our Annual Report on Form 10-K for the year ended December 31, 2022.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8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preparation of our condensed consolidated financial statements in conformity with U.S. GAAP requires management to make estimates and assumptions that affect the reported amounts of assets and liabilities, disclosures of contingent assets and liabilities at the date of the condensed consolidated financial statements and the reported amounts of revenues and expenses during the reporting period. Actual results could differ from those estimates.</w:t>
      </w:r>
    </w:p>
    <w:p>
      <w:pPr>
        <w:spacing w:after="0" w:line="160"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accounting estimates and other matters included within our condensed consolidated financial statements and notes to the condensed consolidated financial statements we have assessed include, but were not limited to, revenue recognition, including a reserve for merchandise returns, inventory reserves, goodwill and fair value of financial instruments which include, but are not limited to, accounts receivable, payables and lease obligations.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 Deposits</w:t>
      </w:r>
    </w:p>
    <w:p>
      <w:pPr>
        <w:spacing w:after="0" w:line="18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Client deposits represent payments made by clients on orders. At the time of purchase, the Company collects deposits for all orders equivalent to at least 50 percent of the clients’ purchase price. Orders are recognized as revenue when the merchandise is delivered to the client and at the time of delivery the client deposit is no longer recorded as a liability. The</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Arhaus,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Company expects substantially all client deposits as of June 30, 2023 will be recognized as net revenue within the next 12 months as the performance obligations are satisfied.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Gift Cards</w:t>
      </w:r>
    </w:p>
    <w:p>
      <w:pPr>
        <w:spacing w:after="0" w:line="189"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The Company sells gift cards to clients in our Showrooms and through our website. Such gift cards do not have expiration dates. We defer revenue when payments are received in advance of performance for unsatisfied obligations related to our gift cards. The liability related to unredeemed gift cards at June 30, 2023 and December 31, 2022 of $0.4 million and $1.0 million, respectively, is recorded in the accrued other expenses line item of the condensed consolidated balance sheets. The Company recognizes income associated with breakage proportional to actual gift card redemptions. For the six and three months ended June 30, 2023, breakage income was $0.7 million. For the six and three months ended June 30, 2022 breakage was minimal.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Values of Financial Instruments</w:t>
      </w:r>
    </w:p>
    <w:p>
      <w:pPr>
        <w:spacing w:after="0" w:line="202"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 xml:space="preserve">The Company’s primary financial instruments are cash and cash equivalent investments, accounts receivable, payables, lease obligations and equity based compensation instruments. Due to the short-term maturities of cash and cash equivalent investments, accounts receivable and payables, the Company believes the fair values of these instruments approximate their respective carrying values at June 30, 2023 and December 31, 2022. See Note 5 — </w:t>
      </w:r>
      <w:r>
        <w:rPr>
          <w:rFonts w:ascii="Arial" w:cs="Arial" w:eastAsia="Arial" w:hAnsi="Arial"/>
          <w:sz w:val="16"/>
          <w:szCs w:val="16"/>
          <w:i w:val="1"/>
          <w:iCs w:val="1"/>
          <w:color w:val="auto"/>
        </w:rPr>
        <w:t>Leases</w:t>
      </w:r>
      <w:r>
        <w:rPr>
          <w:rFonts w:ascii="Arial" w:cs="Arial" w:eastAsia="Arial" w:hAnsi="Arial"/>
          <w:sz w:val="16"/>
          <w:szCs w:val="16"/>
          <w:color w:val="auto"/>
        </w:rPr>
        <w:t xml:space="preserve"> for discussion of our lease obligations and Note 6 — </w:t>
      </w:r>
      <w:r>
        <w:rPr>
          <w:rFonts w:ascii="Arial" w:cs="Arial" w:eastAsia="Arial" w:hAnsi="Arial"/>
          <w:sz w:val="16"/>
          <w:szCs w:val="16"/>
          <w:i w:val="1"/>
          <w:iCs w:val="1"/>
          <w:color w:val="auto"/>
        </w:rPr>
        <w:t>Equity Based Compensation</w:t>
      </w:r>
      <w:r>
        <w:rPr>
          <w:rFonts w:ascii="Arial" w:cs="Arial" w:eastAsia="Arial" w:hAnsi="Arial"/>
          <w:sz w:val="16"/>
          <w:szCs w:val="16"/>
          <w:color w:val="auto"/>
        </w:rPr>
        <w:t xml:space="preserve"> for discussion of our equity based compensation instruments.</w:t>
      </w:r>
    </w:p>
    <w:p>
      <w:pPr>
        <w:spacing w:after="0" w:line="117"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The Company has established a hierarchy to measure our financial instruments at fair value, which requires us to maximize the use of observable inputs and minimize the use of unobservable inputs when measuring fair value. Observable inputs represent market data obtained from independent sources, whereas unobservable inputs reflect the Company’s own market assumptions, which are used if observable inputs are not reasonably available without undue cost and effort. The hierarchy defines three levels of inputs that may be used to measure fair value:</w:t>
      </w:r>
    </w:p>
    <w:p>
      <w:pPr>
        <w:spacing w:after="0" w:line="131" w:lineRule="exact"/>
        <w:rPr>
          <w:sz w:val="20"/>
          <w:szCs w:val="20"/>
          <w:color w:val="auto"/>
        </w:rPr>
      </w:pPr>
    </w:p>
    <w:p>
      <w:pPr>
        <w:ind w:left="1620" w:right="120" w:hanging="971"/>
        <w:spacing w:after="0" w:line="277" w:lineRule="auto"/>
        <w:tabs>
          <w:tab w:leader="none" w:pos="16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Unadjusted quoted prices in active markets for identical, unrestricted assets and liabilities that the reporting entity has the ability to access at the measurement date.</w:t>
      </w:r>
    </w:p>
    <w:p>
      <w:pPr>
        <w:spacing w:after="0" w:line="143" w:lineRule="exact"/>
        <w:rPr>
          <w:sz w:val="20"/>
          <w:szCs w:val="20"/>
          <w:color w:val="auto"/>
        </w:rPr>
      </w:pPr>
    </w:p>
    <w:p>
      <w:pPr>
        <w:ind w:left="1620" w:right="300" w:hanging="971"/>
        <w:spacing w:after="0" w:line="277" w:lineRule="auto"/>
        <w:tabs>
          <w:tab w:leader="none" w:pos="16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other than quoted prices included within Level 1 that are observable for the asset and liability or can be corroborated with observable market data for substantially the entire contractual term of the asset or liability.</w:t>
      </w:r>
    </w:p>
    <w:p>
      <w:pPr>
        <w:spacing w:after="0" w:line="130" w:lineRule="exact"/>
        <w:rPr>
          <w:sz w:val="20"/>
          <w:szCs w:val="20"/>
          <w:color w:val="auto"/>
        </w:rPr>
      </w:pPr>
    </w:p>
    <w:p>
      <w:pPr>
        <w:ind w:left="1620" w:right="60" w:hanging="971"/>
        <w:spacing w:after="0" w:line="342" w:lineRule="auto"/>
        <w:tabs>
          <w:tab w:leader="none" w:pos="16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that reflect the entity’s own assumptions about the assumptions market participants would use in the pricing of the asset or liability and are consequently not based on market activity but rather through particular valuation techniques.</w:t>
      </w:r>
    </w:p>
    <w:p>
      <w:pPr>
        <w:spacing w:after="0" w:line="137" w:lineRule="exact"/>
        <w:rPr>
          <w:sz w:val="20"/>
          <w:szCs w:val="20"/>
          <w:color w:val="auto"/>
        </w:rPr>
      </w:pPr>
    </w:p>
    <w:p>
      <w:pPr>
        <w:ind w:right="380"/>
        <w:spacing w:after="0" w:line="243" w:lineRule="auto"/>
        <w:rPr>
          <w:sz w:val="20"/>
          <w:szCs w:val="20"/>
          <w:color w:val="auto"/>
        </w:rPr>
      </w:pPr>
      <w:r>
        <w:rPr>
          <w:rFonts w:ascii="Arial" w:cs="Arial" w:eastAsia="Arial" w:hAnsi="Arial"/>
          <w:sz w:val="18"/>
          <w:szCs w:val="18"/>
          <w:color w:val="auto"/>
        </w:rPr>
        <w:t>From time to time, the Company invests in money market funds and other Level 1 cash and cash equivalent investments. For the six and three months ended June 30, 2023, the Company earned $3.3 million and $1.8 million, respectively, in interest income. The Company did not have cash and cash equivalent investments for the six and three months ended June 30, 2022. Interest income is included within interest expense (income), net on our condensed consolidated statements of comprehensive income.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Recently Issued Accounting Standards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 Adopted in Fiscal 2023</w:t>
      </w:r>
    </w:p>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did not adopt any Accounting Standards Updates (“ASU”) in the six months ended June 30, 2023 that had a material impact on our accounting policies or our condensed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Not Yet Adopted</w:t>
      </w:r>
    </w:p>
    <w:p>
      <w:pPr>
        <w:spacing w:after="0" w:line="18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following table summarizes accounting pronouncements which we have not yet adopted but will be adopted in the upcoming fiscal year. ASU 2023-01 is effective for annual periods beginning after December 15, 2023. We believe the adoption will not have a material impact on our accounting policies or our consolidated financial statements and related disclosures.</w:t>
      </w: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Arhaus,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ASU</w:t>
            </w:r>
          </w:p>
        </w:tc>
        <w:tc>
          <w:tcPr>
            <w:tcW w:w="160" w:type="dxa"/>
            <w:vAlign w:val="bottom"/>
          </w:tcPr>
          <w:p>
            <w:pPr>
              <w:spacing w:after="0"/>
              <w:rPr>
                <w:sz w:val="20"/>
                <w:szCs w:val="20"/>
                <w:color w:val="auto"/>
              </w:rPr>
            </w:pPr>
          </w:p>
        </w:tc>
        <w:tc>
          <w:tcPr>
            <w:tcW w:w="6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Adoption Date</w:t>
            </w:r>
          </w:p>
        </w:tc>
      </w:tr>
      <w:tr>
        <w:trPr>
          <w:trHeight w:val="237"/>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ASU 2023-01</w:t>
            </w:r>
          </w:p>
        </w:tc>
        <w:tc>
          <w:tcPr>
            <w:tcW w:w="160" w:type="dxa"/>
            <w:vAlign w:val="bottom"/>
            <w:shd w:val="clear" w:color="auto" w:fill="CCEEFF"/>
          </w:tcPr>
          <w:p>
            <w:pPr>
              <w:spacing w:after="0"/>
              <w:rPr>
                <w:sz w:val="20"/>
                <w:szCs w:val="20"/>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Leases (Topic 842): Common Control Arrangements</w:t>
            </w:r>
          </w:p>
        </w:tc>
        <w:tc>
          <w:tcPr>
            <w:tcW w:w="12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January 1, 2024</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Merchandise Warranties</w:t>
      </w:r>
    </w:p>
    <w:p>
      <w:pPr>
        <w:spacing w:after="0" w:line="189"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The Company warrants certain merchandise to be free of defects in both construction materials and workmanship from the date the performance obligation was fulfilled to the client for three to ten years depending on the merchandise category. The Company accounts for merchandise warranties by accruing an estimated liability when we recognize revenue on the sale of warrantied merchandise. We estimate future warranty claims based on claim experience which includes materials and labor costs to perform the repairs or replace products. We use judgment in making our estimates. We record differences between our estimated and actual costs when the differences are known.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changes in our limited merchandise warranty liability is as follows (amounts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w w:val="95"/>
              </w:rPr>
              <w:t>Three months ended June 30,</w:t>
            </w:r>
          </w:p>
        </w:tc>
      </w:tr>
      <w:tr>
        <w:trPr>
          <w:trHeight w:val="223"/>
        </w:trPr>
        <w:tc>
          <w:tcPr>
            <w:tcW w:w="40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r>
      <w:tr>
        <w:trPr>
          <w:trHeight w:val="236"/>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beginning of period</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6,375</w:t>
            </w:r>
          </w:p>
        </w:tc>
        <w:tc>
          <w:tcPr>
            <w:tcW w:w="110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4,724</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center"/>
              <w:ind w:left="610"/>
              <w:spacing w:after="0"/>
              <w:rPr>
                <w:sz w:val="20"/>
                <w:szCs w:val="20"/>
                <w:color w:val="auto"/>
              </w:rPr>
            </w:pPr>
            <w:r>
              <w:rPr>
                <w:rFonts w:ascii="Arial" w:cs="Arial" w:eastAsia="Arial" w:hAnsi="Arial"/>
                <w:sz w:val="18"/>
                <w:szCs w:val="18"/>
                <w:color w:val="auto"/>
                <w:w w:val="93"/>
              </w:rPr>
              <w:t>6,465</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w w:val="88"/>
              </w:rPr>
              <w:t>4,963</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Accruals during the period</w:t>
            </w:r>
          </w:p>
        </w:tc>
        <w:tc>
          <w:tcPr>
            <w:tcW w:w="96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3"/>
              </w:rPr>
              <w:t>6,749</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5,104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center"/>
              <w:ind w:left="610"/>
              <w:spacing w:after="0"/>
              <w:rPr>
                <w:sz w:val="20"/>
                <w:szCs w:val="20"/>
                <w:color w:val="auto"/>
              </w:rPr>
            </w:pPr>
            <w:r>
              <w:rPr>
                <w:rFonts w:ascii="Arial" w:cs="Arial" w:eastAsia="Arial" w:hAnsi="Arial"/>
                <w:sz w:val="18"/>
                <w:szCs w:val="18"/>
                <w:color w:val="auto"/>
                <w:w w:val="93"/>
              </w:rPr>
              <w:t>3,368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center"/>
              <w:ind w:left="550"/>
              <w:spacing w:after="0"/>
              <w:rPr>
                <w:sz w:val="20"/>
                <w:szCs w:val="20"/>
                <w:color w:val="auto"/>
              </w:rPr>
            </w:pPr>
            <w:r>
              <w:rPr>
                <w:rFonts w:ascii="Arial" w:cs="Arial" w:eastAsia="Arial" w:hAnsi="Arial"/>
                <w:sz w:val="18"/>
                <w:szCs w:val="18"/>
                <w:color w:val="auto"/>
                <w:w w:val="88"/>
              </w:rPr>
              <w:t>2,908</w:t>
            </w:r>
          </w:p>
        </w:tc>
      </w:tr>
      <w:tr>
        <w:trPr>
          <w:trHeight w:val="229"/>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Settlements during the period</w:t>
            </w: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(6,546)</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(4,416)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center"/>
              <w:ind w:left="590"/>
              <w:spacing w:after="0"/>
              <w:rPr>
                <w:sz w:val="20"/>
                <w:szCs w:val="20"/>
                <w:color w:val="auto"/>
              </w:rPr>
            </w:pPr>
            <w:r>
              <w:rPr>
                <w:rFonts w:ascii="Arial" w:cs="Arial" w:eastAsia="Arial" w:hAnsi="Arial"/>
                <w:sz w:val="18"/>
                <w:szCs w:val="18"/>
                <w:color w:val="auto"/>
                <w:w w:val="91"/>
              </w:rPr>
              <w:t>(3,255)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ind w:left="530"/>
              <w:spacing w:after="0"/>
              <w:rPr>
                <w:sz w:val="20"/>
                <w:szCs w:val="20"/>
                <w:color w:val="auto"/>
              </w:rPr>
            </w:pPr>
            <w:r>
              <w:rPr>
                <w:rFonts w:ascii="Arial" w:cs="Arial" w:eastAsia="Arial" w:hAnsi="Arial"/>
                <w:sz w:val="18"/>
                <w:szCs w:val="18"/>
                <w:color w:val="auto"/>
                <w:w w:val="94"/>
              </w:rPr>
              <w:t>(2,459)</w:t>
            </w:r>
          </w:p>
        </w:tc>
      </w:tr>
      <w:tr>
        <w:trPr>
          <w:trHeight w:val="237"/>
        </w:trPr>
        <w:tc>
          <w:tcPr>
            <w:tcW w:w="4040" w:type="dxa"/>
            <w:vAlign w:val="bottom"/>
          </w:tcPr>
          <w:p>
            <w:pPr>
              <w:ind w:left="20"/>
              <w:spacing w:after="0" w:line="236" w:lineRule="exact"/>
              <w:rPr>
                <w:sz w:val="20"/>
                <w:szCs w:val="20"/>
                <w:color w:val="auto"/>
              </w:rPr>
            </w:pPr>
            <w:r>
              <w:rPr>
                <w:rFonts w:ascii="Arial" w:cs="Arial" w:eastAsia="Arial" w:hAnsi="Arial"/>
                <w:sz w:val="18"/>
                <w:szCs w:val="18"/>
                <w:color w:val="auto"/>
              </w:rPr>
              <w:t>Balance as of end of the period</w:t>
            </w:r>
            <w:r>
              <w:rPr>
                <w:rFonts w:ascii="Arial" w:cs="Arial" w:eastAsia="Arial" w:hAnsi="Arial"/>
                <w:sz w:val="23"/>
                <w:szCs w:val="23"/>
                <w:color w:val="auto"/>
                <w:vertAlign w:val="superscript"/>
              </w:rPr>
              <w:t>(1)</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580" w:type="dxa"/>
            <w:vAlign w:val="bottom"/>
          </w:tcPr>
          <w:p>
            <w:pPr>
              <w:jc w:val="center"/>
              <w:spacing w:after="0"/>
              <w:rPr>
                <w:sz w:val="20"/>
                <w:szCs w:val="20"/>
                <w:color w:val="auto"/>
              </w:rPr>
            </w:pPr>
            <w:r>
              <w:rPr>
                <w:rFonts w:ascii="Arial" w:cs="Arial" w:eastAsia="Arial" w:hAnsi="Arial"/>
                <w:sz w:val="18"/>
                <w:szCs w:val="18"/>
                <w:color w:val="auto"/>
                <w:w w:val="93"/>
              </w:rPr>
              <w:t>6,578</w:t>
            </w:r>
          </w:p>
        </w:tc>
        <w:tc>
          <w:tcPr>
            <w:tcW w:w="110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5,412</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Pr>
          <w:p>
            <w:pPr>
              <w:jc w:val="center"/>
              <w:ind w:left="610"/>
              <w:spacing w:after="0"/>
              <w:rPr>
                <w:sz w:val="20"/>
                <w:szCs w:val="20"/>
                <w:color w:val="auto"/>
              </w:rPr>
            </w:pPr>
            <w:r>
              <w:rPr>
                <w:rFonts w:ascii="Arial" w:cs="Arial" w:eastAsia="Arial" w:hAnsi="Arial"/>
                <w:sz w:val="18"/>
                <w:szCs w:val="18"/>
                <w:color w:val="auto"/>
                <w:w w:val="93"/>
              </w:rPr>
              <w:t>6,578</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Pr>
          <w:p>
            <w:pPr>
              <w:jc w:val="center"/>
              <w:ind w:left="550"/>
              <w:spacing w:after="0"/>
              <w:rPr>
                <w:sz w:val="20"/>
                <w:szCs w:val="20"/>
                <w:color w:val="auto"/>
              </w:rPr>
            </w:pPr>
            <w:r>
              <w:rPr>
                <w:rFonts w:ascii="Arial" w:cs="Arial" w:eastAsia="Arial" w:hAnsi="Arial"/>
                <w:sz w:val="18"/>
                <w:szCs w:val="18"/>
                <w:color w:val="auto"/>
                <w:w w:val="88"/>
              </w:rPr>
              <w:t>5,412</w:t>
            </w:r>
          </w:p>
        </w:tc>
      </w:tr>
      <w:tr>
        <w:trPr>
          <w:trHeight w:val="20"/>
        </w:trPr>
        <w:tc>
          <w:tcPr>
            <w:tcW w:w="40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48"/>
        </w:trPr>
        <w:tc>
          <w:tcPr>
            <w:tcW w:w="4040" w:type="dxa"/>
            <w:vAlign w:val="bottom"/>
            <w:tcBorders>
              <w:bottom w:val="single" w:sz="8" w:color="auto"/>
            </w:tcBorders>
          </w:tcPr>
          <w:p>
            <w:pPr>
              <w:spacing w:after="0"/>
              <w:rPr>
                <w:sz w:val="4"/>
                <w:szCs w:val="4"/>
                <w:color w:val="auto"/>
              </w:rPr>
            </w:pPr>
          </w:p>
        </w:tc>
        <w:tc>
          <w:tcPr>
            <w:tcW w:w="9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r>
    </w:tbl>
    <w:p>
      <w:pPr>
        <w:spacing w:after="0" w:line="76" w:lineRule="exact"/>
        <w:rPr>
          <w:sz w:val="20"/>
          <w:szCs w:val="20"/>
          <w:color w:val="auto"/>
        </w:rPr>
      </w:pPr>
    </w:p>
    <w:p>
      <w:pPr>
        <w:ind w:right="240" w:firstLine="8"/>
        <w:spacing w:after="0" w:line="278" w:lineRule="auto"/>
        <w:tabs>
          <w:tab w:leader="none" w:pos="145" w:val="left"/>
        </w:tabs>
        <w:numPr>
          <w:ilvl w:val="0"/>
          <w:numId w:val="3"/>
        </w:numPr>
        <w:rPr>
          <w:rFonts w:ascii="Arial" w:cs="Arial" w:eastAsia="Arial" w:hAnsi="Arial"/>
          <w:sz w:val="16"/>
          <w:szCs w:val="16"/>
          <w:color w:val="auto"/>
          <w:vertAlign w:val="superscript"/>
        </w:rPr>
      </w:pPr>
      <w:r>
        <w:rPr>
          <w:rFonts w:ascii="Arial" w:cs="Arial" w:eastAsia="Arial" w:hAnsi="Arial"/>
          <w:sz w:val="12"/>
          <w:szCs w:val="12"/>
          <w:color w:val="auto"/>
        </w:rPr>
        <w:t>$3.8 million and $3.7 million were recorded in accrued other expenses at June 30, 2023 and December 31, 2022, respectively. The remainder is recorded in other long-term liabilities on our condensed consolidated balance sheets.</w:t>
      </w:r>
    </w:p>
    <w:p>
      <w:pPr>
        <w:spacing w:after="0" w:line="14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recorded accruals during the periods presented in the table above, primarily to reflect charges that relate to limited merchandise warranties issued during the respective periods.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Long-Term Debt</w:t>
      </w:r>
    </w:p>
    <w:p>
      <w:pPr>
        <w:spacing w:after="0" w:line="18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On November 8, 2021, the Company entered into a revolving credit facility (the “2021 Credit Facility”). The 2021 Credit Facility provides for, among other things, (1) a revolving credit facility in an aggregate amount not to exceed at any time outstanding the amount of such lender’s commitment, (2) a letter of credit commitment in an amount equal to the lesser of (a) $10.0 million, and (b) the amount of the revolving credit facility as of such date, and (3) a swingline loan in an amount equal to the lesser of (a) $5.0 million, and (b) the amount of the revolving credit facility as of such date. The aggregate amount of all commitments of all lenders under the 2021 Credit Facility was initially $50.0 million. The 2021 Credit Facility contains restrictive covenants and has certain financial covenants, including a minimum rent-adjusted total leverage ratio and a minimum fixed charge ratio. The 2021 Credit Facility bears variable interest rates at the prevailing Bloomberg Short-Term Bank Yield index rate plus the applicable margin (1.50% at June 30, 2023 and 2022), whereas the applicable margin is adjusted quarterly based on the Company’s consolidated rent-adjusted total leverage ratio.</w:t>
      </w:r>
    </w:p>
    <w:p>
      <w:pPr>
        <w:spacing w:after="0" w:line="1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December 9, 2022, the Company amended the 2021 Credit Facility to increase the revolving credit commitment thereunder by $25.0 million. After giving effect to such increase, the aggregate amount of all commitments under the 2021 Credit Facility is $75.0 million. The 2021 Credit Facility expires on November 8, 2026.</w:t>
      </w:r>
    </w:p>
    <w:p>
      <w:pPr>
        <w:spacing w:after="0" w:line="15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 June 30, 2023 and December 31, 2022, we had no borrowings on the 2021 Credit Facility. Deferred financing costs related to the 2021 Credit Facility of $0.4 million are recorded in other noncurrent assets on the consolidated balance sheets and will be amortized over the term of the 2021 Credit Facility on a straight-line basis. Accumulated amortization related to deferred financing costs for the 2021 Credit Facility was $0.1 million as of June 30, 2023 and December 31, 2022.</w:t>
      </w:r>
    </w:p>
    <w:p>
      <w:pPr>
        <w:spacing w:after="0" w:line="14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was in compliance with all applicable debt covenants at June 30, 2023 and December 31, 2022, and expects to remain in compliance over the next 12 months.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Arhaus,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202"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 xml:space="preserve">The Company leases real estate and equipment under operating and finance leases, some of which are from related parties as discussed in Note 10 —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The most significant obligations under these lease agreements require the payments of periodic rentals, real estate taxes,</w:t>
      </w:r>
      <w:r>
        <w:rPr>
          <w:rFonts w:ascii="Arial" w:cs="Arial" w:eastAsia="Arial" w:hAnsi="Arial"/>
          <w:sz w:val="18"/>
          <w:szCs w:val="18"/>
          <w:i w:val="1"/>
          <w:iCs w:val="1"/>
          <w:color w:val="auto"/>
        </w:rPr>
        <w:t xml:space="preserve"> </w:t>
      </w:r>
      <w:r>
        <w:rPr>
          <w:rFonts w:ascii="Arial" w:cs="Arial" w:eastAsia="Arial" w:hAnsi="Arial"/>
          <w:sz w:val="18"/>
          <w:szCs w:val="18"/>
          <w:color w:val="auto"/>
        </w:rPr>
        <w:t>insurance and maintenance costs. Depending on particular Showroom leases, the Company can also owe a percentage rent payment if particular Showrooms meet certain sales figures.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amounts recognized in our condensed consolidated balance sheets related to leases as of June 30, 2023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respectively (amounts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60" w:type="dxa"/>
            <w:vAlign w:val="bottom"/>
            <w:tcBorders>
              <w:bottom w:val="single" w:sz="8" w:color="CCEEFF"/>
            </w:tcBorders>
          </w:tcPr>
          <w:p>
            <w:pPr>
              <w:spacing w:after="0"/>
              <w:rPr>
                <w:sz w:val="20"/>
                <w:szCs w:val="20"/>
                <w:color w:val="auto"/>
              </w:rPr>
            </w:pPr>
          </w:p>
        </w:tc>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Condensed Consolidated Balance Sheet Classification</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7"/>
              </w:rPr>
              <w:t>June 30, 2023</w:t>
            </w:r>
          </w:p>
        </w:tc>
        <w:tc>
          <w:tcPr>
            <w:tcW w:w="10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0"/>
              </w:rPr>
              <w:t>December 31, 2022</w:t>
            </w:r>
          </w:p>
        </w:tc>
      </w:tr>
      <w:tr>
        <w:trPr>
          <w:trHeight w:val="230"/>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5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3060" w:type="dxa"/>
            <w:vAlign w:val="bottom"/>
          </w:tcPr>
          <w:p>
            <w:pPr>
              <w:ind w:left="20"/>
              <w:spacing w:after="0"/>
              <w:rPr>
                <w:sz w:val="20"/>
                <w:szCs w:val="20"/>
                <w:color w:val="auto"/>
              </w:rPr>
            </w:pPr>
            <w:r>
              <w:rPr>
                <w:rFonts w:ascii="Arial" w:cs="Arial" w:eastAsia="Arial" w:hAnsi="Arial"/>
                <w:sz w:val="18"/>
                <w:szCs w:val="18"/>
                <w:color w:val="auto"/>
              </w:rPr>
              <w:t>Operating lease assets</w:t>
            </w:r>
          </w:p>
        </w:tc>
        <w:tc>
          <w:tcPr>
            <w:tcW w:w="5160" w:type="dxa"/>
            <w:vAlign w:val="bottom"/>
          </w:tcPr>
          <w:p>
            <w:pPr>
              <w:ind w:left="20"/>
              <w:spacing w:after="0"/>
              <w:rPr>
                <w:sz w:val="20"/>
                <w:szCs w:val="20"/>
                <w:color w:val="auto"/>
              </w:rPr>
            </w:pPr>
            <w:r>
              <w:rPr>
                <w:rFonts w:ascii="Arial" w:cs="Arial" w:eastAsia="Arial" w:hAnsi="Arial"/>
                <w:sz w:val="18"/>
                <w:szCs w:val="18"/>
                <w:color w:val="auto"/>
              </w:rPr>
              <w:t>Operating right-of-use assets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309,211</w:t>
            </w: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252,055</w:t>
            </w:r>
          </w:p>
        </w:tc>
      </w:tr>
      <w:tr>
        <w:trPr>
          <w:trHeight w:val="230"/>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lease assets</w:t>
            </w:r>
          </w:p>
        </w:tc>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Financing right-of-use assets</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39,979</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38,522</w:t>
            </w:r>
          </w:p>
        </w:tc>
      </w:tr>
      <w:tr>
        <w:trPr>
          <w:trHeight w:val="236"/>
        </w:trPr>
        <w:tc>
          <w:tcPr>
            <w:tcW w:w="3060" w:type="dxa"/>
            <w:vAlign w:val="bottom"/>
          </w:tcPr>
          <w:p>
            <w:pPr>
              <w:ind w:left="20"/>
              <w:spacing w:after="0"/>
              <w:rPr>
                <w:sz w:val="20"/>
                <w:szCs w:val="20"/>
                <w:color w:val="auto"/>
              </w:rPr>
            </w:pPr>
            <w:r>
              <w:rPr>
                <w:rFonts w:ascii="Arial" w:cs="Arial" w:eastAsia="Arial" w:hAnsi="Arial"/>
                <w:sz w:val="18"/>
                <w:szCs w:val="18"/>
                <w:color w:val="auto"/>
              </w:rPr>
              <w:t>Total leased assets</w:t>
            </w:r>
          </w:p>
        </w:tc>
        <w:tc>
          <w:tcPr>
            <w:tcW w:w="516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349,190</w:t>
            </w: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290,577</w:t>
            </w:r>
          </w:p>
        </w:tc>
      </w:tr>
      <w:tr>
        <w:trPr>
          <w:trHeight w:val="20"/>
        </w:trPr>
        <w:tc>
          <w:tcPr>
            <w:tcW w:w="3060" w:type="dxa"/>
            <w:vAlign w:val="bottom"/>
            <w:tcBorders>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3060" w:type="dxa"/>
            <w:vAlign w:val="bottom"/>
            <w:shd w:val="clear" w:color="auto" w:fill="CCEEFF"/>
          </w:tcPr>
          <w:p>
            <w:pPr>
              <w:spacing w:after="0"/>
              <w:rPr>
                <w:sz w:val="11"/>
                <w:szCs w:val="11"/>
                <w:color w:val="auto"/>
              </w:rPr>
            </w:pPr>
          </w:p>
        </w:tc>
        <w:tc>
          <w:tcPr>
            <w:tcW w:w="5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r>
      <w:tr>
        <w:trPr>
          <w:trHeight w:val="229"/>
        </w:trPr>
        <w:tc>
          <w:tcPr>
            <w:tcW w:w="306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5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operating leases</w:t>
            </w:r>
          </w:p>
        </w:tc>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41,483</w:t>
            </w: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39,744</w:t>
            </w:r>
          </w:p>
        </w:tc>
      </w:tr>
      <w:tr>
        <w:trPr>
          <w:trHeight w:val="243"/>
        </w:trPr>
        <w:tc>
          <w:tcPr>
            <w:tcW w:w="3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Non-current operating leases</w:t>
            </w:r>
          </w:p>
        </w:tc>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lease liabilities, long-term</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352,898</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289,871</w:t>
            </w:r>
          </w:p>
        </w:tc>
      </w:tr>
      <w:tr>
        <w:trPr>
          <w:trHeight w:val="223"/>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w:t>
            </w:r>
          </w:p>
        </w:tc>
        <w:tc>
          <w:tcPr>
            <w:tcW w:w="5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394,381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329,615</w:t>
            </w:r>
          </w:p>
        </w:tc>
      </w:tr>
      <w:tr>
        <w:trPr>
          <w:trHeight w:val="270"/>
        </w:trPr>
        <w:tc>
          <w:tcPr>
            <w:tcW w:w="3060" w:type="dxa"/>
            <w:vAlign w:val="bottom"/>
          </w:tcPr>
          <w:p>
            <w:pPr>
              <w:spacing w:after="0"/>
              <w:rPr>
                <w:sz w:val="23"/>
                <w:szCs w:val="23"/>
                <w:color w:val="auto"/>
              </w:rPr>
            </w:pPr>
          </w:p>
        </w:tc>
        <w:tc>
          <w:tcPr>
            <w:tcW w:w="5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30"/>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finance leases</w:t>
            </w:r>
          </w:p>
        </w:tc>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of financing lease liabilities</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r>
      <w:tr>
        <w:trPr>
          <w:trHeight w:val="243"/>
        </w:trPr>
        <w:tc>
          <w:tcPr>
            <w:tcW w:w="3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Non-current finance leases</w:t>
            </w:r>
          </w:p>
        </w:tc>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Financing lease liabilities, long-term</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53,863</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51,835</w:t>
            </w:r>
          </w:p>
        </w:tc>
      </w:tr>
      <w:tr>
        <w:trPr>
          <w:trHeight w:val="223"/>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finance lease liabilities</w:t>
            </w:r>
          </w:p>
        </w:tc>
        <w:tc>
          <w:tcPr>
            <w:tcW w:w="5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54,797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52,366</w:t>
            </w:r>
          </w:p>
        </w:tc>
      </w:tr>
      <w:tr>
        <w:trPr>
          <w:trHeight w:val="223"/>
        </w:trPr>
        <w:tc>
          <w:tcPr>
            <w:tcW w:w="3060" w:type="dxa"/>
            <w:vAlign w:val="bottom"/>
          </w:tcPr>
          <w:p>
            <w:pPr>
              <w:ind w:left="20"/>
              <w:spacing w:after="0"/>
              <w:rPr>
                <w:sz w:val="20"/>
                <w:szCs w:val="20"/>
                <w:color w:val="auto"/>
              </w:rPr>
            </w:pPr>
            <w:r>
              <w:rPr>
                <w:rFonts w:ascii="Arial" w:cs="Arial" w:eastAsia="Arial" w:hAnsi="Arial"/>
                <w:sz w:val="18"/>
                <w:szCs w:val="18"/>
                <w:color w:val="auto"/>
              </w:rPr>
              <w:t>Total lease liabilities</w:t>
            </w:r>
          </w:p>
        </w:tc>
        <w:tc>
          <w:tcPr>
            <w:tcW w:w="5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449,178</w:t>
            </w:r>
          </w:p>
        </w:tc>
        <w:tc>
          <w:tcPr>
            <w:tcW w:w="100" w:type="dxa"/>
            <w:vAlign w:val="bottom"/>
          </w:tcPr>
          <w:p>
            <w:pPr>
              <w:spacing w:after="0"/>
              <w:rPr>
                <w:sz w:val="19"/>
                <w:szCs w:val="19"/>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381,981</w:t>
            </w:r>
          </w:p>
        </w:tc>
      </w:tr>
      <w:tr>
        <w:trPr>
          <w:trHeight w:val="21"/>
        </w:trPr>
        <w:tc>
          <w:tcPr>
            <w:tcW w:w="30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Arhaus,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components of lease cost recognized within our condensed consolidated statements of comprehensive income for the six and three months ended June 30, 2023 and 2022, respectively are as follows (amounts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w w:val="87"/>
              </w:rPr>
              <w:t>Six months ended June 30,</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w w:val="89"/>
              </w:rPr>
              <w:t>Three months ended June 30,</w:t>
            </w:r>
          </w:p>
        </w:tc>
        <w:tc>
          <w:tcPr>
            <w:tcW w:w="0" w:type="dxa"/>
            <w:vAlign w:val="bottom"/>
          </w:tcPr>
          <w:p>
            <w:pPr>
              <w:spacing w:after="0"/>
              <w:rPr>
                <w:sz w:val="1"/>
                <w:szCs w:val="1"/>
                <w:color w:val="auto"/>
              </w:rPr>
            </w:pPr>
          </w:p>
        </w:tc>
      </w:tr>
      <w:tr>
        <w:trPr>
          <w:trHeight w:val="169"/>
        </w:trPr>
        <w:tc>
          <w:tcPr>
            <w:tcW w:w="3340" w:type="dxa"/>
            <w:vAlign w:val="bottom"/>
          </w:tcPr>
          <w:p>
            <w:pPr>
              <w:spacing w:after="0"/>
              <w:rPr>
                <w:sz w:val="14"/>
                <w:szCs w:val="14"/>
                <w:color w:val="auto"/>
              </w:rPr>
            </w:pPr>
          </w:p>
        </w:tc>
        <w:tc>
          <w:tcPr>
            <w:tcW w:w="2660" w:type="dxa"/>
            <w:vAlign w:val="bottom"/>
            <w:gridSpan w:val="2"/>
          </w:tcPr>
          <w:p>
            <w:pPr>
              <w:ind w:left="20"/>
              <w:spacing w:after="0" w:line="169" w:lineRule="exact"/>
              <w:rPr>
                <w:sz w:val="20"/>
                <w:szCs w:val="20"/>
                <w:color w:val="auto"/>
              </w:rPr>
            </w:pPr>
            <w:r>
              <w:rPr>
                <w:rFonts w:ascii="Arial" w:cs="Arial" w:eastAsia="Arial" w:hAnsi="Arial"/>
                <w:sz w:val="18"/>
                <w:szCs w:val="18"/>
                <w:b w:val="1"/>
                <w:bCs w:val="1"/>
                <w:color w:val="auto"/>
                <w:w w:val="91"/>
              </w:rPr>
              <w:t>Condensed Consolidated Income</w:t>
            </w:r>
          </w:p>
        </w:tc>
        <w:tc>
          <w:tcPr>
            <w:tcW w:w="140" w:type="dxa"/>
            <w:vAlign w:val="bottom"/>
          </w:tcPr>
          <w:p>
            <w:pPr>
              <w:spacing w:after="0"/>
              <w:rPr>
                <w:sz w:val="14"/>
                <w:szCs w:val="14"/>
                <w:color w:val="auto"/>
              </w:rPr>
            </w:pPr>
          </w:p>
        </w:tc>
        <w:tc>
          <w:tcPr>
            <w:tcW w:w="11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9"/>
        </w:trPr>
        <w:tc>
          <w:tcPr>
            <w:tcW w:w="3340" w:type="dxa"/>
            <w:vAlign w:val="bottom"/>
          </w:tcPr>
          <w:p>
            <w:pPr>
              <w:spacing w:after="0"/>
              <w:rPr>
                <w:sz w:val="19"/>
                <w:szCs w:val="19"/>
                <w:color w:val="auto"/>
              </w:rPr>
            </w:pPr>
          </w:p>
        </w:tc>
        <w:tc>
          <w:tcPr>
            <w:tcW w:w="2660" w:type="dxa"/>
            <w:vAlign w:val="bottom"/>
            <w:gridSpan w:val="2"/>
          </w:tcPr>
          <w:p>
            <w:pPr>
              <w:ind w:left="20"/>
              <w:spacing w:after="0"/>
              <w:rPr>
                <w:sz w:val="20"/>
                <w:szCs w:val="20"/>
                <w:color w:val="auto"/>
              </w:rPr>
            </w:pPr>
            <w:r>
              <w:rPr>
                <w:rFonts w:ascii="Arial" w:cs="Arial" w:eastAsia="Arial" w:hAnsi="Arial"/>
                <w:sz w:val="18"/>
                <w:szCs w:val="18"/>
                <w:b w:val="1"/>
                <w:bCs w:val="1"/>
                <w:color w:val="auto"/>
              </w:rPr>
              <w:t>Statement Classification</w:t>
            </w:r>
          </w:p>
        </w:tc>
        <w:tc>
          <w:tcPr>
            <w:tcW w:w="1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Lease costs:</w:t>
            </w:r>
          </w:p>
        </w:tc>
        <w:tc>
          <w:tcPr>
            <w:tcW w:w="256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rPr>
                <w:sz w:val="20"/>
                <w:szCs w:val="20"/>
                <w:color w:val="auto"/>
              </w:rPr>
            </w:pPr>
            <w:r>
              <w:rPr>
                <w:rFonts w:ascii="Arial" w:cs="Arial" w:eastAsia="Arial" w:hAnsi="Arial"/>
                <w:sz w:val="18"/>
                <w:szCs w:val="18"/>
                <w:color w:val="auto"/>
              </w:rPr>
              <w:t>Operating lease costs</w:t>
            </w:r>
          </w:p>
        </w:tc>
        <w:tc>
          <w:tcPr>
            <w:tcW w:w="266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20,376</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17,082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10,662</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8,677</w:t>
            </w:r>
          </w:p>
        </w:tc>
        <w:tc>
          <w:tcPr>
            <w:tcW w:w="0" w:type="dxa"/>
            <w:vAlign w:val="bottom"/>
          </w:tcPr>
          <w:p>
            <w:pPr>
              <w:spacing w:after="0"/>
              <w:rPr>
                <w:sz w:val="1"/>
                <w:szCs w:val="1"/>
                <w:color w:val="auto"/>
              </w:rPr>
            </w:pPr>
          </w:p>
        </w:tc>
      </w:tr>
      <w:tr>
        <w:trPr>
          <w:trHeight w:val="188"/>
        </w:trPr>
        <w:tc>
          <w:tcPr>
            <w:tcW w:w="3340" w:type="dxa"/>
            <w:vAlign w:val="bottom"/>
            <w:shd w:val="clear" w:color="auto" w:fill="CCEEFF"/>
          </w:tcPr>
          <w:p>
            <w:pPr>
              <w:spacing w:after="0"/>
              <w:rPr>
                <w:sz w:val="16"/>
                <w:szCs w:val="16"/>
                <w:color w:val="auto"/>
              </w:rPr>
            </w:pPr>
          </w:p>
        </w:tc>
        <w:tc>
          <w:tcPr>
            <w:tcW w:w="26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w w:val="95"/>
              </w:rPr>
              <w:t>Selling, general and administrative</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4,857</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color w:val="auto"/>
              </w:rPr>
              <w:t>Finance lease costs</w:t>
            </w:r>
          </w:p>
        </w:tc>
        <w:tc>
          <w:tcPr>
            <w:tcW w:w="2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340" w:type="dxa"/>
            <w:vAlign w:val="bottom"/>
            <w:shd w:val="clear" w:color="auto" w:fill="CCEEFF"/>
          </w:tcPr>
          <w:p>
            <w:pPr>
              <w:spacing w:after="0"/>
              <w:rPr>
                <w:sz w:val="16"/>
                <w:szCs w:val="16"/>
                <w:color w:val="auto"/>
              </w:rPr>
            </w:pPr>
          </w:p>
        </w:tc>
        <w:tc>
          <w:tcPr>
            <w:tcW w:w="26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w w:val="95"/>
              </w:rPr>
              <w:t>Selling, general and administrative</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right-of-use assets</w:t>
            </w:r>
          </w:p>
        </w:tc>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rPr>
                <w:sz w:val="20"/>
                <w:szCs w:val="20"/>
                <w:color w:val="auto"/>
              </w:rPr>
            </w:pPr>
            <w:r>
              <w:rPr>
                <w:rFonts w:ascii="Arial" w:cs="Arial" w:eastAsia="Arial" w:hAnsi="Arial"/>
                <w:sz w:val="18"/>
                <w:szCs w:val="18"/>
                <w:color w:val="auto"/>
              </w:rPr>
              <w:t>Interest expense on lease liabilities</w:t>
            </w:r>
          </w:p>
        </w:tc>
        <w:tc>
          <w:tcPr>
            <w:tcW w:w="2660" w:type="dxa"/>
            <w:vAlign w:val="bottom"/>
            <w:gridSpan w:val="2"/>
          </w:tcPr>
          <w:p>
            <w:pPr>
              <w:ind w:left="20"/>
              <w:spacing w:after="0"/>
              <w:rPr>
                <w:sz w:val="20"/>
                <w:szCs w:val="20"/>
                <w:color w:val="auto"/>
              </w:rPr>
            </w:pPr>
            <w:r>
              <w:rPr>
                <w:rFonts w:ascii="Arial" w:cs="Arial" w:eastAsia="Arial" w:hAnsi="Arial"/>
                <w:sz w:val="18"/>
                <w:szCs w:val="18"/>
                <w:color w:val="auto"/>
              </w:rPr>
              <w:t>Interest expense (income), net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2,536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43"/>
        </w:trPr>
        <w:tc>
          <w:tcPr>
            <w:tcW w:w="334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Variable lease costs</w:t>
            </w:r>
            <w:r>
              <w:rPr>
                <w:rFonts w:ascii="Arial" w:cs="Arial" w:eastAsia="Arial" w:hAnsi="Arial"/>
                <w:sz w:val="23"/>
                <w:szCs w:val="23"/>
                <w:color w:val="auto"/>
                <w:vertAlign w:val="superscript"/>
              </w:rPr>
              <w:t>(1)</w:t>
            </w:r>
          </w:p>
        </w:tc>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8,885</w:t>
            </w:r>
          </w:p>
        </w:tc>
        <w:tc>
          <w:tcPr>
            <w:tcW w:w="0" w:type="dxa"/>
            <w:vAlign w:val="bottom"/>
          </w:tcPr>
          <w:p>
            <w:pPr>
              <w:spacing w:after="0"/>
              <w:rPr>
                <w:sz w:val="1"/>
                <w:szCs w:val="1"/>
                <w:color w:val="auto"/>
              </w:rPr>
            </w:pPr>
          </w:p>
        </w:tc>
      </w:tr>
      <w:tr>
        <w:trPr>
          <w:trHeight w:val="175"/>
        </w:trPr>
        <w:tc>
          <w:tcPr>
            <w:tcW w:w="3340" w:type="dxa"/>
            <w:vAlign w:val="bottom"/>
            <w:vMerge w:val="restart"/>
          </w:tcPr>
          <w:p>
            <w:pPr>
              <w:ind w:left="20"/>
              <w:spacing w:after="0"/>
              <w:rPr>
                <w:sz w:val="20"/>
                <w:szCs w:val="20"/>
                <w:color w:val="auto"/>
              </w:rPr>
            </w:pPr>
            <w:r>
              <w:rPr>
                <w:rFonts w:ascii="Arial" w:cs="Arial" w:eastAsia="Arial" w:hAnsi="Arial"/>
                <w:sz w:val="18"/>
                <w:szCs w:val="18"/>
                <w:color w:val="auto"/>
              </w:rPr>
              <w:t>Short term lease costs</w:t>
            </w:r>
          </w:p>
        </w:tc>
        <w:tc>
          <w:tcPr>
            <w:tcW w:w="266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5"/>
              </w:rPr>
              <w:t>Selling, general and administrative</w:t>
            </w: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vMerge w:val="continue"/>
          </w:tcPr>
          <w:p>
            <w:pPr>
              <w:spacing w:after="0"/>
              <w:rPr>
                <w:sz w:val="19"/>
                <w:szCs w:val="19"/>
                <w:color w:val="auto"/>
              </w:rPr>
            </w:pPr>
          </w:p>
        </w:tc>
        <w:tc>
          <w:tcPr>
            <w:tcW w:w="2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expenses</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costs</w:t>
            </w:r>
          </w:p>
        </w:tc>
        <w:tc>
          <w:tcPr>
            <w:tcW w:w="2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48,132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21,287</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340" w:type="dxa"/>
            <w:vAlign w:val="bottom"/>
            <w:tcBorders>
              <w:bottom w:val="single" w:sz="8" w:color="auto"/>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right="400" w:firstLine="8"/>
        <w:spacing w:after="0" w:line="293" w:lineRule="auto"/>
        <w:tabs>
          <w:tab w:leader="none" w:pos="145" w:val="left"/>
        </w:tabs>
        <w:numPr>
          <w:ilvl w:val="0"/>
          <w:numId w:val="4"/>
        </w:numPr>
        <w:rPr>
          <w:rFonts w:ascii="Arial" w:cs="Arial" w:eastAsia="Arial" w:hAnsi="Arial"/>
          <w:sz w:val="9"/>
          <w:szCs w:val="9"/>
          <w:color w:val="auto"/>
        </w:rPr>
      </w:pPr>
      <w:r>
        <w:rPr>
          <w:rFonts w:ascii="Arial" w:cs="Arial" w:eastAsia="Arial" w:hAnsi="Arial"/>
          <w:sz w:val="14"/>
          <w:szCs w:val="14"/>
          <w:color w:val="auto"/>
        </w:rPr>
        <w:t>Includes $0.4 million of month-to-month lease costs for the six months ended June 30, 2023 and a minimal amount for the three months ended June 30, 2023. The Company did not have month-to-month lease costs for the six and three months ended June 30, 2022.</w:t>
      </w:r>
    </w:p>
    <w:p>
      <w:pPr>
        <w:spacing w:after="0" w:line="13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We often have options to renew lease terms for Showrooms and other assets. The exercise of lease renewal options is generally at our sole discretion. In addition, certain lease agreements may be terminated prior to their original expiration date at our discretion. We evaluate each renewal and termination options at the lease commencement date to determine if we are reasonably certain to exercise the option on the basis of economic factors. The table below summarizes the weighted average remaining lease terms as of June 30, 2023 and 2022, respectively.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Weighted Average Remaining Lease Term (In Years)</w:t>
            </w:r>
          </w:p>
        </w:tc>
        <w:tc>
          <w:tcPr>
            <w:tcW w:w="100" w:type="dxa"/>
            <w:vAlign w:val="bottom"/>
            <w:tcBorders>
              <w:bottom w:val="single" w:sz="8" w:color="CCEEFF"/>
            </w:tcBorders>
          </w:tcPr>
          <w:p>
            <w:pPr>
              <w:spacing w:after="0"/>
              <w:rPr>
                <w:sz w:val="20"/>
                <w:szCs w:val="20"/>
                <w:color w:val="auto"/>
              </w:rPr>
            </w:pPr>
          </w:p>
        </w:tc>
        <w:tc>
          <w:tcPr>
            <w:tcW w:w="2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June 30, 2023</w:t>
            </w:r>
          </w:p>
        </w:tc>
        <w:tc>
          <w:tcPr>
            <w:tcW w:w="80" w:type="dxa"/>
            <w:vAlign w:val="bottom"/>
            <w:tcBorders>
              <w:bottom w:val="single" w:sz="8" w:color="CCEEFF"/>
            </w:tcBorders>
          </w:tcPr>
          <w:p>
            <w:pPr>
              <w:spacing w:after="0"/>
              <w:rPr>
                <w:sz w:val="20"/>
                <w:szCs w:val="20"/>
                <w:color w:val="auto"/>
              </w:rPr>
            </w:pPr>
          </w:p>
        </w:tc>
        <w:tc>
          <w:tcPr>
            <w:tcW w:w="2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June 30, 2022</w:t>
            </w:r>
          </w:p>
        </w:tc>
      </w:tr>
      <w:tr>
        <w:trPr>
          <w:trHeight w:val="223"/>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Finance leases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21.24</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22.87</w:t>
            </w:r>
          </w:p>
        </w:tc>
      </w:tr>
    </w:tbl>
    <w:p>
      <w:pPr>
        <w:spacing w:after="0" w:line="26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discount rate implicit within our finance leases was determined at the time of lease commencement. However, the discount rate implicit within our operating leases is generally not determinable at the time of lease commencement and therefore the Company determines the discount rate based on its incremental borrowing rate. For all operating leases in which the discount rate is not explicit, the Company utilized a market-based approach to estimate the incremental borrowing rate (“IBR”), which required significant judgment. The Company estimated the base IBR based on an analysis of (i) yields on the Company’s 2021 Credit Facility, as well as comparable companies and (ii) unsecured yields and discount rates. The Company applied adjustments to the base IBRs to account for full collateralization and lease term. The table below summarizes the weighted average discount rate used to measure our lease liabilities as of June 30, 2023 and 2022, respectively.</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Weighted Average Discount Rate</w:t>
            </w:r>
          </w:p>
        </w:tc>
        <w:tc>
          <w:tcPr>
            <w:tcW w:w="2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June 30, 2023</w:t>
            </w:r>
          </w:p>
        </w:tc>
        <w:tc>
          <w:tcPr>
            <w:tcW w:w="100" w:type="dxa"/>
            <w:vAlign w:val="bottom"/>
          </w:tcPr>
          <w:p>
            <w:pPr>
              <w:spacing w:after="0"/>
              <w:rPr>
                <w:sz w:val="20"/>
                <w:szCs w:val="20"/>
                <w:color w:val="auto"/>
              </w:rPr>
            </w:pPr>
          </w:p>
        </w:tc>
        <w:tc>
          <w:tcPr>
            <w:tcW w:w="2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June 30, 2022</w:t>
            </w:r>
          </w:p>
        </w:tc>
        <w:tc>
          <w:tcPr>
            <w:tcW w:w="640" w:type="dxa"/>
            <w:vAlign w:val="bottom"/>
          </w:tcPr>
          <w:p>
            <w:pPr>
              <w:spacing w:after="0"/>
              <w:rPr>
                <w:sz w:val="20"/>
                <w:szCs w:val="20"/>
                <w:color w:val="auto"/>
              </w:rPr>
            </w:pPr>
          </w:p>
        </w:tc>
      </w:tr>
      <w:tr>
        <w:trPr>
          <w:trHeight w:val="236"/>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4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5.82 %</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4.32 %</w:t>
            </w:r>
          </w:p>
        </w:tc>
        <w:tc>
          <w:tcPr>
            <w:tcW w:w="640" w:type="dxa"/>
            <w:vAlign w:val="bottom"/>
          </w:tcPr>
          <w:p>
            <w:pPr>
              <w:spacing w:after="0"/>
              <w:rPr>
                <w:sz w:val="20"/>
                <w:szCs w:val="20"/>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Finance leases</w:t>
            </w:r>
          </w:p>
        </w:tc>
        <w:tc>
          <w:tcPr>
            <w:tcW w:w="4340" w:type="dxa"/>
            <w:vAlign w:val="bottom"/>
            <w:gridSpan w:val="3"/>
          </w:tcPr>
          <w:p>
            <w:pPr>
              <w:jc w:val="right"/>
              <w:spacing w:after="0"/>
              <w:rPr>
                <w:sz w:val="20"/>
                <w:szCs w:val="20"/>
                <w:color w:val="auto"/>
              </w:rPr>
            </w:pPr>
            <w:r>
              <w:rPr>
                <w:rFonts w:ascii="Arial" w:cs="Arial" w:eastAsia="Arial" w:hAnsi="Arial"/>
                <w:sz w:val="18"/>
                <w:szCs w:val="18"/>
                <w:color w:val="auto"/>
              </w:rPr>
              <w:t>9.63 %</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9.72 %</w:t>
            </w:r>
          </w:p>
        </w:tc>
        <w:tc>
          <w:tcPr>
            <w:tcW w:w="640" w:type="dxa"/>
            <w:vAlign w:val="bottom"/>
          </w:tcPr>
          <w:p>
            <w:pPr>
              <w:spacing w:after="0"/>
              <w:rPr>
                <w:sz w:val="20"/>
                <w:szCs w:val="20"/>
                <w:color w:val="auto"/>
              </w:rPr>
            </w:pPr>
          </w:p>
        </w:tc>
      </w:tr>
      <w:tr>
        <w:trPr>
          <w:trHeight w:val="904"/>
        </w:trPr>
        <w:tc>
          <w:tcPr>
            <w:tcW w:w="4040" w:type="dxa"/>
            <w:vAlign w:val="bottom"/>
          </w:tcPr>
          <w:p>
            <w:pPr>
              <w:spacing w:after="0"/>
              <w:rPr>
                <w:sz w:val="24"/>
                <w:szCs w:val="24"/>
                <w:color w:val="auto"/>
              </w:rPr>
            </w:pPr>
          </w:p>
        </w:tc>
        <w:tc>
          <w:tcPr>
            <w:tcW w:w="2060" w:type="dxa"/>
            <w:vAlign w:val="bottom"/>
          </w:tcPr>
          <w:p>
            <w:pPr>
              <w:jc w:val="right"/>
              <w:ind w:right="29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15"/>
        </w:trPr>
        <w:tc>
          <w:tcPr>
            <w:tcW w:w="404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Arhaus,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Future lease liabilities at June 30, 2023 are as follows (amounts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200" w:type="dxa"/>
            <w:vAlign w:val="bottom"/>
          </w:tcPr>
          <w:p>
            <w:pPr>
              <w:spacing w:after="0"/>
              <w:rPr>
                <w:sz w:val="17"/>
                <w:szCs w:val="17"/>
                <w:color w:val="auto"/>
              </w:rPr>
            </w:pPr>
          </w:p>
        </w:tc>
        <w:tc>
          <w:tcPr>
            <w:tcW w:w="162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Operating Lease</w:t>
            </w:r>
          </w:p>
        </w:tc>
        <w:tc>
          <w:tcPr>
            <w:tcW w:w="100" w:type="dxa"/>
            <w:vAlign w:val="bottom"/>
          </w:tcPr>
          <w:p>
            <w:pPr>
              <w:spacing w:after="0"/>
              <w:rPr>
                <w:sz w:val="17"/>
                <w:szCs w:val="17"/>
                <w:color w:val="auto"/>
              </w:rPr>
            </w:pPr>
          </w:p>
        </w:tc>
        <w:tc>
          <w:tcPr>
            <w:tcW w:w="20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3"/>
              </w:rPr>
              <w:t>Finance Lease Liabilities</w:t>
            </w:r>
          </w:p>
        </w:tc>
        <w:tc>
          <w:tcPr>
            <w:tcW w:w="120" w:type="dxa"/>
            <w:vAlign w:val="bottom"/>
          </w:tcPr>
          <w:p>
            <w:pPr>
              <w:spacing w:after="0"/>
              <w:rPr>
                <w:sz w:val="17"/>
                <w:szCs w:val="17"/>
                <w:color w:val="auto"/>
              </w:rPr>
            </w:pPr>
          </w:p>
        </w:tc>
        <w:tc>
          <w:tcPr>
            <w:tcW w:w="18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2"/>
              </w:rPr>
              <w:t>Total Lease Liabilities</w:t>
            </w:r>
          </w:p>
        </w:tc>
        <w:tc>
          <w:tcPr>
            <w:tcW w:w="0" w:type="dxa"/>
            <w:vAlign w:val="bottom"/>
          </w:tcPr>
          <w:p>
            <w:pPr>
              <w:spacing w:after="0"/>
              <w:rPr>
                <w:sz w:val="1"/>
                <w:szCs w:val="1"/>
                <w:color w:val="auto"/>
              </w:rPr>
            </w:pPr>
          </w:p>
        </w:tc>
      </w:tr>
      <w:tr>
        <w:trPr>
          <w:trHeight w:val="229"/>
        </w:trPr>
        <w:tc>
          <w:tcPr>
            <w:tcW w:w="370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350"/>
              <w:spacing w:after="0" w:line="230" w:lineRule="exact"/>
              <w:rPr>
                <w:sz w:val="20"/>
                <w:szCs w:val="20"/>
                <w:color w:val="auto"/>
              </w:rPr>
            </w:pPr>
            <w:r>
              <w:rPr>
                <w:rFonts w:ascii="Arial" w:cs="Arial" w:eastAsia="Arial" w:hAnsi="Arial"/>
                <w:sz w:val="18"/>
                <w:szCs w:val="18"/>
                <w:b w:val="1"/>
                <w:bCs w:val="1"/>
                <w:color w:val="auto"/>
              </w:rPr>
              <w:t xml:space="preserve">Liabilities </w:t>
            </w:r>
            <w:r>
              <w:rPr>
                <w:rFonts w:ascii="Arial" w:cs="Arial" w:eastAsia="Arial" w:hAnsi="Arial"/>
                <w:sz w:val="23"/>
                <w:szCs w:val="23"/>
                <w:b w:val="1"/>
                <w:bCs w:val="1"/>
                <w:color w:val="auto"/>
                <w:vertAlign w:val="superscript"/>
              </w:rPr>
              <w:t>(1)</w:t>
            </w:r>
          </w:p>
        </w:tc>
        <w:tc>
          <w:tcPr>
            <w:tcW w:w="100" w:type="dxa"/>
            <w:vAlign w:val="bottom"/>
          </w:tcPr>
          <w:p>
            <w:pPr>
              <w:spacing w:after="0"/>
              <w:rPr>
                <w:sz w:val="19"/>
                <w:szCs w:val="19"/>
                <w:color w:val="auto"/>
              </w:rPr>
            </w:pPr>
          </w:p>
        </w:tc>
        <w:tc>
          <w:tcPr>
            <w:tcW w:w="2080" w:type="dxa"/>
            <w:vAlign w:val="bottom"/>
            <w:tcBorders>
              <w:bottom w:val="single" w:sz="8" w:color="auto"/>
            </w:tcBorders>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29,778</w:t>
            </w:r>
          </w:p>
        </w:tc>
        <w:tc>
          <w:tcPr>
            <w:tcW w:w="88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w:t>
            </w:r>
          </w:p>
        </w:tc>
        <w:tc>
          <w:tcPr>
            <w:tcW w:w="72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32,651</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63,255</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5,758</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69,013</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57,966</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5,758</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63,724</w:t>
            </w: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54,852</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6,217</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61,069</w:t>
            </w:r>
          </w:p>
        </w:tc>
        <w:tc>
          <w:tcPr>
            <w:tcW w:w="0" w:type="dxa"/>
            <w:vAlign w:val="bottom"/>
          </w:tcPr>
          <w:p>
            <w:pPr>
              <w:spacing w:after="0"/>
              <w:rPr>
                <w:sz w:val="1"/>
                <w:szCs w:val="1"/>
                <w:color w:val="auto"/>
              </w:rPr>
            </w:pPr>
          </w:p>
        </w:tc>
      </w:tr>
      <w:tr>
        <w:trPr>
          <w:trHeight w:val="236"/>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0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51,037</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6,028</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57,065</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2028</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45,828</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5,527</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51,355</w:t>
            </w:r>
          </w:p>
        </w:tc>
        <w:tc>
          <w:tcPr>
            <w:tcW w:w="0" w:type="dxa"/>
            <w:vAlign w:val="bottom"/>
          </w:tcPr>
          <w:p>
            <w:pPr>
              <w:spacing w:after="0"/>
              <w:rPr>
                <w:sz w:val="1"/>
                <w:szCs w:val="1"/>
                <w:color w:val="auto"/>
              </w:rPr>
            </w:pPr>
          </w:p>
        </w:tc>
      </w:tr>
      <w:tr>
        <w:trPr>
          <w:trHeight w:val="243"/>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221,991</w:t>
            </w:r>
          </w:p>
        </w:tc>
        <w:tc>
          <w:tcPr>
            <w:tcW w:w="100" w:type="dxa"/>
            <w:vAlign w:val="bottom"/>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109,943</w:t>
            </w:r>
          </w:p>
        </w:tc>
        <w:tc>
          <w:tcPr>
            <w:tcW w:w="12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331,934</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Arial" w:cs="Arial" w:eastAsia="Arial" w:hAnsi="Arial"/>
                <w:sz w:val="18"/>
                <w:szCs w:val="18"/>
                <w:color w:val="auto"/>
              </w:rPr>
              <w:t>Total lease payments</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524,707</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142,104</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666,811</w:t>
            </w:r>
          </w:p>
        </w:tc>
        <w:tc>
          <w:tcPr>
            <w:tcW w:w="0" w:type="dxa"/>
            <w:vAlign w:val="bottom"/>
          </w:tcPr>
          <w:p>
            <w:pPr>
              <w:spacing w:after="0"/>
              <w:rPr>
                <w:sz w:val="1"/>
                <w:szCs w:val="1"/>
                <w:color w:val="auto"/>
              </w:rPr>
            </w:pPr>
          </w:p>
        </w:tc>
      </w:tr>
      <w:tr>
        <w:trPr>
          <w:trHeight w:val="23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Amounts representing interest</w:t>
            </w:r>
          </w:p>
        </w:tc>
        <w:tc>
          <w:tcPr>
            <w:tcW w:w="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(130,326)</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(87,307)</w:t>
            </w: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(217,633)</w:t>
            </w: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394,381</w:t>
            </w:r>
          </w:p>
        </w:tc>
        <w:tc>
          <w:tcPr>
            <w:tcW w:w="880" w:type="dxa"/>
            <w:vAlign w:val="bottom"/>
            <w:gridSpan w:val="2"/>
          </w:tcPr>
          <w:p>
            <w:pPr>
              <w:jc w:val="right"/>
              <w:ind w:right="57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54,797</w:t>
            </w:r>
          </w:p>
        </w:tc>
        <w:tc>
          <w:tcPr>
            <w:tcW w:w="72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449,178</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160" w:hanging="152"/>
        <w:spacing w:after="0"/>
        <w:tabs>
          <w:tab w:leader="none" w:pos="160" w:val="left"/>
        </w:tabs>
        <w:numPr>
          <w:ilvl w:val="0"/>
          <w:numId w:val="5"/>
        </w:numPr>
        <w:rPr>
          <w:rFonts w:ascii="Arial" w:cs="Arial" w:eastAsia="Arial" w:hAnsi="Arial"/>
          <w:sz w:val="9"/>
          <w:szCs w:val="9"/>
          <w:color w:val="auto"/>
        </w:rPr>
      </w:pPr>
      <w:r>
        <w:rPr>
          <w:rFonts w:ascii="Arial" w:cs="Arial" w:eastAsia="Arial" w:hAnsi="Arial"/>
          <w:sz w:val="14"/>
          <w:szCs w:val="14"/>
          <w:color w:val="auto"/>
        </w:rPr>
        <w:t xml:space="preserve">Includes leases with related parties. See Note 10 — </w:t>
      </w:r>
      <w:r>
        <w:rPr>
          <w:rFonts w:ascii="Arial" w:cs="Arial" w:eastAsia="Arial" w:hAnsi="Arial"/>
          <w:sz w:val="14"/>
          <w:szCs w:val="14"/>
          <w:i w:val="1"/>
          <w:iCs w:val="1"/>
          <w:color w:val="auto"/>
        </w:rPr>
        <w:t>Related Party Transactions</w:t>
      </w:r>
      <w:r>
        <w:rPr>
          <w:rFonts w:ascii="Arial" w:cs="Arial" w:eastAsia="Arial" w:hAnsi="Arial"/>
          <w:sz w:val="14"/>
          <w:szCs w:val="14"/>
          <w:color w:val="auto"/>
        </w:rPr>
        <w:t xml:space="preserve"> for amounts leased from related parties.</w:t>
      </w:r>
    </w:p>
    <w:p>
      <w:pPr>
        <w:spacing w:after="0" w:line="19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At June 30, 2023, the Company has entered into leases for Showrooms and equipment which have not yet commenced with expected lease terms ranging from 3 to 17 years. The aggregate minimum rental payments over the term of the leases of approximately $108.7 million are not included in the above table.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Supplemental cash flow information related to leases for the six months ended June 30, 2023 and 2022, respectively is as follows (amounts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356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8"/>
                <w:szCs w:val="18"/>
                <w:b w:val="1"/>
                <w:bCs w:val="1"/>
                <w:color w:val="auto"/>
              </w:rPr>
              <w:t>Six months ended June 30,</w:t>
            </w:r>
          </w:p>
        </w:tc>
        <w:tc>
          <w:tcPr>
            <w:tcW w:w="700" w:type="dxa"/>
            <w:vAlign w:val="bottom"/>
            <w:tcBorders>
              <w:bottom w:val="single" w:sz="8" w:color="auto"/>
            </w:tcBorders>
          </w:tcPr>
          <w:p>
            <w:pPr>
              <w:spacing w:after="0"/>
              <w:rPr>
                <w:sz w:val="20"/>
                <w:szCs w:val="20"/>
                <w:color w:val="auto"/>
              </w:rPr>
            </w:pPr>
          </w:p>
        </w:tc>
      </w:tr>
      <w:tr>
        <w:trPr>
          <w:trHeight w:val="232"/>
        </w:trPr>
        <w:tc>
          <w:tcPr>
            <w:tcW w:w="6980" w:type="dxa"/>
            <w:vAlign w:val="bottom"/>
          </w:tcPr>
          <w:p>
            <w:pPr>
              <w:spacing w:after="0"/>
              <w:rPr>
                <w:sz w:val="20"/>
                <w:szCs w:val="20"/>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b w:val="1"/>
                <w:bCs w:val="1"/>
                <w:color w:val="auto"/>
              </w:rPr>
              <w:t>2023</w:t>
            </w:r>
          </w:p>
        </w:tc>
        <w:tc>
          <w:tcPr>
            <w:tcW w:w="72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2022</w:t>
            </w:r>
          </w:p>
        </w:tc>
        <w:tc>
          <w:tcPr>
            <w:tcW w:w="700" w:type="dxa"/>
            <w:vAlign w:val="bottom"/>
          </w:tcPr>
          <w:p>
            <w:pPr>
              <w:spacing w:after="0"/>
              <w:rPr>
                <w:sz w:val="20"/>
                <w:szCs w:val="20"/>
                <w:color w:val="auto"/>
              </w:rPr>
            </w:pPr>
          </w:p>
        </w:tc>
      </w:tr>
      <w:tr>
        <w:trPr>
          <w:trHeight w:val="227"/>
        </w:trPr>
        <w:tc>
          <w:tcPr>
            <w:tcW w:w="6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14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Operating cash flows for operating leases</w:t>
            </w:r>
          </w:p>
        </w:tc>
        <w:tc>
          <w:tcPr>
            <w:tcW w:w="1400" w:type="dxa"/>
            <w:vAlign w:val="bottom"/>
          </w:tcPr>
          <w:p>
            <w:pPr>
              <w:jc w:val="right"/>
              <w:ind w:right="11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27,248</w:t>
            </w:r>
          </w:p>
        </w:tc>
        <w:tc>
          <w:tcPr>
            <w:tcW w:w="1440" w:type="dxa"/>
            <w:vAlign w:val="bottom"/>
            <w:gridSpan w:val="2"/>
          </w:tcPr>
          <w:p>
            <w:pPr>
              <w:jc w:val="right"/>
              <w:ind w:right="12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23,501</w:t>
            </w: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flows for finance leases</w:t>
            </w:r>
          </w:p>
        </w:tc>
        <w:tc>
          <w:tcPr>
            <w:tcW w:w="1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w:t>
            </w: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Financing cash flows for finance leases</w:t>
            </w:r>
          </w:p>
        </w:tc>
        <w:tc>
          <w:tcPr>
            <w:tcW w:w="1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Right-of-use assets obtained in exchange for lease obligations:</w:t>
            </w:r>
          </w:p>
        </w:tc>
        <w:tc>
          <w:tcPr>
            <w:tcW w:w="14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1400" w:type="dxa"/>
            <w:vAlign w:val="bottom"/>
          </w:tcPr>
          <w:p>
            <w:pPr>
              <w:jc w:val="right"/>
              <w:ind w:right="11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72,940</w:t>
            </w:r>
          </w:p>
        </w:tc>
        <w:tc>
          <w:tcPr>
            <w:tcW w:w="1440" w:type="dxa"/>
            <w:vAlign w:val="bottom"/>
            <w:gridSpan w:val="2"/>
          </w:tcPr>
          <w:p>
            <w:pPr>
              <w:jc w:val="right"/>
              <w:ind w:right="12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42,001</w:t>
            </w: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1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Equity Based Compensation</w:t>
      </w:r>
    </w:p>
    <w:p>
      <w:pPr>
        <w:spacing w:after="0" w:line="202"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The following tables summarize the activity of the Company’s Restricted Stock for the six months ended June 30, 2023 and the equity based compensation expense for the six and three months ended June 30, 2023 and 2022, respectively (amounts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4100" w:type="dxa"/>
            <w:vAlign w:val="bottom"/>
            <w:tcBorders>
              <w:bottom w:val="single" w:sz="8" w:color="auto"/>
            </w:tcBorders>
            <w:gridSpan w:val="3"/>
          </w:tcPr>
          <w:p>
            <w:pPr>
              <w:ind w:left="1380"/>
              <w:spacing w:after="0"/>
              <w:rPr>
                <w:sz w:val="20"/>
                <w:szCs w:val="20"/>
                <w:color w:val="auto"/>
              </w:rPr>
            </w:pPr>
            <w:r>
              <w:rPr>
                <w:rFonts w:ascii="Arial" w:cs="Arial" w:eastAsia="Arial" w:hAnsi="Arial"/>
                <w:sz w:val="18"/>
                <w:szCs w:val="18"/>
                <w:b w:val="1"/>
                <w:bCs w:val="1"/>
                <w:color w:val="auto"/>
              </w:rPr>
              <w:t>Restricted Stock - Class A</w:t>
            </w:r>
          </w:p>
        </w:tc>
        <w:tc>
          <w:tcPr>
            <w:tcW w:w="640" w:type="dxa"/>
            <w:vAlign w:val="bottom"/>
            <w:tcBorders>
              <w:bottom w:val="single" w:sz="8" w:color="auto"/>
            </w:tcBorders>
          </w:tcPr>
          <w:p>
            <w:pPr>
              <w:spacing w:after="0"/>
              <w:rPr>
                <w:sz w:val="20"/>
                <w:szCs w:val="20"/>
                <w:color w:val="auto"/>
              </w:rPr>
            </w:pPr>
          </w:p>
        </w:tc>
        <w:tc>
          <w:tcPr>
            <w:tcW w:w="2300" w:type="dxa"/>
            <w:vAlign w:val="bottom"/>
          </w:tcPr>
          <w:p>
            <w:pPr>
              <w:spacing w:after="0"/>
              <w:rPr>
                <w:sz w:val="20"/>
                <w:szCs w:val="20"/>
                <w:color w:val="auto"/>
              </w:rPr>
            </w:pPr>
          </w:p>
        </w:tc>
      </w:tr>
      <w:tr>
        <w:trPr>
          <w:trHeight w:val="178"/>
        </w:trPr>
        <w:tc>
          <w:tcPr>
            <w:tcW w:w="42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gridSpan w:val="2"/>
          </w:tcPr>
          <w:p>
            <w:pPr>
              <w:ind w:left="40"/>
              <w:spacing w:after="0" w:line="177" w:lineRule="exact"/>
              <w:rPr>
                <w:sz w:val="20"/>
                <w:szCs w:val="20"/>
                <w:color w:val="auto"/>
              </w:rPr>
            </w:pPr>
            <w:r>
              <w:rPr>
                <w:rFonts w:ascii="Arial" w:cs="Arial" w:eastAsia="Arial" w:hAnsi="Arial"/>
                <w:sz w:val="18"/>
                <w:szCs w:val="18"/>
                <w:b w:val="1"/>
                <w:bCs w:val="1"/>
                <w:color w:val="auto"/>
                <w:w w:val="91"/>
              </w:rPr>
              <w:t>Weighted Average Grant Date</w:t>
            </w:r>
          </w:p>
        </w:tc>
        <w:tc>
          <w:tcPr>
            <w:tcW w:w="2300" w:type="dxa"/>
            <w:vAlign w:val="bottom"/>
          </w:tcPr>
          <w:p>
            <w:pPr>
              <w:spacing w:after="0"/>
              <w:rPr>
                <w:sz w:val="15"/>
                <w:szCs w:val="15"/>
                <w:color w:val="auto"/>
              </w:rPr>
            </w:pPr>
          </w:p>
        </w:tc>
      </w:tr>
      <w:tr>
        <w:trPr>
          <w:trHeight w:val="234"/>
        </w:trPr>
        <w:tc>
          <w:tcPr>
            <w:tcW w:w="4200" w:type="dxa"/>
            <w:vAlign w:val="bottom"/>
          </w:tcPr>
          <w:p>
            <w:pPr>
              <w:spacing w:after="0"/>
              <w:rPr>
                <w:sz w:val="20"/>
                <w:szCs w:val="20"/>
                <w:color w:val="auto"/>
              </w:rPr>
            </w:pPr>
          </w:p>
        </w:tc>
        <w:tc>
          <w:tcPr>
            <w:tcW w:w="22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1740" w:type="dxa"/>
            <w:vAlign w:val="bottom"/>
            <w:tcBorders>
              <w:bottom w:val="single" w:sz="8" w:color="auto"/>
            </w:tcBorders>
          </w:tcPr>
          <w:p>
            <w:pPr>
              <w:ind w:left="800"/>
              <w:spacing w:after="0"/>
              <w:rPr>
                <w:sz w:val="20"/>
                <w:szCs w:val="20"/>
                <w:color w:val="auto"/>
              </w:rPr>
            </w:pPr>
            <w:r>
              <w:rPr>
                <w:rFonts w:ascii="Arial" w:cs="Arial" w:eastAsia="Arial" w:hAnsi="Arial"/>
                <w:sz w:val="18"/>
                <w:szCs w:val="18"/>
                <w:b w:val="1"/>
                <w:bCs w:val="1"/>
                <w:color w:val="auto"/>
              </w:rPr>
              <w:t>Fair Value</w:t>
            </w:r>
          </w:p>
        </w:tc>
        <w:tc>
          <w:tcPr>
            <w:tcW w:w="640" w:type="dxa"/>
            <w:vAlign w:val="bottom"/>
            <w:tcBorders>
              <w:bottom w:val="single" w:sz="8" w:color="auto"/>
            </w:tcBorders>
          </w:tcPr>
          <w:p>
            <w:pPr>
              <w:spacing w:after="0"/>
              <w:rPr>
                <w:sz w:val="20"/>
                <w:szCs w:val="20"/>
                <w:color w:val="auto"/>
              </w:rPr>
            </w:pPr>
          </w:p>
        </w:tc>
        <w:tc>
          <w:tcPr>
            <w:tcW w:w="2300" w:type="dxa"/>
            <w:vAlign w:val="bottom"/>
          </w:tcPr>
          <w:p>
            <w:pPr>
              <w:spacing w:after="0"/>
              <w:rPr>
                <w:sz w:val="20"/>
                <w:szCs w:val="20"/>
                <w:color w:val="auto"/>
              </w:rPr>
            </w:pPr>
          </w:p>
        </w:tc>
      </w:tr>
      <w:tr>
        <w:trPr>
          <w:trHeight w:val="223"/>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2022</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1,510,269</w:t>
            </w:r>
          </w:p>
        </w:tc>
        <w:tc>
          <w:tcPr>
            <w:tcW w:w="1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2300" w:type="dxa"/>
            <w:vAlign w:val="bottom"/>
          </w:tcPr>
          <w:p>
            <w:pPr>
              <w:spacing w:after="0"/>
              <w:rPr>
                <w:sz w:val="19"/>
                <w:szCs w:val="19"/>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Granted</w:t>
            </w:r>
          </w:p>
        </w:tc>
        <w:tc>
          <w:tcPr>
            <w:tcW w:w="2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300" w:type="dxa"/>
            <w:vAlign w:val="bottom"/>
          </w:tcPr>
          <w:p>
            <w:pPr>
              <w:spacing w:after="0"/>
              <w:rPr>
                <w:sz w:val="20"/>
                <w:szCs w:val="20"/>
                <w:color w:val="auto"/>
              </w:rPr>
            </w:pPr>
          </w:p>
        </w:tc>
      </w:tr>
      <w:tr>
        <w:trPr>
          <w:trHeight w:val="242"/>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300" w:type="dxa"/>
            <w:vAlign w:val="bottom"/>
          </w:tcPr>
          <w:p>
            <w:pPr>
              <w:spacing w:after="0"/>
              <w:rPr>
                <w:sz w:val="21"/>
                <w:szCs w:val="2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Vested</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(932,852)</w:t>
            </w:r>
          </w:p>
        </w:tc>
        <w:tc>
          <w:tcPr>
            <w:tcW w:w="10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2300" w:type="dxa"/>
            <w:vAlign w:val="bottom"/>
          </w:tcPr>
          <w:p>
            <w:pPr>
              <w:spacing w:after="0"/>
              <w:rPr>
                <w:sz w:val="19"/>
                <w:szCs w:val="19"/>
                <w:color w:val="auto"/>
              </w:rPr>
            </w:pPr>
          </w:p>
        </w:tc>
      </w:tr>
      <w:tr>
        <w:trPr>
          <w:trHeight w:val="256"/>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June 30, 2023</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577,417</w:t>
            </w:r>
          </w:p>
        </w:tc>
        <w:tc>
          <w:tcPr>
            <w:tcW w:w="1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2300" w:type="dxa"/>
            <w:vAlign w:val="bottom"/>
          </w:tcPr>
          <w:p>
            <w:pPr>
              <w:spacing w:after="0"/>
              <w:rPr>
                <w:sz w:val="22"/>
                <w:szCs w:val="22"/>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865"/>
        </w:trPr>
        <w:tc>
          <w:tcPr>
            <w:tcW w:w="4200" w:type="dxa"/>
            <w:vAlign w:val="bottom"/>
          </w:tcPr>
          <w:p>
            <w:pPr>
              <w:spacing w:after="0"/>
              <w:rPr>
                <w:sz w:val="24"/>
                <w:szCs w:val="24"/>
                <w:color w:val="auto"/>
              </w:rPr>
            </w:pPr>
          </w:p>
        </w:tc>
        <w:tc>
          <w:tcPr>
            <w:tcW w:w="2260" w:type="dxa"/>
            <w:vAlign w:val="bottom"/>
          </w:tcPr>
          <w:p>
            <w:pPr>
              <w:jc w:val="right"/>
              <w:ind w:right="65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Arhaus,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Six months ended June 30,</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4"/>
          </w:tcPr>
          <w:p>
            <w:pPr>
              <w:ind w:left="300"/>
              <w:spacing w:after="0"/>
              <w:rPr>
                <w:sz w:val="20"/>
                <w:szCs w:val="20"/>
                <w:color w:val="auto"/>
              </w:rPr>
            </w:pPr>
            <w:r>
              <w:rPr>
                <w:rFonts w:ascii="Arial" w:cs="Arial" w:eastAsia="Arial" w:hAnsi="Arial"/>
                <w:sz w:val="18"/>
                <w:szCs w:val="18"/>
                <w:b w:val="1"/>
                <w:bCs w:val="1"/>
                <w:color w:val="auto"/>
              </w:rPr>
              <w:t>Three months ended June 30,</w:t>
            </w:r>
          </w:p>
        </w:tc>
        <w:tc>
          <w:tcPr>
            <w:tcW w:w="0" w:type="dxa"/>
            <w:vAlign w:val="bottom"/>
          </w:tcPr>
          <w:p>
            <w:pPr>
              <w:spacing w:after="0"/>
              <w:rPr>
                <w:sz w:val="1"/>
                <w:szCs w:val="1"/>
                <w:color w:val="auto"/>
              </w:rPr>
            </w:pPr>
          </w:p>
        </w:tc>
      </w:tr>
      <w:tr>
        <w:trPr>
          <w:trHeight w:val="229"/>
        </w:trPr>
        <w:tc>
          <w:tcPr>
            <w:tcW w:w="37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69"/>
        </w:trPr>
        <w:tc>
          <w:tcPr>
            <w:tcW w:w="376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w w:val="95"/>
              </w:rPr>
              <w:t>Equity based compensation expense - Restricted</w:t>
            </w:r>
          </w:p>
        </w:tc>
        <w:tc>
          <w:tcPr>
            <w:tcW w:w="44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50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4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5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Stock</w:t>
            </w:r>
            <w:r>
              <w:rPr>
                <w:rFonts w:ascii="Arial" w:cs="Arial" w:eastAsia="Arial" w:hAnsi="Arial"/>
                <w:sz w:val="23"/>
                <w:szCs w:val="23"/>
                <w:color w:val="auto"/>
                <w:vertAlign w:val="superscript"/>
              </w:rPr>
              <w:t>(1)</w:t>
            </w:r>
          </w:p>
        </w:tc>
        <w:tc>
          <w:tcPr>
            <w:tcW w:w="440" w:type="dxa"/>
            <w:vAlign w:val="bottom"/>
            <w:vMerge w:val="continue"/>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520" w:type="dxa"/>
            <w:vAlign w:val="bottom"/>
            <w:gridSpan w:val="2"/>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3760" w:type="dxa"/>
            <w:vAlign w:val="bottom"/>
            <w:tcBorders>
              <w:bottom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firstLine="8"/>
        <w:spacing w:after="0" w:line="293" w:lineRule="auto"/>
        <w:tabs>
          <w:tab w:leader="none" w:pos="136" w:val="left"/>
        </w:tabs>
        <w:numPr>
          <w:ilvl w:val="0"/>
          <w:numId w:val="6"/>
        </w:numPr>
        <w:rPr>
          <w:rFonts w:ascii="Arial" w:cs="Arial" w:eastAsia="Arial" w:hAnsi="Arial"/>
          <w:sz w:val="9"/>
          <w:szCs w:val="9"/>
          <w:color w:val="auto"/>
        </w:rPr>
      </w:pPr>
      <w:r>
        <w:rPr>
          <w:rFonts w:ascii="Arial" w:cs="Arial" w:eastAsia="Arial" w:hAnsi="Arial"/>
          <w:sz w:val="14"/>
          <w:szCs w:val="14"/>
          <w:color w:val="auto"/>
        </w:rPr>
        <w:t>Total unrecognized equity based compensation to be recognized in future periods is $7.5 million at June 30, 2023, and will be recognized over a weighted average period of 2.89 years. Equity based compensation expense is recorded within selling, general and administrative expenses on our condensed consolidated statements of comprehensive income.</w:t>
      </w:r>
    </w:p>
    <w:p>
      <w:pPr>
        <w:spacing w:after="0" w:line="138"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The Arhaus, Inc. 2021 Equity Incentive Plan (the “2021 Plan”) was adopted on November 8, 2021. The 2021 Plan authorizes the Company the ability to grant stock options (either incentive or non-qualified), stock appreciation rights (“SARs”), restricted stock, restricted stock units (“RSUs”), performance shares, performance share units (“PSUs”) and other stock-based awards with respect to our Class A common stock to our employees, officers, consultants, advisors and directors. The maximum number of Class A common stock that may be granted under the 2021 Plan is 11,205,100 shares.</w:t>
      </w:r>
    </w:p>
    <w:p>
      <w:pPr>
        <w:spacing w:after="0" w:line="13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of June 30, 2023, the Company has granted RSUs and PSUs to certain named executive officers and other key employees (“Award Recipient”). The Company has also issued RSU awards to certain members of the Board of Directors.</w:t>
      </w:r>
    </w:p>
    <w:p>
      <w:pPr>
        <w:spacing w:after="0" w:line="13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Each RSU represents a contingent right to receive one share of the Company’s Class A common stock upon vesting. The RSUs granted to Award Recipients vest in one-third increments on each of the first, second and third anniversary of the date of grant, provided that the Award Recipient continues to serve the Company through the applicable vesting date (“Continuous Service”). If the Award Recipient’s Continuous Service terminates for any reason other than death, disability or in connection with a change in control (as such terms are defined in the 2021 Plan), unless the Compensation Committee of the Board of Directors determines otherwise, all RSUs that are unvested at the time of such termination shall be forfeited and canceled immediately without consideration. The RSUs issued to certain members of the Board of Directors will vest on the one-year anniversary of the grant date. The Company accounts for forfeitures as they occur.</w:t>
      </w:r>
    </w:p>
    <w:p>
      <w:pPr>
        <w:spacing w:after="0" w:line="15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Each PSU represents a contingent right to receive one share of the Company’s Class A common stock upon vesting. The number of PSUs earned will be based on the Company’s financial performance as measured against pre-established target goals for cumulative demand revenue and cumulative adjusted EBITDA (the “Performance Goals”) over the applicable performance period. PSUs will vest as of the end of the performance period subject to the Award Recipient’s Continuous Service, but will not settle and payout until the number of PSUs earned is determined by the Compensation Committee. The Award Recipient may earn between 0% and 200% of the PSU target award based on the Company’s achievement of the Performance Goals. The Company accounts for forfeitures as they occur.</w:t>
      </w:r>
    </w:p>
    <w:p>
      <w:pPr>
        <w:spacing w:after="0" w:line="165"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The following table summarizes the activity of the Company’s PSU and RSU awards for the six months ended June 30, 2022, and their equity based compensation expense for the six and three months ended June 30, 2023 and 2022, respectively (amounts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5"/>
          </w:tcPr>
          <w:p>
            <w:pPr>
              <w:jc w:val="right"/>
              <w:ind w:right="310"/>
              <w:spacing w:after="0"/>
              <w:rPr>
                <w:sz w:val="20"/>
                <w:szCs w:val="20"/>
                <w:color w:val="auto"/>
              </w:rPr>
            </w:pPr>
            <w:r>
              <w:rPr>
                <w:rFonts w:ascii="Arial" w:cs="Arial" w:eastAsia="Arial" w:hAnsi="Arial"/>
                <w:sz w:val="18"/>
                <w:szCs w:val="18"/>
                <w:b w:val="1"/>
                <w:bCs w:val="1"/>
                <w:color w:val="auto"/>
              </w:rPr>
              <w:t>PSU Awards</w:t>
            </w: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7"/>
          </w:tcPr>
          <w:p>
            <w:pPr>
              <w:jc w:val="right"/>
              <w:ind w:right="870"/>
              <w:spacing w:after="0"/>
              <w:rPr>
                <w:sz w:val="20"/>
                <w:szCs w:val="20"/>
                <w:color w:val="auto"/>
              </w:rPr>
            </w:pPr>
            <w:r>
              <w:rPr>
                <w:rFonts w:ascii="Arial" w:cs="Arial" w:eastAsia="Arial" w:hAnsi="Arial"/>
                <w:sz w:val="18"/>
                <w:szCs w:val="18"/>
                <w:b w:val="1"/>
                <w:bCs w:val="1"/>
                <w:color w:val="auto"/>
              </w:rPr>
              <w:t>RSU Awards</w:t>
            </w:r>
          </w:p>
        </w:tc>
        <w:tc>
          <w:tcPr>
            <w:tcW w:w="400" w:type="dxa"/>
            <w:vAlign w:val="bottom"/>
            <w:tcBorders>
              <w:bottom w:val="single" w:sz="8" w:color="auto"/>
            </w:tcBorders>
          </w:tcPr>
          <w:p>
            <w:pPr>
              <w:spacing w:after="0"/>
              <w:rPr>
                <w:sz w:val="20"/>
                <w:szCs w:val="20"/>
                <w:color w:val="auto"/>
              </w:rPr>
            </w:pPr>
          </w:p>
        </w:tc>
      </w:tr>
      <w:tr>
        <w:trPr>
          <w:trHeight w:val="178"/>
        </w:trPr>
        <w:tc>
          <w:tcPr>
            <w:tcW w:w="3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3"/>
          </w:tcPr>
          <w:p>
            <w:pPr>
              <w:jc w:val="right"/>
              <w:ind w:right="110"/>
              <w:spacing w:after="0" w:line="177" w:lineRule="exact"/>
              <w:rPr>
                <w:sz w:val="20"/>
                <w:szCs w:val="20"/>
                <w:color w:val="auto"/>
              </w:rPr>
            </w:pPr>
            <w:r>
              <w:rPr>
                <w:rFonts w:ascii="Arial" w:cs="Arial" w:eastAsia="Arial" w:hAnsi="Arial"/>
                <w:sz w:val="18"/>
                <w:szCs w:val="18"/>
                <w:b w:val="1"/>
                <w:bCs w:val="1"/>
                <w:color w:val="auto"/>
                <w:w w:val="89"/>
              </w:rPr>
              <w:t>Weighted Average</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4"/>
          </w:tcPr>
          <w:p>
            <w:pPr>
              <w:jc w:val="right"/>
              <w:ind w:right="110"/>
              <w:spacing w:after="0" w:line="177" w:lineRule="exact"/>
              <w:rPr>
                <w:sz w:val="20"/>
                <w:szCs w:val="20"/>
                <w:color w:val="auto"/>
              </w:rPr>
            </w:pPr>
            <w:r>
              <w:rPr>
                <w:rFonts w:ascii="Arial" w:cs="Arial" w:eastAsia="Arial" w:hAnsi="Arial"/>
                <w:sz w:val="18"/>
                <w:szCs w:val="18"/>
                <w:b w:val="1"/>
                <w:bCs w:val="1"/>
                <w:color w:val="auto"/>
                <w:w w:val="89"/>
              </w:rPr>
              <w:t>Weighted Average</w:t>
            </w:r>
          </w:p>
        </w:tc>
      </w:tr>
      <w:tr>
        <w:trPr>
          <w:trHeight w:val="234"/>
        </w:trPr>
        <w:tc>
          <w:tcPr>
            <w:tcW w:w="31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ind w:right="490"/>
              <w:spacing w:after="0"/>
              <w:rPr>
                <w:sz w:val="20"/>
                <w:szCs w:val="20"/>
                <w:color w:val="auto"/>
              </w:rPr>
            </w:pPr>
            <w:r>
              <w:rPr>
                <w:rFonts w:ascii="Arial" w:cs="Arial" w:eastAsia="Arial" w:hAnsi="Arial"/>
                <w:sz w:val="18"/>
                <w:szCs w:val="18"/>
                <w:b w:val="1"/>
                <w:bCs w:val="1"/>
                <w:color w:val="auto"/>
              </w:rPr>
              <w:t>Amount</w:t>
            </w:r>
          </w:p>
        </w:tc>
        <w:tc>
          <w:tcPr>
            <w:tcW w:w="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6"/>
              </w:rPr>
              <w:t>Grant Date Fair Value</w:t>
            </w:r>
          </w:p>
        </w:tc>
        <w:tc>
          <w:tcPr>
            <w:tcW w:w="1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490"/>
              <w:spacing w:after="0"/>
              <w:rPr>
                <w:sz w:val="20"/>
                <w:szCs w:val="20"/>
                <w:color w:val="auto"/>
              </w:rPr>
            </w:pPr>
            <w:r>
              <w:rPr>
                <w:rFonts w:ascii="Arial" w:cs="Arial" w:eastAsia="Arial" w:hAnsi="Arial"/>
                <w:sz w:val="18"/>
                <w:szCs w:val="18"/>
                <w:b w:val="1"/>
                <w:bCs w:val="1"/>
                <w:color w:val="auto"/>
                <w:w w:val="99"/>
              </w:rPr>
              <w:t>Amount</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6"/>
              </w:rPr>
              <w:t>Grant Date Fair Value</w:t>
            </w:r>
          </w:p>
        </w:tc>
      </w:tr>
      <w:tr>
        <w:trPr>
          <w:trHeight w:val="223"/>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Unvested at December 31, 2022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513,125</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731,661</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5.84</w:t>
            </w:r>
          </w:p>
        </w:tc>
      </w:tr>
      <w:tr>
        <w:trPr>
          <w:trHeight w:val="237"/>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278,013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465,333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9.04</w:t>
            </w:r>
          </w:p>
        </w:tc>
      </w:tr>
      <w:tr>
        <w:trPr>
          <w:trHeight w:val="236"/>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52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w w:val="95"/>
              </w:rPr>
              <w:t>(22,561)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(39,837)</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6.70</w:t>
            </w:r>
          </w:p>
        </w:tc>
      </w:tr>
      <w:tr>
        <w:trPr>
          <w:trHeight w:val="230"/>
        </w:trPr>
        <w:tc>
          <w:tcPr>
            <w:tcW w:w="3140" w:type="dxa"/>
            <w:vAlign w:val="bottom"/>
          </w:tcPr>
          <w:p>
            <w:pPr>
              <w:ind w:left="20"/>
              <w:spacing w:after="0"/>
              <w:rPr>
                <w:sz w:val="20"/>
                <w:szCs w:val="20"/>
                <w:color w:val="auto"/>
              </w:rPr>
            </w:pPr>
            <w:r>
              <w:rPr>
                <w:rFonts w:ascii="Arial" w:cs="Arial" w:eastAsia="Arial" w:hAnsi="Arial"/>
                <w:sz w:val="18"/>
                <w:szCs w:val="18"/>
                <w:color w:val="auto"/>
              </w:rPr>
              <w:t>Vested</w:t>
            </w: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June 30, 2023</w:t>
            </w:r>
          </w:p>
        </w:tc>
        <w:tc>
          <w:tcPr>
            <w:tcW w:w="42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768,577</w:t>
            </w:r>
          </w:p>
        </w:tc>
        <w:tc>
          <w:tcPr>
            <w:tcW w:w="8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1,157,157</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7.10</w:t>
            </w:r>
          </w:p>
        </w:tc>
      </w:tr>
      <w:tr>
        <w:trPr>
          <w:trHeight w:val="20"/>
        </w:trPr>
        <w:tc>
          <w:tcPr>
            <w:tcW w:w="3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500"/>
        </w:trPr>
        <w:tc>
          <w:tcPr>
            <w:tcW w:w="3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8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8"/>
                <w:szCs w:val="18"/>
                <w:b w:val="1"/>
                <w:bCs w:val="1"/>
                <w:color w:val="auto"/>
              </w:rPr>
              <w:t>Six months ended June 30,</w:t>
            </w:r>
          </w:p>
        </w:tc>
        <w:tc>
          <w:tcPr>
            <w:tcW w:w="5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400" w:type="dxa"/>
            <w:vAlign w:val="bottom"/>
            <w:tcBorders>
              <w:bottom w:val="single" w:sz="8" w:color="auto"/>
            </w:tcBorders>
          </w:tcPr>
          <w:p>
            <w:pPr>
              <w:spacing w:after="0"/>
              <w:rPr>
                <w:sz w:val="24"/>
                <w:szCs w:val="24"/>
                <w:color w:val="auto"/>
              </w:rPr>
            </w:pPr>
          </w:p>
        </w:tc>
      </w:tr>
      <w:tr>
        <w:trPr>
          <w:trHeight w:val="223"/>
        </w:trPr>
        <w:tc>
          <w:tcPr>
            <w:tcW w:w="3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4"/>
              </w:rPr>
              <w:t>2023</w:t>
            </w: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bottom w:val="single" w:sz="8" w:color="auto"/>
            </w:tcBorders>
            <w:gridSpan w:val="2"/>
          </w:tcPr>
          <w:p>
            <w:pPr>
              <w:jc w:val="right"/>
              <w:ind w:right="20"/>
              <w:spacing w:after="0" w:line="223" w:lineRule="exact"/>
              <w:rPr>
                <w:sz w:val="20"/>
                <w:szCs w:val="20"/>
                <w:color w:val="auto"/>
              </w:rPr>
            </w:pPr>
            <w:r>
              <w:rPr>
                <w:rFonts w:ascii="Arial" w:cs="Arial" w:eastAsia="Arial" w:hAnsi="Arial"/>
                <w:sz w:val="18"/>
                <w:szCs w:val="18"/>
                <w:b w:val="1"/>
                <w:bCs w:val="1"/>
                <w:color w:val="auto"/>
              </w:rPr>
              <w:t>2022</w:t>
            </w:r>
            <w:r>
              <w:rPr>
                <w:rFonts w:ascii="Arial" w:cs="Arial" w:eastAsia="Arial" w:hAnsi="Arial"/>
                <w:sz w:val="23"/>
                <w:szCs w:val="23"/>
                <w:b w:val="1"/>
                <w:bCs w:val="1"/>
                <w:color w:val="auto"/>
                <w:vertAlign w:val="superscript"/>
              </w:rPr>
              <w:t>(1)</w:t>
            </w:r>
          </w:p>
        </w:tc>
        <w:tc>
          <w:tcPr>
            <w:tcW w:w="5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18"/>
                <w:szCs w:val="18"/>
                <w:b w:val="1"/>
                <w:bCs w:val="1"/>
                <w:color w:val="auto"/>
              </w:rPr>
              <w:t>2022</w:t>
            </w:r>
            <w:r>
              <w:rPr>
                <w:rFonts w:ascii="Arial" w:cs="Arial" w:eastAsia="Arial" w:hAnsi="Arial"/>
                <w:sz w:val="23"/>
                <w:szCs w:val="23"/>
                <w:b w:val="1"/>
                <w:bCs w:val="1"/>
                <w:color w:val="auto"/>
                <w:vertAlign w:val="superscript"/>
              </w:rPr>
              <w:t>(1)</w:t>
            </w:r>
          </w:p>
        </w:tc>
        <w:tc>
          <w:tcPr>
            <w:tcW w:w="400" w:type="dxa"/>
            <w:vAlign w:val="bottom"/>
            <w:tcBorders>
              <w:bottom w:val="single" w:sz="8" w:color="auto"/>
            </w:tcBorders>
          </w:tcPr>
          <w:p>
            <w:pPr>
              <w:spacing w:after="0"/>
              <w:rPr>
                <w:sz w:val="19"/>
                <w:szCs w:val="19"/>
                <w:color w:val="auto"/>
              </w:rPr>
            </w:pPr>
          </w:p>
        </w:tc>
      </w:tr>
      <w:tr>
        <w:trPr>
          <w:trHeight w:val="237"/>
        </w:trPr>
        <w:tc>
          <w:tcPr>
            <w:tcW w:w="3560" w:type="dxa"/>
            <w:vAlign w:val="bottom"/>
            <w:gridSpan w:val="2"/>
            <w:shd w:val="clear" w:color="auto" w:fill="CCEEFF"/>
          </w:tcPr>
          <w:p>
            <w:pPr>
              <w:ind w:left="20"/>
              <w:spacing w:after="0" w:line="236" w:lineRule="exact"/>
              <w:rPr>
                <w:sz w:val="20"/>
                <w:szCs w:val="20"/>
                <w:color w:val="auto"/>
              </w:rPr>
            </w:pPr>
            <w:r>
              <w:rPr>
                <w:rFonts w:ascii="Arial" w:cs="Arial" w:eastAsia="Arial" w:hAnsi="Arial"/>
                <w:sz w:val="18"/>
                <w:szCs w:val="18"/>
                <w:color w:val="auto"/>
                <w:w w:val="93"/>
              </w:rPr>
              <w:t>Equity based compensation expense - PSUs</w:t>
            </w:r>
            <w:r>
              <w:rPr>
                <w:rFonts w:ascii="Arial" w:cs="Arial" w:eastAsia="Arial" w:hAnsi="Arial"/>
                <w:sz w:val="23"/>
                <w:szCs w:val="23"/>
                <w:color w:val="auto"/>
                <w:w w:val="93"/>
                <w:vertAlign w:val="superscript"/>
              </w:rPr>
              <w:t>(2)</w:t>
            </w:r>
          </w:p>
        </w:tc>
        <w:tc>
          <w:tcPr>
            <w:tcW w:w="14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104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812</w:t>
            </w:r>
          </w:p>
        </w:tc>
        <w:tc>
          <w:tcPr>
            <w:tcW w:w="1220" w:type="dxa"/>
            <w:vAlign w:val="bottom"/>
            <w:gridSpan w:val="3"/>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304"/>
        </w:trPr>
        <w:tc>
          <w:tcPr>
            <w:tcW w:w="3560" w:type="dxa"/>
            <w:vAlign w:val="bottom"/>
            <w:gridSpan w:val="2"/>
          </w:tcPr>
          <w:p>
            <w:pPr>
              <w:ind w:left="20"/>
              <w:spacing w:after="0"/>
              <w:rPr>
                <w:sz w:val="20"/>
                <w:szCs w:val="20"/>
                <w:color w:val="auto"/>
              </w:rPr>
            </w:pPr>
            <w:r>
              <w:rPr>
                <w:rFonts w:ascii="Arial" w:cs="Arial" w:eastAsia="Arial" w:hAnsi="Arial"/>
                <w:sz w:val="18"/>
                <w:szCs w:val="18"/>
                <w:color w:val="auto"/>
                <w:w w:val="93"/>
              </w:rPr>
              <w:t>Equity based compensation expense - RSUs</w:t>
            </w:r>
            <w:r>
              <w:rPr>
                <w:rFonts w:ascii="Arial" w:cs="Arial" w:eastAsia="Arial" w:hAnsi="Arial"/>
                <w:sz w:val="23"/>
                <w:szCs w:val="23"/>
                <w:color w:val="auto"/>
                <w:w w:val="93"/>
                <w:vertAlign w:val="superscript"/>
              </w:rPr>
              <w:t>(3)</w:t>
            </w:r>
          </w:p>
        </w:tc>
        <w:tc>
          <w:tcPr>
            <w:tcW w:w="14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1,299</w:t>
            </w:r>
          </w:p>
        </w:tc>
        <w:tc>
          <w:tcPr>
            <w:tcW w:w="104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990"/>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w w:val="86"/>
              </w:rPr>
              <w:t>800</w:t>
            </w:r>
          </w:p>
        </w:tc>
        <w:tc>
          <w:tcPr>
            <w:tcW w:w="1220" w:type="dxa"/>
            <w:vAlign w:val="bottom"/>
            <w:gridSpan w:val="3"/>
          </w:tcPr>
          <w:p>
            <w:pPr>
              <w:jc w:val="right"/>
              <w:ind w:right="87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7946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At the six and three months ended June 30, 2022 there were no PSUs or RSUs yet granted under the 2021 Plan.</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Arhaus,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80" w:firstLine="8"/>
        <w:spacing w:after="0" w:line="287" w:lineRule="auto"/>
        <w:tabs>
          <w:tab w:leader="none" w:pos="132" w:val="left"/>
        </w:tabs>
        <w:numPr>
          <w:ilvl w:val="0"/>
          <w:numId w:val="7"/>
        </w:numPr>
        <w:rPr>
          <w:rFonts w:ascii="Arial" w:cs="Arial" w:eastAsia="Arial" w:hAnsi="Arial"/>
          <w:sz w:val="15"/>
          <w:szCs w:val="15"/>
          <w:b w:val="1"/>
          <w:bCs w:val="1"/>
          <w:color w:val="auto"/>
          <w:vertAlign w:val="superscript"/>
        </w:rPr>
      </w:pPr>
      <w:r>
        <w:rPr>
          <w:rFonts w:ascii="Arial" w:cs="Arial" w:eastAsia="Arial" w:hAnsi="Arial"/>
          <w:sz w:val="11"/>
          <w:szCs w:val="11"/>
          <w:color w:val="auto"/>
        </w:rPr>
        <w:t>Total unrecognized equity based compensation for the PSUs to be recognized in future periods is $5.3 million at June 30, 2023, and will be recognized over a weighted average period of 1.93 years. Equity based compensation expense is recorded within selling, general and administrative expenses on our condensed consolidated statements of comprehensive income.</w:t>
      </w:r>
    </w:p>
    <w:p>
      <w:pPr>
        <w:ind w:right="60" w:firstLine="8"/>
        <w:spacing w:after="0" w:line="338" w:lineRule="auto"/>
        <w:tabs>
          <w:tab w:leader="none" w:pos="132" w:val="left"/>
        </w:tabs>
        <w:numPr>
          <w:ilvl w:val="0"/>
          <w:numId w:val="7"/>
        </w:numPr>
        <w:rPr>
          <w:rFonts w:ascii="Arial" w:cs="Arial" w:eastAsia="Arial" w:hAnsi="Arial"/>
          <w:sz w:val="15"/>
          <w:szCs w:val="15"/>
          <w:color w:val="auto"/>
          <w:vertAlign w:val="superscript"/>
        </w:rPr>
      </w:pPr>
      <w:r>
        <w:rPr>
          <w:rFonts w:ascii="Arial" w:cs="Arial" w:eastAsia="Arial" w:hAnsi="Arial"/>
          <w:sz w:val="11"/>
          <w:szCs w:val="11"/>
          <w:color w:val="auto"/>
        </w:rPr>
        <w:t>Total unrecognized equity based compensation for the RSUs to be recognized in future periods is $6.2 million at June 30, 2023, and will be recognized over a weighted average period of 2.27 years. Equity based compensation expense is recorded within selling, general and administrative expenses on our condensed consolidated statements of comprehensive income.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Segment Reporting</w:t>
      </w:r>
    </w:p>
    <w:p>
      <w:pPr>
        <w:spacing w:after="0" w:line="18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chief operating decision maker is our Chief Executive Officer (“CEO”), who reviews financial information presented on a consolidated basis for purposes of making decisions, assessing financial performance and allocating resources. We operate our business as one operating segment and therefore we have one reportable segment that offers an assortment of merchandise across a number of categories, including furniture, outdoor, lighting, textiles, and décor. The assortment of merchandise can be purchased through our retail and eCommerce sales channels.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The majority of our net revenue is generated through sales to clients in the United States. Sales to clients outside of the United States are not significant.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Further, no single client represents more than ten percent or more of our net revenue.</w:t>
      </w:r>
    </w:p>
    <w:p>
      <w:pPr>
        <w:spacing w:after="0" w:line="1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shows net revenue by merchandise sales channel for the six and three months ended June 30, 2023 and 2022, respectively (amounts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304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Six months ended June 30,</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w w:val="99"/>
              </w:rPr>
              <w:t>Three months ended June 30,</w:t>
            </w:r>
          </w:p>
        </w:tc>
      </w:tr>
      <w:tr>
        <w:trPr>
          <w:trHeight w:val="230"/>
        </w:trPr>
        <w:tc>
          <w:tcPr>
            <w:tcW w:w="34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70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2022</w:t>
            </w: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Retail</w:t>
            </w:r>
          </w:p>
        </w:tc>
        <w:tc>
          <w:tcPr>
            <w:tcW w:w="1140" w:type="dxa"/>
            <w:vAlign w:val="bottom"/>
            <w:tcBorders>
              <w:top w:val="single" w:sz="8" w:color="auto"/>
            </w:tcBorders>
          </w:tcPr>
          <w:p>
            <w:pPr>
              <w:jc w:val="right"/>
              <w:ind w:right="9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506,838</w:t>
            </w:r>
          </w:p>
        </w:tc>
        <w:tc>
          <w:tcPr>
            <w:tcW w:w="80" w:type="dxa"/>
            <w:vAlign w:val="bottom"/>
          </w:tcPr>
          <w:p>
            <w:pPr>
              <w:spacing w:after="0"/>
              <w:rPr>
                <w:sz w:val="19"/>
                <w:szCs w:val="19"/>
                <w:color w:val="auto"/>
              </w:rPr>
            </w:pPr>
          </w:p>
        </w:tc>
        <w:tc>
          <w:tcPr>
            <w:tcW w:w="112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458,965</w:t>
            </w:r>
          </w:p>
        </w:tc>
        <w:tc>
          <w:tcPr>
            <w:tcW w:w="100" w:type="dxa"/>
            <w:vAlign w:val="bottom"/>
          </w:tcPr>
          <w:p>
            <w:pPr>
              <w:spacing w:after="0"/>
              <w:rPr>
                <w:sz w:val="19"/>
                <w:szCs w:val="19"/>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256,736</w:t>
            </w:r>
          </w:p>
        </w:tc>
        <w:tc>
          <w:tcPr>
            <w:tcW w:w="100" w:type="dxa"/>
            <w:vAlign w:val="bottom"/>
          </w:tcPr>
          <w:p>
            <w:pPr>
              <w:spacing w:after="0"/>
              <w:rPr>
                <w:sz w:val="19"/>
                <w:szCs w:val="19"/>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256,395</w:t>
            </w:r>
          </w:p>
        </w:tc>
      </w:tr>
      <w:tr>
        <w:trPr>
          <w:trHeight w:val="229"/>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eCommerce</w:t>
            </w:r>
          </w:p>
        </w:tc>
        <w:tc>
          <w:tcPr>
            <w:tcW w:w="1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110,629</w:t>
            </w:r>
          </w:p>
        </w:tc>
        <w:tc>
          <w:tcPr>
            <w:tcW w:w="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93,600</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56,163</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49,870</w:t>
            </w:r>
          </w:p>
        </w:tc>
      </w:tr>
      <w:tr>
        <w:trPr>
          <w:trHeight w:val="237"/>
        </w:trPr>
        <w:tc>
          <w:tcPr>
            <w:tcW w:w="3480" w:type="dxa"/>
            <w:vAlign w:val="bottom"/>
          </w:tcPr>
          <w:p>
            <w:pPr>
              <w:ind w:left="20"/>
              <w:spacing w:after="0"/>
              <w:rPr>
                <w:sz w:val="20"/>
                <w:szCs w:val="20"/>
                <w:color w:val="auto"/>
              </w:rPr>
            </w:pPr>
            <w:r>
              <w:rPr>
                <w:rFonts w:ascii="Arial" w:cs="Arial" w:eastAsia="Arial" w:hAnsi="Arial"/>
                <w:sz w:val="18"/>
                <w:szCs w:val="18"/>
                <w:color w:val="auto"/>
              </w:rPr>
              <w:t>Total net revenue</w:t>
            </w: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2"/>
              </w:rPr>
              <w:t>617,467</w:t>
            </w:r>
          </w:p>
        </w:tc>
        <w:tc>
          <w:tcPr>
            <w:tcW w:w="1200" w:type="dxa"/>
            <w:vAlign w:val="bottom"/>
            <w:gridSpan w:val="2"/>
          </w:tcPr>
          <w:p>
            <w:pPr>
              <w:jc w:val="right"/>
              <w:ind w:right="9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2"/>
              </w:rPr>
              <w:t>552,565</w:t>
            </w:r>
          </w:p>
        </w:tc>
        <w:tc>
          <w:tcPr>
            <w:tcW w:w="5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312,899</w:t>
            </w:r>
          </w:p>
        </w:tc>
        <w:tc>
          <w:tcPr>
            <w:tcW w:w="5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306,265</w:t>
            </w:r>
          </w:p>
        </w:tc>
      </w:tr>
      <w:tr>
        <w:trPr>
          <w:trHeight w:val="20"/>
        </w:trPr>
        <w:tc>
          <w:tcPr>
            <w:tcW w:w="34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and Comprehensive Income per Share</w:t>
      </w:r>
    </w:p>
    <w:p>
      <w:pPr>
        <w:spacing w:after="0" w:line="18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Basic and diluted net and comprehensive income per share for the six and three months ended June 30, 2023 and 2022, was calculated by dividing net and comprehensive income by the number of basic and diluted weighted average common shares outstanding.</w:t>
      </w:r>
    </w:p>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Basic and diluted net and comprehensive income per share for the six and three months ended June 30, 2023 and 2022, is as follows (amounts in thousands except share and per share data):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w w:val="95"/>
              </w:rPr>
              <w:t>Six months ended June 30,</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center"/>
              <w:ind w:right="210"/>
              <w:spacing w:after="0"/>
              <w:rPr>
                <w:sz w:val="20"/>
                <w:szCs w:val="20"/>
                <w:color w:val="auto"/>
              </w:rPr>
            </w:pPr>
            <w:r>
              <w:rPr>
                <w:rFonts w:ascii="Arial" w:cs="Arial" w:eastAsia="Arial" w:hAnsi="Arial"/>
                <w:sz w:val="18"/>
                <w:szCs w:val="18"/>
                <w:b w:val="1"/>
                <w:bCs w:val="1"/>
                <w:color w:val="auto"/>
                <w:w w:val="88"/>
              </w:rPr>
              <w:t>Three months ended June 30,</w:t>
            </w:r>
          </w:p>
        </w:tc>
      </w:tr>
      <w:tr>
        <w:trPr>
          <w:trHeight w:val="223"/>
        </w:trPr>
        <w:tc>
          <w:tcPr>
            <w:tcW w:w="48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r>
      <w:tr>
        <w:trPr>
          <w:trHeight w:val="223"/>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4880" w:type="dxa"/>
            <w:vAlign w:val="bottom"/>
          </w:tcPr>
          <w:p>
            <w:pPr>
              <w:ind w:left="20"/>
              <w:spacing w:after="0"/>
              <w:rPr>
                <w:sz w:val="20"/>
                <w:szCs w:val="20"/>
                <w:color w:val="auto"/>
              </w:rPr>
            </w:pPr>
            <w:r>
              <w:rPr>
                <w:rFonts w:ascii="Arial" w:cs="Arial" w:eastAsia="Arial" w:hAnsi="Arial"/>
                <w:sz w:val="18"/>
                <w:szCs w:val="18"/>
                <w:color w:val="auto"/>
              </w:rPr>
              <w:t>Net and comprehensive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74,282</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52,697</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40,183</w:t>
            </w:r>
          </w:p>
        </w:tc>
        <w:tc>
          <w:tcPr>
            <w:tcW w:w="4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36,639</w:t>
            </w:r>
          </w:p>
        </w:tc>
      </w:tr>
      <w:tr>
        <w:trPr>
          <w:trHeight w:val="270"/>
        </w:trPr>
        <w:tc>
          <w:tcPr>
            <w:tcW w:w="48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39"/>
        </w:trPr>
        <w:tc>
          <w:tcPr>
            <w:tcW w:w="4880" w:type="dxa"/>
            <w:vAlign w:val="bottom"/>
          </w:tcPr>
          <w:p>
            <w:pPr>
              <w:ind w:left="20"/>
              <w:spacing w:after="0"/>
              <w:rPr>
                <w:sz w:val="20"/>
                <w:szCs w:val="20"/>
                <w:color w:val="auto"/>
              </w:rPr>
            </w:pPr>
            <w:r>
              <w:rPr>
                <w:rFonts w:ascii="Arial" w:cs="Arial" w:eastAsia="Arial" w:hAnsi="Arial"/>
                <w:sz w:val="18"/>
                <w:szCs w:val="18"/>
                <w:b w:val="1"/>
                <w:bCs w:val="1"/>
                <w:color w:val="auto"/>
              </w:rPr>
              <w:t>Denominator—Weighted Average Shares Outstanding</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34"/>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Weighted-average number of common shares outstanding, basic</w:t>
            </w: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139,232,238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137,662,601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139,389,967</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137,840,691</w:t>
            </w:r>
          </w:p>
        </w:tc>
      </w:tr>
      <w:tr>
        <w:trPr>
          <w:trHeight w:val="230"/>
        </w:trPr>
        <w:tc>
          <w:tcPr>
            <w:tcW w:w="48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Effect of dilutive restricted stock </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727,705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1,731,454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589,961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1,613,418</w:t>
            </w:r>
          </w:p>
        </w:tc>
      </w:tr>
      <w:tr>
        <w:trPr>
          <w:trHeight w:val="243"/>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Weighted-average number of common shares outstanding, diluted</w:t>
            </w: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139,959,943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139,394,055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139,979,928</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139,454,109</w:t>
            </w:r>
          </w:p>
        </w:tc>
      </w:tr>
      <w:tr>
        <w:trPr>
          <w:trHeight w:val="270"/>
        </w:trPr>
        <w:tc>
          <w:tcPr>
            <w:tcW w:w="4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and Comprehensive Income Per Share</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4880" w:type="dxa"/>
            <w:vAlign w:val="bottom"/>
          </w:tcPr>
          <w:p>
            <w:pPr>
              <w:ind w:left="20"/>
              <w:spacing w:after="0"/>
              <w:rPr>
                <w:sz w:val="20"/>
                <w:szCs w:val="20"/>
                <w:color w:val="auto"/>
              </w:rPr>
            </w:pPr>
            <w:r>
              <w:rPr>
                <w:rFonts w:ascii="Arial" w:cs="Arial" w:eastAsia="Arial" w:hAnsi="Arial"/>
                <w:sz w:val="18"/>
                <w:szCs w:val="18"/>
                <w:color w:val="auto"/>
              </w:rPr>
              <w:t>Net and comprehensive income per share, 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0.53</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0.38</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0.29</w:t>
            </w:r>
          </w:p>
        </w:tc>
        <w:tc>
          <w:tcPr>
            <w:tcW w:w="4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0.27</w:t>
            </w:r>
          </w:p>
        </w:tc>
      </w:tr>
      <w:tr>
        <w:trPr>
          <w:trHeight w:val="243"/>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and comprehensive income per share, diluted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4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r>
      <w:tr>
        <w:trPr>
          <w:trHeight w:val="94"/>
        </w:trPr>
        <w:tc>
          <w:tcPr>
            <w:tcW w:w="48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60" w:type="dxa"/>
            <w:vAlign w:val="bottom"/>
          </w:tcPr>
          <w:p>
            <w:pPr>
              <w:spacing w:after="0"/>
              <w:rPr>
                <w:sz w:val="8"/>
                <w:szCs w:val="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Arhaus,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8"/>
        <w:spacing w:after="0" w:line="277" w:lineRule="auto"/>
        <w:tabs>
          <w:tab w:leader="none" w:pos="154" w:val="left"/>
        </w:tabs>
        <w:numPr>
          <w:ilvl w:val="0"/>
          <w:numId w:val="8"/>
        </w:numPr>
        <w:rPr>
          <w:rFonts w:ascii="Arial" w:cs="Arial" w:eastAsia="Arial" w:hAnsi="Arial"/>
          <w:sz w:val="9"/>
          <w:szCs w:val="9"/>
          <w:color w:val="auto"/>
        </w:rPr>
      </w:pPr>
      <w:r>
        <w:rPr>
          <w:rFonts w:ascii="Arial" w:cs="Arial" w:eastAsia="Arial" w:hAnsi="Arial"/>
          <w:sz w:val="14"/>
          <w:szCs w:val="14"/>
          <w:color w:val="auto"/>
        </w:rPr>
        <w:t>During the six and three months ended June 30, 2023, 710,490 and 773,662 shares of unvested restricted stock and RSUs were excluded from the computation of diluted earnings per share because their effect would have been anti-dilutive. During the six and three months ended June 30, 2022, 618,387 and 554,070 shares of unvested restricted stock and RSUs were excluded from the computation of diluted earnings per share because their effect would have been anti-dilutive.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0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Company is involved in litigation and claims that are incidental to its business. Although the outcome of these matters cannot be determined at the present time, management of the Company believes that the ultimate resolution of these matters will not have a material adverse effect on the Company’s consolidated financial position, results of operations or cash flows.</w:t>
      </w:r>
    </w:p>
    <w:p>
      <w:pPr>
        <w:spacing w:after="0" w:line="14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From time to time, the Company has received inquiries from a number of state and local taxing agencies with respect to the remittance of sales, use, telecommunications, excise, and income taxes. Several jurisdictions are currently conducting tax audits of the Company's records. The Company collects, or has accrued for, taxes that it believes are required to be remitted. The amounts that have been remitted have historically been within the accruals established by the Company. The Company adjusts its accrual when facts relating to specific exposures warrant such adjustment. As of June 30, 2023 and December 31, 2022, we recorded liabilities of $0.3 million and $0.4 million, respectively, in accrued taxes on the condensed consolidated balance sheets for non-income tax matters that were probable and reasonably estimable.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Related Party Transactions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Leasing transactio</w:t>
      </w:r>
      <w:r>
        <w:rPr>
          <w:rFonts w:ascii="Arial" w:cs="Arial" w:eastAsia="Arial" w:hAnsi="Arial"/>
          <w:sz w:val="18"/>
          <w:szCs w:val="18"/>
          <w:color w:val="auto"/>
        </w:rPr>
        <w:t>ns</w:t>
      </w:r>
    </w:p>
    <w:p>
      <w:pPr>
        <w:spacing w:after="0" w:line="18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November 2000, the Company entered into a lease agreement with Pagoda Partners, LLC, a company of which John Reed, our CEO, indirectly owns 50%, for our warehouse in Walton Hills, Ohio. The base lease term was 17 years with a 5-year renewal option. In August 2020, the Company amended the lease agreement to extend the lease term to April 2024. The monthly rental payments are $0.1 million. In July 2023, the Company amended the lease agreement to extend the lease term to April 2034 with one additional 5-year renewal option. The monthly rental payments range from $0.1 million to $0.2 million. Rent expense was $0.7 million and $0.7 million for the six months ended June 30, 2023 and 2022, respectively. Rent expense was $0.4 million and $0.4 million for the three months ended June 30, 2023 and 2022, respectively.</w:t>
      </w:r>
    </w:p>
    <w:p>
      <w:pPr>
        <w:spacing w:after="0" w:line="13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In July 2010, the Company entered into a lease agreement with Brooklyn Arhaus, a company of which our CEO and Mr. Beargie, a Director of the Company, own 85% and 15%, respectively, for our Outlet in Brooklyn, Ohio. The base lease term is 15 years with no lease renewal options. The monthly rental payments are $20 thousand. Rent expense was $0.2 million and $0.2 million for the six months ended June 30, 2023 and 2022, respectively. Rent expense was $0.1 million and $0.1 million for the three months ended June 30, 2023 and 2022, respectively.</w:t>
      </w:r>
    </w:p>
    <w:p>
      <w:pPr>
        <w:spacing w:after="0" w:line="144"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March 2021, the Company entered into a lease agreement with Premier Conover, LLC, a company of which our CEO indirectly owns 40%, for a distribution center and manufacturing building, for which construction was completed in the fourth quarter of 2021. The base lease term is for 12 years, with a 10-year renewal option and two additional 5-year renewal options at the higher of the minimum base rent or the fair market rent at the time of renewal execution. The monthly rental payments range from $0.2 million to $0.3 million during the 12-year base lease term and from $0.4 million to $0.5 million during the 10-year renewal period. Rent expense was $2.0 million and $1.8 million for the six months ended June 30, 2023 and 2022, respectively. Rent expense was $1.0 million and $0.9 million for the three months ended June 30, 2023 and 2022,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transactions</w:t>
      </w:r>
    </w:p>
    <w:p>
      <w:pPr>
        <w:spacing w:after="0" w:line="18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accounts payable due to related parties for state and federal income tax refunds were $1.8 million and $1.8 million at June 30, 2023 and December 31, 2022, respectively, and are included within accounts payable on the condensed consolidated balance sheets.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Arhaus, Inc. and Subsidiaries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Income tax expenses were $26.5 million and $18.3 million in the six months ended June 30, 2023 and 2022, respectively. Income tax expenses were $14.4</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million and $12.4 million in the three months ended June 30, 2023 and 2022, respectively. The effective tax rate was 26.3% and 25.8% for the six months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June 30, 2023 and 2022, respectively. The effective tax rate was 26.3% and 25.3% for the three months ended June 30, 2023 and 2022, respectively.</w:t>
      </w:r>
    </w:p>
    <w:p>
      <w:pPr>
        <w:spacing w:after="0" w:line="180"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As of June 30, 2023, no unrecognized tax benefits have been recognized. The Company files income tax returns in the U.S. and various state and local jurisdictions. The tax years after 2018 remain open to examination by the state taxing jurisdictions in which the Company is subject to tax. As of June 30, 2023, the Company was not under examination by the Internal Revenue Service or any state tax jurisdiction.</w:t>
      </w:r>
    </w:p>
    <w:p>
      <w:pPr>
        <w:spacing w:after="0" w:line="200" w:lineRule="exact"/>
        <w:rPr>
          <w:sz w:val="20"/>
          <w:szCs w:val="20"/>
          <w:color w:val="auto"/>
        </w:rPr>
      </w:pPr>
    </w:p>
    <w:p>
      <w:pPr>
        <w:spacing w:after="0" w:line="37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condensed consolidated financial statements and the related notes included elsewhere in this Form 10-Q and our Annual Report on Form 10-K for the year ended December 31, 2022. This Quarterly Report on Form 10-Q contains forward looking statements that involve risks and uncertainties, as well as assumptions that, if they do not fully materialize or are proven incorrect, could cause our business and results of operations to differ materially from those expressed or implied by such forward-looking statements. Forward-looking statements can generally be identified by the use of forward-looking terminology, including, but not limited to, “may,” “could,” “seek,” “guidance,” “predict,” “potential,” “likely,” “believe,” “will,” “expect,” “anticipate,” “estimate,” “plan,” “intend,” “believe,” “forecast,” or variations of these terms and similar expressions, or the negative of these terms or similar expressions. Past performance is not a guarantee of future results or returns and no representation or warranty is made regarding future performance. Such forward-looking statements involve known and unknown risks, uncertainties and other important factors beyond our control that could cause our actual results, performance or achievements to be materially different from the expected results, performance or achievements expressed or implied by such forward-looking statements. Such factors include, but are not limited to, the following:</w:t>
      </w:r>
    </w:p>
    <w:p>
      <w:pPr>
        <w:spacing w:after="0" w:line="14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manage and maintain the growth rate of our business;</w:t>
      </w:r>
    </w:p>
    <w:p>
      <w:pPr>
        <w:spacing w:after="0" w:line="23" w:lineRule="exact"/>
        <w:rPr>
          <w:rFonts w:ascii="Arial" w:cs="Arial" w:eastAsia="Arial" w:hAnsi="Arial"/>
          <w:sz w:val="18"/>
          <w:szCs w:val="18"/>
          <w:i w:val="1"/>
          <w:iCs w:val="1"/>
          <w:color w:val="auto"/>
        </w:rPr>
      </w:pPr>
    </w:p>
    <w:p>
      <w:pPr>
        <w:ind w:left="660" w:hanging="328"/>
        <w:spacing w:after="0"/>
        <w:tabs>
          <w:tab w:leader="none" w:pos="6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obtain quality merchandise in sufficient quantities;</w:t>
      </w:r>
    </w:p>
    <w:p>
      <w:pPr>
        <w:spacing w:after="0" w:line="9" w:lineRule="exact"/>
        <w:rPr>
          <w:rFonts w:ascii="Arial" w:cs="Arial" w:eastAsia="Arial" w:hAnsi="Arial"/>
          <w:sz w:val="18"/>
          <w:szCs w:val="18"/>
          <w:i w:val="1"/>
          <w:iCs w:val="1"/>
          <w:color w:val="auto"/>
        </w:rPr>
      </w:pPr>
    </w:p>
    <w:p>
      <w:pPr>
        <w:ind w:left="660" w:right="120" w:hanging="328"/>
        <w:spacing w:after="0" w:line="250" w:lineRule="auto"/>
        <w:tabs>
          <w:tab w:leader="none" w:pos="6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Disruption in our receiving and distribution system, including delays in the integration of our new distribution centers and the possibility that we may not realize the anticipated benefits of multiple distribution centers;</w:t>
      </w:r>
    </w:p>
    <w:p>
      <w:pPr>
        <w:ind w:left="660" w:hanging="328"/>
        <w:spacing w:after="0"/>
        <w:tabs>
          <w:tab w:leader="none" w:pos="6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The possibility of cyberattacks and our ability to maintain adequate cybersecurity systems and procedures;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Loss, corruption and misappropriation of data and information relating to clients and employees;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and compliance with applicable data privacy rules and regulations;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Risks as a result of constraints in our supply chain;</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A failure of our vendors to meet our quality standards;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Declines in general economic conditions that affect consumer confidence and consumer spending that could adversely affect our revenue;</w:t>
      </w:r>
    </w:p>
    <w:p>
      <w:pPr>
        <w:spacing w:after="0" w:line="20" w:lineRule="exact"/>
        <w:rPr>
          <w:rFonts w:ascii="Arial" w:cs="Arial" w:eastAsia="Arial" w:hAnsi="Arial"/>
          <w:sz w:val="17"/>
          <w:szCs w:val="17"/>
          <w:i w:val="1"/>
          <w:iCs w:val="1"/>
          <w:color w:val="auto"/>
        </w:rPr>
      </w:pPr>
    </w:p>
    <w:p>
      <w:pPr>
        <w:ind w:left="660" w:hanging="328"/>
        <w:spacing w:after="0"/>
        <w:tabs>
          <w:tab w:leader="none" w:pos="6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anticipate changes in consumer preferences;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maintaining and increasing Showroom traffic and sales;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compete in our market;</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adequately protect our intellectual property;</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Compliance with applicable governmental regulations;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Effectively managing our eCommerce business and digital marketing efforts;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Our reliance on third-party transportation carriers and risks associated with freight and transportation costs;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The COVID-19 pandemic and its effect on our business; and</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Compliance with SEC rules and regulations as a public reporting company.</w:t>
      </w:r>
    </w:p>
    <w:p>
      <w:pPr>
        <w:spacing w:after="0" w:line="1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i w:val="1"/>
          <w:iCs w:val="1"/>
          <w:color w:val="auto"/>
        </w:rPr>
        <w:t>The risks, uncertainties and assumptions referred to above that could cause our results to differ materially from the results expressed or implied by such forward-looking statements include, but are not limited to, those discussed under Item 1A. Risk Factors, Item 7. Management's Discussion and Analysis of Financial Condition and Results of Operations, and elsewhere in our Annual Report on Form 10-K for the year ended December 31, 2022. All forward-looking statements included in this document are based on information available to us as of the date hereof, and we assume no obligation to update these forward-looking statements. These statements are based on information available to us as of the date of this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51"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i w:val="1"/>
          <w:iCs w:val="1"/>
          <w:color w:val="auto"/>
        </w:rPr>
        <w:t>The following discussion contains references to the six and three months ended June 30, 2023 and 2022, which represents the condensed consolidated financial results of Arhaus, Inc. and subsidiaries for the six and three months ended June 30, 2023 and 2022, respectively.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Arhaus is a rapidly growing lifestyle brand and premium retailer in the U.S. home furnishings market, specializing in livable luxury supported by globally-sourced, heirloom-quality merchandise. We offer a differentiated direct-to-consumer approach to furniture and décor. Our curated assortments are presented across our sales channels in sophisticated, family friendly and unique lifestyle settings. We offer merchandise assortments across a number of categories, including furniture,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lighting, textiles, décor, and outdoor. Our products, designed to be used and enjoyed throughout the home, are sourced directly from factories and vendors with no wholesale or dealer markup, allowing us to offer an exclusive assortment at an attractive value. Our direct sourcing network consists of more than 400 vendors, some of whom we have had relationships with since our founding. Our product development teams work alongside our direct sourcing partners to bring to market proprietary merchandise that is a great value to clients, while delivering attractive margins.</w:t>
      </w:r>
    </w:p>
    <w:p>
      <w:pPr>
        <w:spacing w:after="0" w:line="144"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We believe in providing a dynamic and welcoming experience in our Showrooms and online with the conviction that retail is theater. Our national omni-channel business positions our retail locations as Showrooms for our brand, while our website acts as a virtual extension of our Showrooms. Our theater-like Showrooms are highly inspirational and function as an invaluable brand awareness vehicle. Our seasoned sales associates and in-home designers provide expert advice and assistance to our client base that drives significant client engagement. Our omni-channel model allows clients to begin or end their shopping journey online, while also experiencing our theater-like Showrooms throughout the shopping journey.</w:t>
      </w:r>
    </w:p>
    <w:p>
      <w:pPr>
        <w:spacing w:after="0" w:line="13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have one reportable segment as of June 30, 2023. At June 30, 2023, we operated 85 Showrooms, 71 with in-home interior designers. At December 31, 2022, we operated 81 Showrooms, 65 with in-home interior designers.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20" w:type="dxa"/>
            <w:vAlign w:val="bottom"/>
          </w:tcPr>
          <w:p>
            <w:pPr>
              <w:jc w:val="right"/>
              <w:ind w:right="790"/>
              <w:spacing w:after="0"/>
              <w:rPr>
                <w:sz w:val="20"/>
                <w:szCs w:val="20"/>
                <w:color w:val="auto"/>
              </w:rPr>
            </w:pPr>
            <w:r>
              <w:rPr>
                <w:rFonts w:ascii="Arial" w:cs="Arial" w:eastAsia="Arial" w:hAnsi="Arial"/>
                <w:sz w:val="18"/>
                <w:szCs w:val="18"/>
                <w:b w:val="1"/>
                <w:bCs w:val="1"/>
                <w:color w:val="231F20"/>
              </w:rPr>
              <w:t>December 31,</w:t>
            </w:r>
          </w:p>
        </w:tc>
      </w:tr>
      <w:tr>
        <w:trPr>
          <w:trHeight w:val="234"/>
        </w:trPr>
        <w:tc>
          <w:tcPr>
            <w:tcW w:w="5080" w:type="dxa"/>
            <w:vAlign w:val="bottom"/>
            <w:tcBorders>
              <w:bottom w:val="single" w:sz="8" w:color="CCEEFF"/>
            </w:tcBorders>
          </w:tcPr>
          <w:p>
            <w:pPr>
              <w:spacing w:after="0"/>
              <w:rPr>
                <w:sz w:val="20"/>
                <w:szCs w:val="20"/>
                <w:color w:val="auto"/>
              </w:rPr>
            </w:pPr>
          </w:p>
        </w:tc>
        <w:tc>
          <w:tcPr>
            <w:tcW w:w="2060" w:type="dxa"/>
            <w:vAlign w:val="bottom"/>
            <w:tcBorders>
              <w:bottom w:val="single" w:sz="8" w:color="auto"/>
            </w:tcBorders>
          </w:tcPr>
          <w:p>
            <w:pPr>
              <w:ind w:left="840"/>
              <w:spacing w:after="0"/>
              <w:rPr>
                <w:sz w:val="20"/>
                <w:szCs w:val="20"/>
                <w:color w:val="auto"/>
              </w:rPr>
            </w:pPr>
            <w:r>
              <w:rPr>
                <w:rFonts w:ascii="Arial" w:cs="Arial" w:eastAsia="Arial" w:hAnsi="Arial"/>
                <w:sz w:val="18"/>
                <w:szCs w:val="18"/>
                <w:b w:val="1"/>
                <w:bCs w:val="1"/>
                <w:color w:val="231F20"/>
              </w:rPr>
              <w:t>June 30, 2023</w:t>
            </w:r>
          </w:p>
        </w:tc>
        <w:tc>
          <w:tcPr>
            <w:tcW w:w="6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82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b w:val="1"/>
                <w:bCs w:val="1"/>
                <w:color w:val="231F20"/>
              </w:rPr>
              <w:t>2022</w:t>
            </w:r>
          </w:p>
        </w:tc>
      </w:tr>
      <w:tr>
        <w:trPr>
          <w:trHeight w:val="250"/>
        </w:trPr>
        <w:tc>
          <w:tcPr>
            <w:tcW w:w="5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Traditional showrooms</w:t>
            </w:r>
          </w:p>
        </w:tc>
        <w:tc>
          <w:tcPr>
            <w:tcW w:w="20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73</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57"/>
        </w:trPr>
        <w:tc>
          <w:tcPr>
            <w:tcW w:w="7140" w:type="dxa"/>
            <w:vAlign w:val="bottom"/>
            <w:gridSpan w:val="2"/>
          </w:tcPr>
          <w:p>
            <w:pPr>
              <w:ind w:left="60"/>
              <w:spacing w:after="0"/>
              <w:rPr>
                <w:sz w:val="20"/>
                <w:szCs w:val="20"/>
                <w:color w:val="auto"/>
              </w:rPr>
            </w:pPr>
            <w:r>
              <w:rPr>
                <w:rFonts w:ascii="Arial" w:cs="Arial" w:eastAsia="Arial" w:hAnsi="Arial"/>
                <w:sz w:val="18"/>
                <w:szCs w:val="18"/>
                <w:color w:val="auto"/>
              </w:rPr>
              <w:t>Design Studios</w:t>
            </w:r>
          </w:p>
        </w:tc>
        <w:tc>
          <w:tcPr>
            <w:tcW w:w="640" w:type="dxa"/>
            <w:vAlign w:val="bottom"/>
          </w:tcPr>
          <w:p>
            <w:pPr>
              <w:jc w:val="right"/>
              <w:spacing w:after="0"/>
              <w:rPr>
                <w:sz w:val="20"/>
                <w:szCs w:val="20"/>
                <w:color w:val="auto"/>
              </w:rPr>
            </w:pPr>
            <w:r>
              <w:rPr>
                <w:rFonts w:ascii="Arial" w:cs="Arial" w:eastAsia="Arial" w:hAnsi="Arial"/>
                <w:sz w:val="18"/>
                <w:szCs w:val="18"/>
                <w:color w:val="231F20"/>
              </w:rPr>
              <w:t>8</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71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Outlets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5080" w:type="dxa"/>
            <w:vAlign w:val="bottom"/>
          </w:tcPr>
          <w:p>
            <w:pPr>
              <w:ind w:left="60"/>
              <w:spacing w:after="0"/>
              <w:rPr>
                <w:sz w:val="20"/>
                <w:szCs w:val="20"/>
                <w:color w:val="auto"/>
              </w:rPr>
            </w:pPr>
            <w:r>
              <w:rPr>
                <w:rFonts w:ascii="Arial" w:cs="Arial" w:eastAsia="Arial" w:hAnsi="Arial"/>
                <w:sz w:val="18"/>
                <w:szCs w:val="18"/>
                <w:color w:val="auto"/>
              </w:rPr>
              <w:t>Total Showroom locations</w:t>
            </w:r>
          </w:p>
        </w:tc>
        <w:tc>
          <w:tcPr>
            <w:tcW w:w="20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rPr>
              <w:t>85</w:t>
            </w:r>
          </w:p>
        </w:tc>
        <w:tc>
          <w:tcPr>
            <w:tcW w:w="120" w:type="dxa"/>
            <w:vAlign w:val="bottom"/>
          </w:tcPr>
          <w:p>
            <w:pPr>
              <w:spacing w:after="0"/>
              <w:rPr>
                <w:sz w:val="19"/>
                <w:szCs w:val="19"/>
                <w:color w:val="auto"/>
              </w:rPr>
            </w:pPr>
          </w:p>
        </w:tc>
        <w:tc>
          <w:tcPr>
            <w:tcW w:w="2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rPr>
              <w:t>81</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r>
      <w:tr>
        <w:trPr>
          <w:trHeight w:val="237"/>
        </w:trPr>
        <w:tc>
          <w:tcPr>
            <w:tcW w:w="5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 square footage (in thousands)</w:t>
            </w:r>
          </w:p>
        </w:tc>
        <w:tc>
          <w:tcPr>
            <w:tcW w:w="20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1,361</w:t>
            </w:r>
          </w:p>
        </w:tc>
        <w:tc>
          <w:tcPr>
            <w:tcW w:w="120" w:type="dxa"/>
            <w:vAlign w:val="bottom"/>
            <w:shd w:val="clear" w:color="auto" w:fill="CCEEFF"/>
          </w:tcPr>
          <w:p>
            <w:pPr>
              <w:spacing w:after="0"/>
              <w:rPr>
                <w:sz w:val="20"/>
                <w:szCs w:val="20"/>
                <w:color w:val="auto"/>
              </w:rPr>
            </w:pP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1,308</w:t>
            </w:r>
          </w:p>
        </w:tc>
      </w:tr>
    </w:tbl>
    <w:p>
      <w:pPr>
        <w:spacing w:after="0" w:line="25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For the six months ended June 30, 2023, we generated $617.5 million of net revenue, $268.4 million of gross margin and $74.3 million of net and comprehensive income. For the three months ended June 30, 2023, we generated $312.9 million of net revenue, $140.1 million of gross margin and $40.2 million of net and comprehensive income.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18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addition to U.S. GAAP results, this Form 10-Q contains references to the non-GAAP financial measures below. We use these non-GAAP measures to help assess the performance of our business, identify trends affecting our business, formulate business plans and make strategic decisions. In addition to our results determined in accordance with U.S. GAAP, we believe that providing these non-GAAP financial measures are useful to our investors as they present an informative supplemental view of our results from period to period by removing the effect of non-recurring items.</w:t>
      </w:r>
    </w:p>
    <w:p>
      <w:pPr>
        <w:spacing w:after="0" w:line="11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non-GAAP financial measures presented herein are specific to us and may not be comparable to similar measures disclosed by other companies because of differing methods used by other companies in calculating them. These measures are also not intended to be measures of free cash flow for management’s discretionary use, as they do not reflect tax payments, debt service requirements and certain other cash costs that may recur in the future, including, among other things, cash requirements for working capital needs. Management compensates for these limitations by relying on our U.S. GAAP results in addition to using these non-GAAP financial measures. The non-GAAP financial measures should not be construed as an inference that our future results will be unaffected by unusual or non-recurring items. We consider the following financial and operating measures that affect our results of operations:</w:t>
      </w:r>
    </w:p>
    <w:p>
      <w:pPr>
        <w:spacing w:after="0" w:line="168"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i w:val="1"/>
          <w:iCs w:val="1"/>
          <w:color w:val="auto"/>
        </w:rPr>
        <w:t>Net Revenue and Demand</w:t>
      </w:r>
      <w:r>
        <w:rPr>
          <w:rFonts w:ascii="Arial" w:cs="Arial" w:eastAsia="Arial" w:hAnsi="Arial"/>
          <w:sz w:val="16"/>
          <w:szCs w:val="16"/>
          <w:color w:val="auto"/>
        </w:rPr>
        <w:t>. Net revenue is recognized when a client obtains control of the merchandise. We also track demand in our business which is a</w:t>
      </w:r>
      <w:r>
        <w:rPr>
          <w:rFonts w:ascii="Arial" w:cs="Arial" w:eastAsia="Arial" w:hAnsi="Arial"/>
          <w:sz w:val="16"/>
          <w:szCs w:val="16"/>
          <w:i w:val="1"/>
          <w:iCs w:val="1"/>
          <w:color w:val="auto"/>
        </w:rPr>
        <w:t xml:space="preserve"> </w:t>
      </w:r>
      <w:r>
        <w:rPr>
          <w:rFonts w:ascii="Arial" w:cs="Arial" w:eastAsia="Arial" w:hAnsi="Arial"/>
          <w:sz w:val="16"/>
          <w:szCs w:val="16"/>
          <w:color w:val="auto"/>
        </w:rPr>
        <w:t>key performance indicator linked to the level of client orders placed. Demand is an operating metric that we use to measure the dollar value of orders (based on purchase price) at the time the order is placed, net of the dollar value of cancellations and returns (based on unpaid purchase price and amount credited to client). These orders are recognized as net revenue when a client obtains control of the merchandise. Because demand is measured net of cancellations, all demand will eventually become net revenue, with appropriate reserves, when delivered to the client.</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Comparable Growth</w:t>
      </w:r>
      <w:r>
        <w:rPr>
          <w:rFonts w:ascii="Arial" w:cs="Arial" w:eastAsia="Arial" w:hAnsi="Arial"/>
          <w:sz w:val="17"/>
          <w:szCs w:val="17"/>
          <w:color w:val="auto"/>
        </w:rPr>
        <w:t>. Comparable growth is the year-over-year percentage change of the dollar value of orders delivered (based on purchase price), net of</w:t>
      </w:r>
      <w:r>
        <w:rPr>
          <w:rFonts w:ascii="Arial" w:cs="Arial" w:eastAsia="Arial" w:hAnsi="Arial"/>
          <w:sz w:val="17"/>
          <w:szCs w:val="17"/>
          <w:i w:val="1"/>
          <w:iCs w:val="1"/>
          <w:color w:val="auto"/>
        </w:rPr>
        <w:t xml:space="preserve"> </w:t>
      </w:r>
      <w:r>
        <w:rPr>
          <w:rFonts w:ascii="Arial" w:cs="Arial" w:eastAsia="Arial" w:hAnsi="Arial"/>
          <w:sz w:val="17"/>
          <w:szCs w:val="17"/>
          <w:color w:val="auto"/>
        </w:rPr>
        <w:t>the dollar value of returns (based on amount credited to client), from comparable Showrooms and eCommerce, including through our catalogs and other mailings. This metric is a key performance indicator used by management to evaluate Showroom performance for locations that have been opened for at least 15 consecutive months, which enables management to view the performance of those Showrooms without the dollar value of orders delivered for new Showrooms being included. Comparable Showrooms are defined as permanent Showrooms open for at least 15 consecutive months, including relocations in the same market. Showrooms record demand immediately upon</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opening, while orders delivered take additional time because product must be delivered to the client. The dollar value of orders delivered for Outlet comparable locations is included.</w:t>
      </w:r>
    </w:p>
    <w:p>
      <w:pPr>
        <w:spacing w:after="0" w:line="143"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i w:val="1"/>
          <w:iCs w:val="1"/>
          <w:color w:val="auto"/>
        </w:rPr>
        <w:t>Demand Comparable Growth</w:t>
      </w:r>
      <w:r>
        <w:rPr>
          <w:rFonts w:ascii="Arial" w:cs="Arial" w:eastAsia="Arial" w:hAnsi="Arial"/>
          <w:sz w:val="16"/>
          <w:szCs w:val="16"/>
          <w:color w:val="auto"/>
        </w:rPr>
        <w:t>. Demand comparable growth is the year-over-year percentage change of demand from our comparable Showrooms and</w:t>
      </w:r>
      <w:r>
        <w:rPr>
          <w:rFonts w:ascii="Arial" w:cs="Arial" w:eastAsia="Arial" w:hAnsi="Arial"/>
          <w:sz w:val="16"/>
          <w:szCs w:val="16"/>
          <w:i w:val="1"/>
          <w:iCs w:val="1"/>
          <w:color w:val="auto"/>
        </w:rPr>
        <w:t xml:space="preserve"> </w:t>
      </w:r>
      <w:r>
        <w:rPr>
          <w:rFonts w:ascii="Arial" w:cs="Arial" w:eastAsia="Arial" w:hAnsi="Arial"/>
          <w:sz w:val="16"/>
          <w:szCs w:val="16"/>
          <w:color w:val="auto"/>
        </w:rPr>
        <w:t>eCommerce, including through our catalogs and other mailings. This metric is a key performance indicator used by management to evaluate Showroom demand performance for locations that have been opened for at least 13 consecutive months, which enables management to view the performance of those Showrooms without new Showroom demand included. For demand purposes, comparable Showrooms are defined as permanent Showrooms open for at least 13 consecutive months, including relocations in the same market. Outlet comparable location demand is included.</w:t>
      </w:r>
    </w:p>
    <w:p>
      <w:pPr>
        <w:spacing w:after="0" w:line="121"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Demand comparable growth provides insight into business levels in a particular period by comparing the dollar value of orders (based on purchase price) placed in that period to the prior comparable period. Although these orders do not result in net revenue until the order is delivered at a later point in time, management utilizes this metric to evaluate core performance.</w:t>
      </w:r>
    </w:p>
    <w:p>
      <w:pPr>
        <w:spacing w:after="0" w:line="14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Comparable growth is an additional measure that management utilizes to compare the dollar value of orders delivered (based on purchase price) in a period compared to the prior comparable period. Since delivery generally coincides with recognition of net revenue, with appropriate reserves, comparable growth trends will more closely track trends in reported net revenue than demand comparable growth trends. While increases or decreases in demand comparable growth will translate into increases or decreases in comparable growth over time, the trends do not necessarily correlate in any particular period. This is partially due to the general lag in time between when an order is placed and when an order is delivered. When the time gap from order to delivery increases, due to supply chain challenges for example, it may take longer for comparable growth to reflect demand comparable growth. Notwithstanding these limitations, management considers it useful to assess both measures together to get a more complete picture of overall performance trends, and believes these measures can be useful to investors for the same purpose, when viewed together with our reported results and other metrics.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Gross margin is equal to our net revenue less cost of goods sold. Cost of goods sold includes the direct cost of purchased merchandise,</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shrinkage, inbound freight, all freight costs to get merchandise to our Showrooms, credit card fees, design, buying and allocation costs, our supply chain, such as product development and sourcing, occupancy costs related to Showroom operations, such as rent and common area maintenance for our leases, depreciation and amortization of leasehold improvements, equipment and other assets in our Showrooms. In addition, cost of goods sold includes all logistics costs associated with shipping product to our clients, partially offset by delivery fees collected from clients (recorded in net revenue on the condensed consolidated statements of comprehensive income).</w:t>
      </w:r>
    </w:p>
    <w:p>
      <w:pPr>
        <w:spacing w:after="0" w:line="216"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Selling, general and administrative, or SG&amp;A, expenses include all operating costs not included in cost of</w:t>
      </w:r>
      <w:r>
        <w:rPr>
          <w:rFonts w:ascii="Arial" w:cs="Arial" w:eastAsia="Arial" w:hAnsi="Arial"/>
          <w:sz w:val="17"/>
          <w:szCs w:val="17"/>
          <w:i w:val="1"/>
          <w:iCs w:val="1"/>
          <w:color w:val="auto"/>
        </w:rPr>
        <w:t xml:space="preserve"> </w:t>
      </w:r>
      <w:r>
        <w:rPr>
          <w:rFonts w:ascii="Arial" w:cs="Arial" w:eastAsia="Arial" w:hAnsi="Arial"/>
          <w:sz w:val="17"/>
          <w:szCs w:val="17"/>
          <w:color w:val="auto"/>
        </w:rPr>
        <w:t>goods sold. These expenses include payroll and payroll related expenses, Showroom expenses other than occupancy and expenses related to many of our operations at our distribution centers and corporate headquarters, including marketing, information technology, legal, human resources, utilities and depreciation and amortization expense. Payroll includes both fixed compensation and variable compensation. Variable compensation includes Showroom commissions and Showroom bonus compensation related to demand, likely before the client obtains control of the merchandise. Variable compensation is not significant in our eCommerce channel. All new Showroom opening expenses, other than occupancy, are included in SG&amp;A expenses and are expensed as incurred. We expect certain of these expenses to continue to increase as we open new Showrooms, develop new product categories and otherwise pursue our current business initiatives. SG&amp;A expenses as a percentage of net revenue are usually higher in lower-volume quarters and lower in higher-volume quarters because a significant portion of the costs are relatively fixed.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EBITDA. </w:t>
      </w:r>
      <w:r>
        <w:rPr>
          <w:rFonts w:ascii="Arial" w:cs="Arial" w:eastAsia="Arial" w:hAnsi="Arial"/>
          <w:sz w:val="16"/>
          <w:szCs w:val="16"/>
          <w:color w:val="auto"/>
        </w:rPr>
        <w:t>We define EBITDA as consolidated net income before depreciation and amortization, interest expense (income), net and income tax expense.</w:t>
      </w:r>
    </w:p>
    <w:p>
      <w:pPr>
        <w:spacing w:after="0" w:line="221"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We believe that adjusted EBITDA is a useful measure of operating performance as the adjustments eliminate items that we believe are</w:t>
      </w:r>
      <w:r>
        <w:rPr>
          <w:rFonts w:ascii="Arial" w:cs="Arial" w:eastAsia="Arial" w:hAnsi="Arial"/>
          <w:sz w:val="16"/>
          <w:szCs w:val="16"/>
          <w:i w:val="1"/>
          <w:iCs w:val="1"/>
          <w:color w:val="auto"/>
        </w:rPr>
        <w:t xml:space="preserve"> </w:t>
      </w:r>
      <w:r>
        <w:rPr>
          <w:rFonts w:ascii="Arial" w:cs="Arial" w:eastAsia="Arial" w:hAnsi="Arial"/>
          <w:sz w:val="16"/>
          <w:szCs w:val="16"/>
          <w:color w:val="auto"/>
        </w:rPr>
        <w:t>not reflective of underlying operating performance in a particular period. Adjusted EBITDA facilitates a comparison of our operating performance on a consistent basis from period-to-period and provides for a more complete understanding of factors and trends affecting our business.</w:t>
      </w:r>
    </w:p>
    <w:p>
      <w:pPr>
        <w:spacing w:after="0" w:line="10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Because adjusted EBITDA omits certain non-cash items and items that we believe are not reflective of underlying operating performance in a particular period, we feel that it is less susceptible to variances in actual performance resulting from depreciation, amortization and other non-cash charges and can be more reflective of our operating performance in a</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particular period. We also use adjusted EBITDA as a method for planning and forecasting overall expected performance and for evaluating, on a quarterly and annual basis, actual results against such expectations.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our net and comprehensive income to EBITDA and adjusted EBITDA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rPr>
              <w:t>Six months ended June 30,</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Three months ended June 30,</w:t>
            </w:r>
          </w:p>
        </w:tc>
        <w:tc>
          <w:tcPr>
            <w:tcW w:w="640" w:type="dxa"/>
            <w:vAlign w:val="bottom"/>
            <w:tcBorders>
              <w:bottom w:val="single" w:sz="8" w:color="auto"/>
            </w:tcBorders>
          </w:tcPr>
          <w:p>
            <w:pPr>
              <w:spacing w:after="0"/>
              <w:rPr>
                <w:sz w:val="20"/>
                <w:szCs w:val="20"/>
                <w:color w:val="auto"/>
              </w:rPr>
            </w:pPr>
          </w:p>
        </w:tc>
      </w:tr>
      <w:tr>
        <w:trPr>
          <w:trHeight w:val="257"/>
        </w:trPr>
        <w:tc>
          <w:tcPr>
            <w:tcW w:w="3320" w:type="dxa"/>
            <w:vAlign w:val="bottom"/>
            <w:gridSpan w:val="2"/>
          </w:tcPr>
          <w:p>
            <w:pPr>
              <w:ind w:left="20"/>
              <w:spacing w:after="0"/>
              <w:rPr>
                <w:sz w:val="20"/>
                <w:szCs w:val="20"/>
                <w:color w:val="auto"/>
              </w:rPr>
            </w:pPr>
            <w:r>
              <w:rPr>
                <w:rFonts w:ascii="Arial" w:cs="Arial" w:eastAsia="Arial" w:hAnsi="Arial"/>
                <w:sz w:val="18"/>
                <w:szCs w:val="18"/>
                <w:b w:val="1"/>
                <w:bCs w:val="1"/>
                <w:color w:val="auto"/>
              </w:rPr>
              <w:t>(In thousands)</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740" w:type="dxa"/>
            <w:vAlign w:val="bottom"/>
          </w:tcPr>
          <w:p>
            <w:pPr>
              <w:spacing w:after="0"/>
              <w:rPr>
                <w:sz w:val="22"/>
                <w:szCs w:val="22"/>
                <w:color w:val="auto"/>
              </w:rPr>
            </w:pPr>
          </w:p>
        </w:tc>
        <w:tc>
          <w:tcPr>
            <w:tcW w:w="14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700" w:type="dxa"/>
            <w:vAlign w:val="bottom"/>
          </w:tcPr>
          <w:p>
            <w:pPr>
              <w:spacing w:after="0"/>
              <w:rPr>
                <w:sz w:val="22"/>
                <w:szCs w:val="22"/>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2023</w:t>
            </w:r>
          </w:p>
        </w:tc>
        <w:tc>
          <w:tcPr>
            <w:tcW w:w="640" w:type="dxa"/>
            <w:vAlign w:val="bottom"/>
          </w:tcPr>
          <w:p>
            <w:pPr>
              <w:spacing w:after="0"/>
              <w:rPr>
                <w:sz w:val="22"/>
                <w:szCs w:val="22"/>
                <w:color w:val="auto"/>
              </w:rPr>
            </w:pPr>
          </w:p>
        </w:tc>
        <w:tc>
          <w:tcPr>
            <w:tcW w:w="12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640" w:type="dxa"/>
            <w:vAlign w:val="bottom"/>
          </w:tcPr>
          <w:p>
            <w:pPr>
              <w:spacing w:after="0"/>
              <w:rPr>
                <w:sz w:val="22"/>
                <w:szCs w:val="22"/>
                <w:color w:val="auto"/>
              </w:rPr>
            </w:pPr>
          </w:p>
        </w:tc>
      </w:tr>
      <w:tr>
        <w:trPr>
          <w:trHeight w:val="230"/>
        </w:trPr>
        <w:tc>
          <w:tcPr>
            <w:tcW w:w="3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74,282</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52,697</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40,183</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36,639</w:t>
            </w:r>
          </w:p>
        </w:tc>
      </w:tr>
      <w:tr>
        <w:trPr>
          <w:trHeight w:val="229"/>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Interest expense (income), net</w:t>
            </w:r>
          </w:p>
        </w:tc>
        <w:tc>
          <w:tcPr>
            <w:tcW w:w="1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2,616</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1,316</w:t>
            </w:r>
          </w:p>
        </w:tc>
      </w:tr>
      <w:tr>
        <w:trPr>
          <w:trHeight w:val="243"/>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2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26,474</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18,283</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14,372</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12,414</w:t>
            </w:r>
          </w:p>
        </w:tc>
      </w:tr>
      <w:tr>
        <w:trPr>
          <w:trHeight w:val="243"/>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12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14,140</w:t>
            </w:r>
          </w:p>
        </w:tc>
        <w:tc>
          <w:tcPr>
            <w:tcW w:w="100" w:type="dxa"/>
            <w:vAlign w:val="bottom"/>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11,995</w:t>
            </w:r>
          </w:p>
        </w:tc>
        <w:tc>
          <w:tcPr>
            <w:tcW w:w="100" w:type="dxa"/>
            <w:vAlign w:val="bottom"/>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7,400</w:t>
            </w:r>
          </w:p>
        </w:tc>
        <w:tc>
          <w:tcPr>
            <w:tcW w:w="100" w:type="dxa"/>
            <w:vAlign w:val="bottom"/>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6,119</w:t>
            </w:r>
          </w:p>
        </w:tc>
      </w:tr>
      <w:tr>
        <w:trPr>
          <w:trHeight w:val="263"/>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12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114,245</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85,591</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61,477</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56,488</w:t>
            </w:r>
          </w:p>
        </w:tc>
      </w:tr>
      <w:tr>
        <w:trPr>
          <w:trHeight w:val="243"/>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Equity based compensation</w:t>
            </w:r>
          </w:p>
        </w:tc>
        <w:tc>
          <w:tcPr>
            <w:tcW w:w="1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3,904</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1,389</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2,274</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692</w:t>
            </w:r>
          </w:p>
        </w:tc>
      </w:tr>
      <w:tr>
        <w:trPr>
          <w:trHeight w:val="297"/>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Other expenses </w:t>
            </w:r>
            <w:r>
              <w:rPr>
                <w:rFonts w:ascii="Arial" w:cs="Arial" w:eastAsia="Arial" w:hAnsi="Arial"/>
                <w:sz w:val="23"/>
                <w:szCs w:val="23"/>
                <w:color w:val="auto"/>
                <w:vertAlign w:val="superscript"/>
              </w:rPr>
              <w:t>(1)</w:t>
            </w:r>
          </w:p>
        </w:tc>
        <w:tc>
          <w:tcPr>
            <w:tcW w:w="126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4,658</w:t>
            </w:r>
          </w:p>
        </w:tc>
        <w:tc>
          <w:tcPr>
            <w:tcW w:w="1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3,258</w:t>
            </w:r>
          </w:p>
        </w:tc>
      </w:tr>
      <w:tr>
        <w:trPr>
          <w:trHeight w:val="237"/>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Adjusted EBITDA</w:t>
            </w:r>
          </w:p>
        </w:tc>
        <w:tc>
          <w:tcPr>
            <w:tcW w:w="1260" w:type="dxa"/>
            <w:vAlign w:val="bottom"/>
          </w:tcPr>
          <w:p>
            <w:pPr>
              <w:jc w:val="right"/>
              <w:ind w:right="107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118,586</w:t>
            </w:r>
          </w:p>
        </w:tc>
        <w:tc>
          <w:tcPr>
            <w:tcW w:w="1400" w:type="dxa"/>
            <w:vAlign w:val="bottom"/>
            <w:gridSpan w:val="2"/>
          </w:tcPr>
          <w:p>
            <w:pPr>
              <w:jc w:val="right"/>
              <w:ind w:right="11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91,638</w:t>
            </w:r>
          </w:p>
        </w:tc>
        <w:tc>
          <w:tcPr>
            <w:tcW w:w="126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63,751</w:t>
            </w:r>
          </w:p>
        </w:tc>
        <w:tc>
          <w:tcPr>
            <w:tcW w:w="1280" w:type="dxa"/>
            <w:vAlign w:val="bottom"/>
            <w:gridSpan w:val="2"/>
          </w:tcPr>
          <w:p>
            <w:pPr>
              <w:jc w:val="right"/>
              <w:ind w:right="99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60,438</w:t>
            </w:r>
          </w:p>
        </w:tc>
      </w:tr>
      <w:tr>
        <w:trPr>
          <w:trHeight w:val="21"/>
        </w:trPr>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3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7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Other expenses represent costs and investments not indicative of ongoing business performance, such as third-party consulting costs, one-time project start-up costs, severance, signing bonuses, recruiting and project-based strategic initiatives. For the six and three months ended June 30, 2022, these expenses consisted largely of $3.1 million and $2.5 million of costs related to the opening and set-up of our Dallas distribution center,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the Comparability of our Results of Operations</w:t>
      </w:r>
    </w:p>
    <w:p>
      <w:pPr>
        <w:spacing w:after="0" w:line="20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Our results over the past two years have been affected by the following events, which must be understood in order to assess the comparability of our period-to-period financial performance and condition.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Showroom Openings and Closings</w:t>
      </w:r>
    </w:p>
    <w:p>
      <w:pPr>
        <w:spacing w:after="0" w:line="18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New Showrooms contribute incremental expense, new Showroom opening expense and net revenue to the Company. In the six months ended June 30, 2023, we opened six Showrooms and closed two Showrooms. The two Showroom closures in the six months ended June 30, 2023, were related to relocations. During the year ended December 31, 2022, we opened four Showrooms and closed two Showrooms. Of the two Showroom closures in 2022, one was related to relocation in 2022.</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following tables summarize key components of our results of operations for the periods indicated. The following discussion should be read in conjunction with our condensed consolidated financial statements and related notes.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Condensed Consolidated Comprehensive Income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Six months ended June 30,</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w w:val="97"/>
              </w:rPr>
              <w:t>Three months ended June 30,</w:t>
            </w:r>
          </w:p>
        </w:tc>
      </w:tr>
      <w:tr>
        <w:trPr>
          <w:trHeight w:val="223"/>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r>
      <w:tr>
        <w:trPr>
          <w:trHeight w:val="236"/>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617,467</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552,565</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312,899</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306,265</w:t>
            </w:r>
          </w:p>
        </w:tc>
      </w:tr>
      <w:tr>
        <w:trPr>
          <w:trHeight w:val="230"/>
        </w:trPr>
        <w:tc>
          <w:tcPr>
            <w:tcW w:w="4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goods sold</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349,109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321,822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172,779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173,239</w:t>
            </w:r>
          </w:p>
        </w:tc>
      </w:tr>
      <w:tr>
        <w:trPr>
          <w:trHeight w:val="223"/>
        </w:trPr>
        <w:tc>
          <w:tcPr>
            <w:tcW w:w="4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Gross margin</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133,026</w:t>
            </w:r>
          </w:p>
        </w:tc>
      </w:tr>
      <w:tr>
        <w:trPr>
          <w:trHeight w:val="230"/>
        </w:trPr>
        <w:tc>
          <w:tcPr>
            <w:tcW w:w="424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168,913</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157,622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86,131</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82,774</w:t>
            </w:r>
          </w:p>
        </w:tc>
      </w:tr>
      <w:tr>
        <w:trPr>
          <w:trHeight w:val="223"/>
        </w:trPr>
        <w:tc>
          <w:tcPr>
            <w:tcW w:w="4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50,252</w:t>
            </w:r>
          </w:p>
        </w:tc>
      </w:tr>
      <w:tr>
        <w:trPr>
          <w:trHeight w:val="237"/>
        </w:trPr>
        <w:tc>
          <w:tcPr>
            <w:tcW w:w="4240" w:type="dxa"/>
            <w:vAlign w:val="bottom"/>
            <w:gridSpan w:val="2"/>
          </w:tcPr>
          <w:p>
            <w:pPr>
              <w:ind w:left="20"/>
              <w:spacing w:after="0"/>
              <w:rPr>
                <w:sz w:val="20"/>
                <w:szCs w:val="20"/>
                <w:color w:val="auto"/>
              </w:rPr>
            </w:pPr>
            <w:r>
              <w:rPr>
                <w:rFonts w:ascii="Arial" w:cs="Arial" w:eastAsia="Arial" w:hAnsi="Arial"/>
                <w:sz w:val="18"/>
                <w:szCs w:val="18"/>
                <w:color w:val="auto"/>
              </w:rPr>
              <w:t>Interest expense (income), net</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1,316</w:t>
            </w:r>
          </w:p>
        </w:tc>
      </w:tr>
      <w:tr>
        <w:trPr>
          <w:trHeight w:val="236"/>
        </w:trPr>
        <w:tc>
          <w:tcPr>
            <w:tcW w:w="4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23"/>
        </w:trPr>
        <w:tc>
          <w:tcPr>
            <w:tcW w:w="4240" w:type="dxa"/>
            <w:vAlign w:val="bottom"/>
            <w:gridSpan w:val="2"/>
          </w:tcPr>
          <w:p>
            <w:pPr>
              <w:ind w:left="180"/>
              <w:spacing w:after="0"/>
              <w:rPr>
                <w:sz w:val="20"/>
                <w:szCs w:val="20"/>
                <w:color w:val="auto"/>
              </w:rPr>
            </w:pPr>
            <w:r>
              <w:rPr>
                <w:rFonts w:ascii="Arial" w:cs="Arial" w:eastAsia="Arial" w:hAnsi="Arial"/>
                <w:sz w:val="18"/>
                <w:szCs w:val="18"/>
                <w:color w:val="auto"/>
              </w:rPr>
              <w:t>Income before taxes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100,756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70,980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54,555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49,053</w:t>
            </w:r>
          </w:p>
        </w:tc>
      </w:tr>
      <w:tr>
        <w:trPr>
          <w:trHeight w:val="243"/>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26,474</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18,283</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14,372</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12,414</w:t>
            </w:r>
          </w:p>
        </w:tc>
      </w:tr>
      <w:tr>
        <w:trPr>
          <w:trHeight w:val="223"/>
        </w:trPr>
        <w:tc>
          <w:tcPr>
            <w:tcW w:w="4240" w:type="dxa"/>
            <w:vAlign w:val="bottom"/>
            <w:gridSpan w:val="2"/>
          </w:tcPr>
          <w:p>
            <w:pPr>
              <w:ind w:left="180"/>
              <w:spacing w:after="0"/>
              <w:rPr>
                <w:sz w:val="20"/>
                <w:szCs w:val="20"/>
                <w:color w:val="auto"/>
              </w:rPr>
            </w:pPr>
            <w:r>
              <w:rPr>
                <w:rFonts w:ascii="Arial" w:cs="Arial" w:eastAsia="Arial" w:hAnsi="Arial"/>
                <w:sz w:val="18"/>
                <w:szCs w:val="18"/>
                <w:color w:val="auto"/>
              </w:rPr>
              <w:t>Net and comprehensive income</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74,282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52,697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40,183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36,639</w:t>
            </w:r>
          </w:p>
        </w:tc>
      </w:tr>
      <w:tr>
        <w:trPr>
          <w:trHeight w:val="20"/>
        </w:trPr>
        <w:tc>
          <w:tcPr>
            <w:tcW w:w="4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871"/>
        </w:trPr>
        <w:tc>
          <w:tcPr>
            <w:tcW w:w="4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15"/>
        </w:trPr>
        <w:tc>
          <w:tcPr>
            <w:tcW w:w="4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Other Operational Data:</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45"/>
        </w:trPr>
        <w:tc>
          <w:tcPr>
            <w:tcW w:w="4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w w:val="97"/>
              </w:rPr>
              <w:t>Six months ended June 30,</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w w:val="95"/>
              </w:rPr>
              <w:t>Three months ended June 30,</w:t>
            </w:r>
          </w:p>
        </w:tc>
      </w:tr>
      <w:tr>
        <w:trPr>
          <w:trHeight w:val="250"/>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37"/>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617,467</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552,565</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312,899</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306,265</w:t>
            </w:r>
          </w:p>
        </w:tc>
      </w:tr>
      <w:tr>
        <w:trPr>
          <w:trHeight w:val="263"/>
        </w:trPr>
        <w:tc>
          <w:tcPr>
            <w:tcW w:w="4700" w:type="dxa"/>
            <w:vAlign w:val="bottom"/>
            <w:gridSpan w:val="2"/>
          </w:tcPr>
          <w:p>
            <w:pPr>
              <w:ind w:left="20"/>
              <w:spacing w:after="0"/>
              <w:rPr>
                <w:sz w:val="20"/>
                <w:szCs w:val="20"/>
                <w:color w:val="auto"/>
              </w:rPr>
            </w:pPr>
            <w:r>
              <w:rPr>
                <w:rFonts w:ascii="Arial" w:cs="Arial" w:eastAsia="Arial" w:hAnsi="Arial"/>
                <w:sz w:val="18"/>
                <w:szCs w:val="18"/>
                <w:color w:val="auto"/>
              </w:rPr>
              <w:t>Comparable growth</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8.9 %</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53.1 %</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231F20"/>
              </w:rPr>
              <w:t>(0.8)%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65.2 %</w:t>
            </w:r>
          </w:p>
        </w:tc>
      </w:tr>
      <w:tr>
        <w:trPr>
          <w:trHeight w:val="263"/>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Demand comparable growth</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14.7 %</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11.6 %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22.5 %</w:t>
            </w:r>
          </w:p>
        </w:tc>
      </w:tr>
      <w:tr>
        <w:trPr>
          <w:trHeight w:val="250"/>
        </w:trPr>
        <w:tc>
          <w:tcPr>
            <w:tcW w:w="4700" w:type="dxa"/>
            <w:vAlign w:val="bottom"/>
            <w:gridSpan w:val="2"/>
          </w:tcPr>
          <w:p>
            <w:pPr>
              <w:ind w:left="20"/>
              <w:spacing w:after="0"/>
              <w:rPr>
                <w:sz w:val="20"/>
                <w:szCs w:val="20"/>
                <w:color w:val="auto"/>
              </w:rPr>
            </w:pPr>
            <w:r>
              <w:rPr>
                <w:rFonts w:ascii="Arial" w:cs="Arial" w:eastAsia="Arial" w:hAnsi="Arial"/>
                <w:sz w:val="18"/>
                <w:szCs w:val="18"/>
                <w:color w:val="auto"/>
              </w:rPr>
              <w:t>Gross margin as a % of net revenue</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43.5 %</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41.8 %</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231F20"/>
              </w:rPr>
              <w:t>44.8 %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43.4 %</w:t>
            </w:r>
          </w:p>
        </w:tc>
      </w:tr>
      <w:tr>
        <w:trPr>
          <w:trHeight w:val="208"/>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Selling, general and administrative expenses as a % of net</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57"/>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27.4 %</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28.5 %</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27.5 %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27.0 %</w:t>
            </w:r>
          </w:p>
        </w:tc>
      </w:tr>
      <w:tr>
        <w:trPr>
          <w:trHeight w:val="243"/>
        </w:trPr>
        <w:tc>
          <w:tcPr>
            <w:tcW w:w="4700" w:type="dxa"/>
            <w:vAlign w:val="bottom"/>
            <w:gridSpan w:val="2"/>
          </w:tcPr>
          <w:p>
            <w:pPr>
              <w:ind w:left="20"/>
              <w:spacing w:after="0"/>
              <w:rPr>
                <w:sz w:val="20"/>
                <w:szCs w:val="20"/>
                <w:color w:val="auto"/>
              </w:rPr>
            </w:pPr>
            <w:r>
              <w:rPr>
                <w:rFonts w:ascii="Arial" w:cs="Arial" w:eastAsia="Arial" w:hAnsi="Arial"/>
                <w:sz w:val="18"/>
                <w:szCs w:val="18"/>
                <w:color w:val="auto"/>
              </w:rPr>
              <w:t>Income from operations as a % of net revenue</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16.1 %</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13.2 %</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231F20"/>
              </w:rPr>
              <w:t>17.3 %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16.4 %</w:t>
            </w:r>
          </w:p>
        </w:tc>
      </w:tr>
      <w:tr>
        <w:trPr>
          <w:trHeight w:val="229"/>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and comprehensive income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74,282</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52,697</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231F20"/>
              </w:rPr>
              <w:t>$</w:t>
            </w: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231F20"/>
              </w:rPr>
              <w:t>40,183</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231F20"/>
              </w:rPr>
              <w:t>$</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231F20"/>
              </w:rPr>
              <w:t>36,639</w:t>
            </w:r>
          </w:p>
        </w:tc>
      </w:tr>
      <w:tr>
        <w:trPr>
          <w:trHeight w:val="270"/>
        </w:trPr>
        <w:tc>
          <w:tcPr>
            <w:tcW w:w="4700" w:type="dxa"/>
            <w:vAlign w:val="bottom"/>
            <w:gridSpan w:val="2"/>
          </w:tcPr>
          <w:p>
            <w:pPr>
              <w:ind w:left="20"/>
              <w:spacing w:after="0"/>
              <w:rPr>
                <w:sz w:val="20"/>
                <w:szCs w:val="20"/>
                <w:color w:val="auto"/>
              </w:rPr>
            </w:pPr>
            <w:r>
              <w:rPr>
                <w:rFonts w:ascii="Arial" w:cs="Arial" w:eastAsia="Arial" w:hAnsi="Arial"/>
                <w:sz w:val="18"/>
                <w:szCs w:val="18"/>
                <w:color w:val="auto"/>
              </w:rPr>
              <w:t>Net and comprehensive income as a % of net revenue</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12.0 %</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9.5 %</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231F20"/>
              </w:rPr>
              <w:t>12.8 %</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12.0 %</w:t>
            </w:r>
          </w:p>
        </w:tc>
      </w:tr>
      <w:tr>
        <w:trPr>
          <w:trHeight w:val="283"/>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118,586</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91,638</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231F20"/>
              </w:rPr>
              <w:t>$</w:t>
            </w: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231F20"/>
              </w:rPr>
              <w:t>63,751</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231F20"/>
              </w:rPr>
              <w:t>$</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231F20"/>
              </w:rPr>
              <w:t>60,438</w:t>
            </w:r>
          </w:p>
        </w:tc>
      </w:tr>
      <w:tr>
        <w:trPr>
          <w:trHeight w:val="257"/>
        </w:trPr>
        <w:tc>
          <w:tcPr>
            <w:tcW w:w="4700" w:type="dxa"/>
            <w:vAlign w:val="bottom"/>
            <w:gridSpan w:val="2"/>
          </w:tcPr>
          <w:p>
            <w:pPr>
              <w:ind w:left="20"/>
              <w:spacing w:after="0"/>
              <w:rPr>
                <w:sz w:val="20"/>
                <w:szCs w:val="20"/>
                <w:color w:val="auto"/>
              </w:rPr>
            </w:pPr>
            <w:r>
              <w:rPr>
                <w:rFonts w:ascii="Arial" w:cs="Arial" w:eastAsia="Arial" w:hAnsi="Arial"/>
                <w:sz w:val="18"/>
                <w:szCs w:val="18"/>
                <w:color w:val="auto"/>
              </w:rPr>
              <w:t>Adjusted EBITDA as a % of net revenue</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19.2 %</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16.6 %</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231F20"/>
              </w:rPr>
              <w:t>20.4 %</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19.7 %</w:t>
            </w:r>
          </w:p>
        </w:tc>
      </w:tr>
      <w:tr>
        <w:trPr>
          <w:trHeight w:val="237"/>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Showrooms at end of period</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85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80</w:t>
            </w:r>
          </w:p>
        </w:tc>
      </w:tr>
      <w:tr>
        <w:trPr>
          <w:trHeight w:val="54"/>
        </w:trPr>
        <w:tc>
          <w:tcPr>
            <w:tcW w:w="4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80" w:type="dxa"/>
            <w:vAlign w:val="bottom"/>
          </w:tcPr>
          <w:p>
            <w:pPr>
              <w:spacing w:after="0"/>
              <w:rPr>
                <w:sz w:val="4"/>
                <w:szCs w:val="4"/>
                <w:color w:val="auto"/>
              </w:rPr>
            </w:pPr>
          </w:p>
        </w:tc>
      </w:tr>
    </w:tbl>
    <w:p>
      <w:pPr>
        <w:spacing w:after="0" w:line="62" w:lineRule="exact"/>
        <w:rPr>
          <w:sz w:val="20"/>
          <w:szCs w:val="20"/>
          <w:color w:val="auto"/>
        </w:rPr>
      </w:pPr>
    </w:p>
    <w:p>
      <w:pPr>
        <w:ind w:left="140" w:hanging="132"/>
        <w:spacing w:after="0"/>
        <w:tabs>
          <w:tab w:leader="none" w:pos="140" w:val="left"/>
        </w:tabs>
        <w:numPr>
          <w:ilvl w:val="0"/>
          <w:numId w:val="10"/>
        </w:numPr>
        <w:rPr>
          <w:rFonts w:ascii="Arial" w:cs="Arial" w:eastAsia="Arial" w:hAnsi="Arial"/>
          <w:sz w:val="9"/>
          <w:szCs w:val="9"/>
          <w:color w:val="auto"/>
        </w:rPr>
      </w:pPr>
      <w:r>
        <w:rPr>
          <w:rFonts w:ascii="Arial" w:cs="Arial" w:eastAsia="Arial" w:hAnsi="Arial"/>
          <w:sz w:val="14"/>
          <w:szCs w:val="14"/>
          <w:color w:val="auto"/>
        </w:rPr>
        <w:t>See “How We Assess the Performance of Our Business,” for a definition of adjusted EBITDA and a reconciliation of adjusted EBITDA to net and comprehensive income.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six months ended June 30, 2023 and 2022</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w:t>
      </w:r>
    </w:p>
    <w:p>
      <w:pPr>
        <w:spacing w:after="0" w:line="185"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Net revenue increased $64.9 million, or 11.7%, to $617.5 million in the six months ended June 30, 2023 compared to $552.6 million in the six months ended June 30, 2022. The increase was driven primarily by increased demand for our products in both Showrooms and eCommerce.</w:t>
      </w:r>
    </w:p>
    <w:p>
      <w:pPr>
        <w:spacing w:after="0" w:line="106"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Comparable growth was 8.9% in the six months ended June 30, 2023 compared to 53.1% in the six months ended June 30, 2022. Demand comparable growth was 8.5% in the six months ended June 30, 2023 compared to 14.7% in the six months ended June 30, 2022.</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85"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Gross margin increased $37.6 million, or 16.3%, to $268.4 million in the six months ended June 30, 2023 compared to $230.7 million in the six months ended June 30, 2022. Gross margin improvement was driven by the increase in net revenue, partially offset by increased variable expense related to the higher revenue, including $11.6 million of increased product costs, $6.0 million of increased transportation costs, $4.4 million of increased fixed Showroom costs, $2.0 million of increased credit card fees related to higher interest rates and demand and $1.5 million of increased variable rent expense.</w:t>
      </w:r>
    </w:p>
    <w:p>
      <w:pPr>
        <w:spacing w:after="0" w:line="117"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As a percentage of net revenue, gross margin increased 170 basis points to 43.5% of net revenue in the six months ended June 30, 2023 compared to 41.8% of net revenue in the six months ended June 30, 2022. The gross margin increase as a percentage of net revenue was primarily the result of favorable product and transportation costs over higher net revenue, contributing 190 and 10 basis points to the gross margin improvements, respectively. This was partially offset by higher fixed and variable Showroom costs and credit card fees, which together increased 20 basis points as a percentage of net revenue.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8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SG&amp;A expenses increased $11.3 million, or 7.2%, to $168.9 million in the six months ended June 30, 2023 compared to $157.6 million in the six months ended June 30, 2022. The increase in SG&amp;A expenses was primarily driven by an $11.9 million increase in corporate expenses to support the growth of the business and a $6.0 million increase in selling expenses related to new Showrooms and higher demand, partially offset by a $5.1 million decrease in warehouse expenses.</w:t>
      </w:r>
    </w:p>
    <w:p>
      <w:pPr>
        <w:spacing w:after="0" w:line="14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a percentage of net revenue, SG&amp;A expenses decreased 110 basis points to 27.4% of net revenue in the six months ended June 30, 2023 compared to 28.5% of net revenue in the six months ended June 30, 2022.</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(income), net</w:t>
      </w:r>
    </w:p>
    <w:p>
      <w:pPr>
        <w:spacing w:after="0" w:line="19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Interest expense (income), net decreased $3.3 million for the six months ended June 30, 2023 compared to the six months ended June 30, 2022, primarily due to interest income earned on money market fund investments of $3.3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Income tax expense was $26.5 million in the six months ended June 30, 2023 compared to $18.3 million in the six months ended June 30, 2022. Our effective tax rate was 26.3% and 25.8% for the six months ended June 30, 2023 and 2022,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and Comprehensive Income</w:t>
      </w:r>
    </w:p>
    <w:p>
      <w:pPr>
        <w:spacing w:after="0" w:line="18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Net and comprehensive income increased $21.6 million to $74.3 million in the six months ended June 30, 2023 compared to $52.7 million in the six months ended June 30, 2022. The increase was driven by the factors described above.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June 30, 2023 and 2022</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w:t>
      </w:r>
    </w:p>
    <w:p>
      <w:pPr>
        <w:spacing w:after="0" w:line="18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Net revenue increased $6.6 million, or 2.2%, to $312.9 million in the three months ended June 30, 2023 compared to $306.3 million in the three months ended June 30, 2022. The increase was driven primarily by increased demand for our products in both Showrooms and eCommerce.</w:t>
      </w:r>
    </w:p>
    <w:p>
      <w:pPr>
        <w:spacing w:after="0" w:line="106"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color w:val="auto"/>
        </w:rPr>
        <w:t>Comparable growth was (0.8)% in the three months ended June 30, 2023 compared to 65.2% in the three months ended June 30, 2022. Demand comparable growth was 11.6% in the three months ended June 30, 2023 compared to 22.5% in the three months ended June 30, 2022.</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8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Gross margin increased $7.1 million, or 5.3%, to $140.1 million in the three months ended June 30, 2023 compared to $133.0 million in the three months ended June 30, 2022. Gross margin improvement was driven by the increase in net revenue and $4.0 million of lower product costs, partially offset by higher fixed Showroom costs of $2.8 million and $1.0 million of increased credit card fees related to higher interest rates and demand during the three months ended June 30, 2023 compared to the three months ended June 30, 2022.</w:t>
      </w:r>
    </w:p>
    <w:p>
      <w:pPr>
        <w:spacing w:after="0" w:line="14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 percentage of net revenue, gross margin increased 140 basis points to 44.8% of net revenue in the three months ended June 30, 2023 compared to 43.4% of net revenue in the three months ended June 30, 2022. The gross margin increase as a percentage of net revenue was primarily the result of lower product costs contributing 200 basis points to the gross margin improvements. This was partially offset by higher fixed Showroom costs and credit card fees, which together increased 100 basis points as a percentage of net revenue.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SG&amp;A expenses increased $3.4 million, or 4.1%, to $86.1 million in the three months ended June 30, 2023 compared to $82.8 million in the three months ended June 30, 2022.</w:t>
      </w:r>
    </w:p>
    <w:p>
      <w:pPr>
        <w:spacing w:after="0" w:line="130"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increase in SG&amp;A expenses was primarily driven by a $5.4 million increase in corporate expenses to support the growth of the business and a $3.4 million increase in selling expenses related to new Showrooms and higher demand, partially offset by a $4.1 million decrease in warehouse expenses.</w:t>
      </w:r>
    </w:p>
    <w:p>
      <w:pPr>
        <w:spacing w:after="0" w:line="9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a percentage of net revenue, SG&amp;A expenses increased 50 basis points to 27.5% of net revenue in the three months ended June 30, 2023 compared to 27.0% of net revenue in the three months ended June 30, 2022.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(income), net</w:t>
      </w:r>
    </w:p>
    <w:p>
      <w:pPr>
        <w:spacing w:after="0" w:line="18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Interest expense (income), net decreased $1.8 million for the three months ended June 30, 2023 compared to the three months ended June 30, 2022, primarily due to interest income earned on money market fund investments of $1.8 million.</w:t>
      </w:r>
    </w:p>
    <w:p>
      <w:pPr>
        <w:spacing w:after="0" w:line="200" w:lineRule="exact"/>
        <w:rPr>
          <w:sz w:val="20"/>
          <w:szCs w:val="20"/>
          <w:color w:val="auto"/>
        </w:rPr>
      </w:pPr>
    </w:p>
    <w:p>
      <w:pPr>
        <w:spacing w:after="0" w:line="34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9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Income taxes were $14.4 million in the three months ended June 30, 2023 compared to $12.4 million in the three months ended June 30, 2022. Our effective tax rate was 26.3% and 25.3% for the three months ended June 30, 2023 and 2022,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and Comprehensive Income</w:t>
      </w:r>
    </w:p>
    <w:p>
      <w:pPr>
        <w:spacing w:after="0" w:line="18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Net and comprehensive income increased $3.5 million to $40.2 million in the three months ended June 30, 2023 compared to $36.6 million in the three months ended June 30, 2022. The increase was driven by the factors described above.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Outlook</w:t>
      </w:r>
    </w:p>
    <w:p>
      <w:pPr>
        <w:spacing w:after="0" w:line="18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primary cash needs have historically been for merchandise inventories, payroll, marketing catalogs, Showroom rent, capital expenditures associated with opening new Showrooms and updating existing Showrooms, as well as the development of our infrastructure and information technology. We seek out and evaluate opportunities for effectively managing and deploying capital in ways that improve working capital and support and enhance our business initiatives and strategies. As of June 30, 2023, we had cash and cash equivalents of $176.8 million.</w:t>
      </w:r>
    </w:p>
    <w:p>
      <w:pPr>
        <w:spacing w:after="0" w:line="14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November 2021, the Company entered into a revolving credit facility (the “2021 Credit Facility”). The 2021 Credit Facility provides for, among other things, (1) a revolving credit facility in an aggregate amount not to exceed at any time outstanding the amount of such lender’s commitment, (2) a letter of credit commitment in an amount equal to the lesser of (a) $10.0 million, and (b) the amount of the revolving credit facility as of such date, and (3) a swingline loan in an amount equal to the lesser of (a) $5.0 million, and (b) the amount of the revolving credit facility as of such date. The aggregate amount of all commitments of all lenders under the 2021 Credit Facility was initially $50.0 million. The 2021 Credit Facility contains restrictive covenants and has certain financial covenants, including a minimum rent-adjusted total leverage ratio and a minimum fixed charge ratio. The 2021 Credit Facility bears variable interest rates at the prevailing Bloomberg Short-Term Bank Yield index rate plus the applicable margin (1.50% at June 30, 2023 and 2022), whereas the applicable margin is adjusted quarterly based on the Company’s consolidated rent-adjusted total leverage ratio.</w:t>
      </w:r>
    </w:p>
    <w:p>
      <w:pPr>
        <w:spacing w:after="0" w:line="1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December 9, 2022, the Company amended the 2021 Credit Facility to increase the revolving credit commitment thereunder by $25.0 million. After giving effect to such increase, the aggregate amount of all commitments under the 2021 Credit Facility is $75.0 million. The 2021 Credit Facility expires on November 8, 2026. At June 30, 2023, we had no borrowings on the 2021 Credit Facility.</w:t>
      </w:r>
    </w:p>
    <w:p>
      <w:pPr>
        <w:spacing w:after="0" w:line="143"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For the six months ended June 30, 2023, our principal sources of liquidity were cash flows from operations. We believe our operating cash flows will be sufficient to meet working capital requirements and fulfill other capital needs for at least the next 12 months, although we may enter into borrowing arrangements in the future.</w:t>
      </w:r>
    </w:p>
    <w:p>
      <w:pPr>
        <w:spacing w:after="0" w:line="15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While we do not require debt to fund our operations, our goal continues to be to position the Company to take advantage of the many opportunities that we may identify in connection with our business and operations. We have pursued in the past, and may pursue in the future, additional strategies to generate capital to pursue opportunities and investments, including new debt financing arrangements. In addition to funding the normal operations of our business, we have used our liquidity to fund investments and strategies such as supply chain expansion and growth initiatives. In addition, our needs and uses of capital may change in the future due to changes in our business or new opportunities that we choose to pursue.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8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Historically, we have invested significant capital expenditures in opening new Showrooms and expanding our distribution center footprint. While our capital expenditures vary year to year, they have increased in the past and may continue to increase in future periods as our distribution centers become fully operational and we open additional Showrooms. Our capital expenditures include expenditures related to investing activities and outflows of capital related to construction activities to design and build landlord-owned leased assets, net of tenant allowances received. Certain lease arrangements require the landlord to fund a portion of the construction related costs through payments directly to us. New Showrooms may require different levels of capital investment on our part in the future.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240"/>
        <w:spacing w:after="0" w:line="461" w:lineRule="auto"/>
        <w:rPr>
          <w:sz w:val="20"/>
          <w:szCs w:val="20"/>
          <w:color w:val="auto"/>
        </w:rPr>
      </w:pPr>
      <w:r>
        <w:rPr>
          <w:rFonts w:ascii="Arial" w:cs="Arial" w:eastAsia="Arial" w:hAnsi="Arial"/>
          <w:sz w:val="18"/>
          <w:szCs w:val="18"/>
          <w:color w:val="auto"/>
        </w:rPr>
        <w:t xml:space="preserve">Refer to Note 4 —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to our condensed consolidated financial statements for further information on our 2021 Credit Facility. </w:t>
      </w:r>
      <w:r>
        <w:rPr>
          <w:rFonts w:ascii="Arial" w:cs="Arial" w:eastAsia="Arial" w:hAnsi="Arial"/>
          <w:sz w:val="18"/>
          <w:szCs w:val="18"/>
          <w:b w:val="1"/>
          <w:bCs w:val="1"/>
          <w:i w:val="1"/>
          <w:iCs w:val="1"/>
          <w:color w:val="auto"/>
        </w:rPr>
        <w:t>Cash Flow Analysis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our cash provided by operating, investing and financing activities: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34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73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vMerge w:val="restart"/>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38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37"/>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61,795</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41,110</w:t>
            </w:r>
          </w:p>
        </w:tc>
        <w:tc>
          <w:tcPr>
            <w:tcW w:w="0" w:type="dxa"/>
            <w:vAlign w:val="bottom"/>
          </w:tcPr>
          <w:p>
            <w:pPr>
              <w:spacing w:after="0"/>
              <w:rPr>
                <w:sz w:val="1"/>
                <w:szCs w:val="1"/>
                <w:color w:val="auto"/>
              </w:rPr>
            </w:pPr>
          </w:p>
        </w:tc>
      </w:tr>
      <w:tr>
        <w:trPr>
          <w:trHeight w:val="229"/>
        </w:trPr>
        <w:tc>
          <w:tcPr>
            <w:tcW w:w="7480" w:type="dxa"/>
            <w:vAlign w:val="bottom"/>
            <w:gridSpan w:val="2"/>
          </w:tcPr>
          <w:p>
            <w:pPr>
              <w:ind w:left="20"/>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(32,482)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(20,355)</w:t>
            </w:r>
          </w:p>
        </w:tc>
        <w:tc>
          <w:tcPr>
            <w:tcW w:w="0" w:type="dxa"/>
            <w:vAlign w:val="bottom"/>
          </w:tcPr>
          <w:p>
            <w:pPr>
              <w:spacing w:after="0"/>
              <w:rPr>
                <w:sz w:val="1"/>
                <w:szCs w:val="1"/>
                <w:color w:val="auto"/>
              </w:rPr>
            </w:pPr>
          </w:p>
        </w:tc>
      </w:tr>
      <w:tr>
        <w:trPr>
          <w:trHeight w:val="229"/>
        </w:trPr>
        <w:tc>
          <w:tcPr>
            <w:tcW w:w="7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7"/>
        </w:trPr>
        <w:tc>
          <w:tcPr>
            <w:tcW w:w="7480" w:type="dxa"/>
            <w:vAlign w:val="bottom"/>
            <w:gridSpan w:val="2"/>
          </w:tcPr>
          <w:p>
            <w:pPr>
              <w:ind w:left="20"/>
              <w:spacing w:after="0"/>
              <w:rPr>
                <w:sz w:val="20"/>
                <w:szCs w:val="20"/>
                <w:color w:val="auto"/>
              </w:rPr>
            </w:pPr>
            <w:r>
              <w:rPr>
                <w:rFonts w:ascii="Arial" w:cs="Arial" w:eastAsia="Arial" w:hAnsi="Arial"/>
                <w:sz w:val="18"/>
                <w:szCs w:val="18"/>
                <w:color w:val="auto"/>
              </w:rPr>
              <w:t>Net increase (decrease) in cash, cash equivalents and restricted cash equivalents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28,836</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20,705</w:t>
            </w:r>
          </w:p>
        </w:tc>
        <w:tc>
          <w:tcPr>
            <w:tcW w:w="0" w:type="dxa"/>
            <w:vAlign w:val="bottom"/>
          </w:tcPr>
          <w:p>
            <w:pPr>
              <w:spacing w:after="0"/>
              <w:rPr>
                <w:sz w:val="1"/>
                <w:szCs w:val="1"/>
                <w:color w:val="auto"/>
              </w:rPr>
            </w:pPr>
          </w:p>
        </w:tc>
      </w:tr>
      <w:tr>
        <w:trPr>
          <w:trHeight w:val="21"/>
        </w:trPr>
        <w:tc>
          <w:tcPr>
            <w:tcW w:w="7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operating activities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six months ended June 30, 2023 and 2022</w:t>
      </w:r>
    </w:p>
    <w:p>
      <w:pPr>
        <w:spacing w:after="0" w:line="18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Operating activities consist primarily of net income adjusted for non-cash items including depreciation and amortization, operating lease amortization, deferred income taxes, equity based compensation and the effect of changes in working capital and other activities.</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the six months ended June 30, 2023, net cash provided by operating activities was $61.8 million and consisted of net income of $74.3 million and an increase of non-cash items of $49.4 million, which were partially offset by a change in working capital and other activities of $61.9 million. The use of cash from working capital was primarily driven by a decrease in accrued expenses of $14.8 million, a decrease in operating lease liabilities of $17.9 million primarily due to payments made under the related lease agreements, a decrease in client deposits of $9.2 million primarily due to delivery of our orders, an increase of merchandise inventory of $8.5 million, an increase in prepaid and other current assets of $6.8 million and a decrease in accounts payable of $4.8 million, in the six months ended June 30, 2023.</w:t>
      </w:r>
    </w:p>
    <w:p>
      <w:pPr>
        <w:spacing w:after="0" w:line="152"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For the six months ended June 30, 2022, net cash provided by operating activities was $41.1 million and consisted of net income of $52.7 million and increases of non-cash items of $38.1 million, which was partially offset by a change in working capital and other activities of $49.7 million. The use of cash from working capital was primarily driven by an increase in merchandise inventory of $64.1 million, a decrease in operating lease liabilities of $15.4 million primarily due to payments made under the related lease agreements, an increase in prepaid and other current assets of $5.1 million, which was partially offset by an increase in accounts payable of $15.2 million, an increase in client deposits of $12.0 million primarily driven by higher demand comparable growth during the six months ended June 30, 2022 and an increase in accrued expenses of $8.7 million.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9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Investing activities consist primarily of capital expenditures related to investments in retail Showrooms, information technology and systems infrastructure, as well as supply chain investments.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six months ended June 30, 2023 and 2022</w:t>
      </w:r>
    </w:p>
    <w:p>
      <w:pPr>
        <w:spacing w:after="0" w:line="18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the six months ended June 30, 2023, net cash used in investing activities was $32.5 million primarily due to investments in Showrooms, supply chain expansion and information technology and systems infrastructure.</w:t>
      </w:r>
    </w:p>
    <w:p>
      <w:pPr>
        <w:spacing w:after="0" w:line="14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For the six months ended June 30, 2022, net cash used in investing activities was $20.4 million primarily due to supply chain expansion, investments in Showrooms and information technology and system infrastructure.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Historical capital expenditures are summarized as follows:</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45"/>
        </w:trPr>
        <w:tc>
          <w:tcPr>
            <w:tcW w:w="5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w w:val="99"/>
              </w:rPr>
              <w:t>Six months ended June 30,</w:t>
            </w:r>
          </w:p>
        </w:tc>
      </w:tr>
      <w:tr>
        <w:trPr>
          <w:trHeight w:val="27"/>
        </w:trPr>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240" w:type="dxa"/>
            <w:vAlign w:val="bottom"/>
            <w:gridSpan w:val="2"/>
          </w:tcPr>
          <w:p>
            <w:pPr>
              <w:ind w:left="20"/>
              <w:spacing w:after="0"/>
              <w:rPr>
                <w:sz w:val="20"/>
                <w:szCs w:val="20"/>
                <w:color w:val="auto"/>
              </w:rPr>
            </w:pPr>
            <w:r>
              <w:rPr>
                <w:rFonts w:ascii="Arial" w:cs="Arial" w:eastAsia="Arial" w:hAnsi="Arial"/>
                <w:sz w:val="18"/>
                <w:szCs w:val="18"/>
                <w:b w:val="1"/>
                <w:bCs w:val="1"/>
                <w:color w:val="auto"/>
              </w:rPr>
              <w:t>(In thousands)</w:t>
            </w:r>
          </w:p>
        </w:tc>
        <w:tc>
          <w:tcPr>
            <w:tcW w:w="360" w:type="dxa"/>
            <w:vAlign w:val="bottom"/>
          </w:tcPr>
          <w:p>
            <w:pPr>
              <w:spacing w:after="0"/>
              <w:rPr>
                <w:sz w:val="20"/>
                <w:szCs w:val="20"/>
                <w:color w:val="auto"/>
              </w:rPr>
            </w:pPr>
          </w:p>
        </w:tc>
        <w:tc>
          <w:tcPr>
            <w:tcW w:w="1260" w:type="dxa"/>
            <w:vAlign w:val="bottom"/>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2022</w:t>
            </w:r>
          </w:p>
        </w:tc>
      </w:tr>
      <w:tr>
        <w:trPr>
          <w:trHeight w:val="27"/>
        </w:trPr>
        <w:tc>
          <w:tcPr>
            <w:tcW w:w="5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32,482</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20,355</w:t>
            </w:r>
          </w:p>
        </w:tc>
      </w:tr>
      <w:tr>
        <w:trPr>
          <w:trHeight w:val="256"/>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Less: Landlord contributions</w:t>
            </w: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8,859</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7,064</w:t>
            </w:r>
          </w:p>
        </w:tc>
      </w:tr>
      <w:tr>
        <w:trPr>
          <w:trHeight w:val="289"/>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capital expenditures, net of landlord contributions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23,623</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13,291</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Total capital expenditures, net of landlord contributions increased by $10.3 million in the six months ended June 30, 2023 compared to the six months ended June 30, 2022.</w:t>
      </w:r>
    </w:p>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anticipate our total company funded capital expenditures to be between $70 million and $80 million in fiscal year 2023, primarily related to the opening of new Showrooms.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financing activities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six months ended June 30, 2023 and 2022</w:t>
      </w:r>
    </w:p>
    <w:p>
      <w:pPr>
        <w:spacing w:after="0" w:line="18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For the six months ended June 30, 2023, net cash used in financing activities was $0.5 million primarily due to the repurchase of shares for payment of withholding taxes for equity based compensation.</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For the six months ended June 30, 2022, net cash used in financing activities was $50.0 thousand due to principal payments on finance leases.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Transactions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we have no material off-balance sheet arrangements.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Accounting policies and estimates are considered critical when they require management to make subjective and complex judgments, estimates and assumptions about matters that have a material impact on the presentation of our financial statements and accompanying notes. For a description of our critical accounting policies and estimates, see Part II, Item 7 “Management’s Discussion and Analysis of Financial Condition and Results of Operations — Critical Accounting Policies and Estimates” in our Annual Report on Form 10-K for the year ended December 31, 2022.</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2 — </w:t>
      </w:r>
      <w:r>
        <w:rPr>
          <w:rFonts w:ascii="Arial" w:cs="Arial" w:eastAsia="Arial" w:hAnsi="Arial"/>
          <w:sz w:val="18"/>
          <w:szCs w:val="18"/>
          <w:i w:val="1"/>
          <w:iCs w:val="1"/>
          <w:color w:val="auto"/>
        </w:rPr>
        <w:t>Recently Issued Accounting Standards</w:t>
      </w:r>
      <w:r>
        <w:rPr>
          <w:rFonts w:ascii="Arial" w:cs="Arial" w:eastAsia="Arial" w:hAnsi="Arial"/>
          <w:sz w:val="18"/>
          <w:szCs w:val="18"/>
          <w:color w:val="auto"/>
        </w:rPr>
        <w:t xml:space="preserve"> to our condensed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are exposed to market risks, which include significant deterioration of the U.S. and foreign markets, changes in U.S. interest rates, foreign currency exchange rate fluctuations and the effects of economic uncertainty, which may affect the prices we pay our vendors in the foreign countries in which we do business. We do not engage in financial transactions for trading or speculative purposes.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185"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We believe foreign currency exchange rate fluctuations do not contain significant market risk to us due to the nature of our relationships with our vendors outside of the United States. We purchase the majority of our inventory from vendors outside of the United States in transactions that are primarily denominated in U.S. dollars and, as such, any foreign currency impact related to these international purchase transactions was not significant to us for the six and three months ended June 30, 2023 and 2022, respectively. However, since we pay for the majority of our international purchases in U.S. dollars, a decline in the U.S. dollar relative to other foreign currencies would subject us to risks associated with increased purchasing costs from our vendors. We cannot predict with certainty the effect these increased costs may have on our financial statements or results of operations. We currently do not use derivative instruments to manage this risk.</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primarily exposed to interest rate risk with respect to borrowing under our 2021 Credit Facility and as of June 30, 2023, we have not drawn upon the 2021 Credit Facility. Based on the interest rate in the 2021 Credit Facility and to the extent borrowings were outstanding, we do not believe a 100 basis point change in interest rates would have a material impact on our financial condition or results of operations for the periods presented. We currently do not use derivative instruments to manage this risk.</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Inflation</w:t>
      </w:r>
    </w:p>
    <w:p>
      <w:pPr>
        <w:spacing w:after="0" w:line="18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Inflation generally affects us by increasing our cost of labor, material, transportation, and our general costs. We have historically been able to recover these cost increases through price increases. However, we cannot reasonably estimate our ability to successfully recover any impact of inflation through price increases in the future. We currently do not use derivative instruments to manage this risk.</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Emerging Growth Company Status</w:t>
      </w:r>
    </w:p>
    <w:p>
      <w:pPr>
        <w:spacing w:after="0" w:line="18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an “emerging growth company,” as defined in the JOBS Act. Under the JOBS Act, emerging growth companies can delay adopting new or revised accounting standards until such time as those standards apply to private companies. We have elected to use this extended transition period to enable us to comply with new or revised accounting standards that have different effective dates for public and private companies until the earlier of the date we are no longer an emerging growth company or affirmatively and irrevocably opt out of the extended transition period provided in the JOBS Act. Accordingly, our condensed consolidated financial statements may not be comparable to companies that comply with new or revised accounting pronouncements as of public company effective dates.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Under the supervision and with the participation of our CEO and Chief Financial Officer (“CFO”), management has evaluated the effectiveness of the design and operation of our disclosure controls and procedures (as defined in Rules 13a-15(e) and 15d-15(e) of the Securities Exchange Act of 1934) as of June 30, 2023. Based on their evaluation as of June 30, 2023, the CEO and CFO have concluded that our disclosure controls and procedures were not effective at the reasonable assurance level because of the material weaknesses in our internal control over financial reporting described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Based upon that evaluation, our CEO and CFO identified four material weaknesses in our internal control over financial reporting.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Weaknesses in Internal Control Over Financial Reporting</w:t>
      </w:r>
    </w:p>
    <w:p>
      <w:pPr>
        <w:spacing w:after="0" w:line="18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106" w:lineRule="exact"/>
        <w:rPr>
          <w:sz w:val="20"/>
          <w:szCs w:val="20"/>
          <w:color w:val="auto"/>
        </w:rPr>
      </w:pPr>
    </w:p>
    <w:p>
      <w:pPr>
        <w:ind w:left="660" w:right="20" w:hanging="328"/>
        <w:spacing w:after="0" w:line="25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did not design and maintain an effective control environment commensurate with our financial reporting requirements. Specifically, we lacked a sufficient complement of professionals with an appropriate level of accounting knowledge, training and experience to appropriately analyze, record and disclose accounting matters timely and accurately. Additionally, the lack of a sufficient number of professionals resulted in an inability to consistently establish appropriate authorities and responsibilities in pursuit of our financial reporting objectives, as demonstrated by, amongst other things, insufficient segregation of duties in our finance and accounting functions. This material weakness contributed to the following additional material weaknesses.</w:t>
      </w:r>
    </w:p>
    <w:p>
      <w:pPr>
        <w:spacing w:after="0" w:line="1"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did not design and maintain accounting policies, procedures and controls, or maintain documentary evidence of existing control activities to achieve complete, accurate and timely financial accounting, reporting and disclosures, including adequate controls over the period-end financial reporting process, the preparation and review of account reconciliations and journal entries, including segregation of duties and assessing the reliability of reports and spreadsheets used in controls.</w:t>
      </w:r>
    </w:p>
    <w:p>
      <w:pPr>
        <w:spacing w:after="0" w:line="1" w:lineRule="exact"/>
        <w:rPr>
          <w:rFonts w:ascii="Arial" w:cs="Arial" w:eastAsia="Arial" w:hAnsi="Arial"/>
          <w:sz w:val="18"/>
          <w:szCs w:val="18"/>
          <w:color w:val="auto"/>
        </w:rPr>
      </w:pPr>
    </w:p>
    <w:p>
      <w:pPr>
        <w:ind w:left="660" w:right="120" w:hanging="328"/>
        <w:spacing w:after="0" w:line="255"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did not design and maintain effective controls to address the identification of and accounting for certain non-routine or complex transactions, including the proper application of U.S. GAAP of such transactions. Specifically, we did not design and maintain controls to timely or appropriately account for our incentive unit plan.</w:t>
      </w: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These material weaknesses resulted in a restatement of our previously issued annual consolidated financial statements as of and for the years ended December 31, 2020 and 2019 principally related to selling, general and administrative expenses and other long-term liabilities, and misclassifications in the balance sheets and statements of comprehensive income. These material weaknesses also resulted in immaterial adjustments recorded as of and for the year ended December 31, 2021 principally related to property, furniture and equipment, net; selling, general and administrative expenses; and misclassifications in the balance sheet and statement of cash flows. Additionally, each of the material weaknesses could result in misstatements to substantially all of our accounts or disclosures, that would result in a material misstatement to the annual or interim consolidated financial statements that would not be prevented or detected.</w:t>
      </w:r>
    </w:p>
    <w:p>
      <w:pPr>
        <w:spacing w:after="0" w:line="168" w:lineRule="exact"/>
        <w:rPr>
          <w:sz w:val="20"/>
          <w:szCs w:val="20"/>
          <w:color w:val="auto"/>
        </w:rPr>
      </w:pPr>
    </w:p>
    <w:p>
      <w:pPr>
        <w:ind w:left="660" w:right="140" w:hanging="328"/>
        <w:spacing w:after="0" w:line="291"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Lastly, we did not design and maintain effective controls over information technology (“IT”), general controls for information systems that are relevant to the preparation of our financial statements. Specifically, we did not design and maintain: (i) program change management controls for financial systems to ensure that information technology program and data changes affecting financial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126"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These IT deficiencies did not result in material adjustments to our consolidated financial statements, however, the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management has determined these IT deficiencies in the aggregate constitute a material weakness.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Activities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With the oversight of senior management and our Audit Committee, we have designed and begun to implement a remediation plan which includes:</w:t>
      </w:r>
    </w:p>
    <w:p>
      <w:pPr>
        <w:spacing w:after="0" w:line="196" w:lineRule="exact"/>
        <w:rPr>
          <w:sz w:val="20"/>
          <w:szCs w:val="20"/>
          <w:color w:val="auto"/>
        </w:rPr>
      </w:pPr>
    </w:p>
    <w:p>
      <w:pPr>
        <w:ind w:left="660" w:right="260" w:hanging="328"/>
        <w:spacing w:after="0" w:line="25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Updating our policies and procedures to establish and maintain effective segregation of duties for our finance and accounting staff in relation to journal entries, reconciliations and other applicable processes.</w:t>
      </w:r>
    </w:p>
    <w:p>
      <w:pPr>
        <w:spacing w:after="0" w:line="1" w:lineRule="exact"/>
        <w:rPr>
          <w:rFonts w:ascii="Arial" w:cs="Arial" w:eastAsia="Arial" w:hAnsi="Arial"/>
          <w:sz w:val="18"/>
          <w:szCs w:val="18"/>
          <w:color w:val="auto"/>
        </w:rPr>
      </w:pPr>
    </w:p>
    <w:p>
      <w:pPr>
        <w:jc w:val="both"/>
        <w:ind w:left="660" w:right="60" w:hanging="328"/>
        <w:spacing w:after="0" w:line="281"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Designing and implementing internal financial reporting procedures and controls to improve the completeness, accuracy and timely preparation of financial reporting and disclosures inclusive of establishing an ongoing program to provide sufficient training to our finance and accounting staff.</w:t>
      </w:r>
    </w:p>
    <w:p>
      <w:pPr>
        <w:spacing w:after="0" w:line="1" w:lineRule="exact"/>
        <w:rPr>
          <w:rFonts w:ascii="Arial" w:cs="Arial" w:eastAsia="Arial" w:hAnsi="Arial"/>
          <w:sz w:val="16"/>
          <w:szCs w:val="16"/>
          <w:color w:val="auto"/>
        </w:rPr>
      </w:pPr>
    </w:p>
    <w:p>
      <w:pPr>
        <w:ind w:left="660" w:right="10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Enhancing the design and operation of user access control activities and procedures to ensure that access to IT applications and data is adequately restricted to appropriate personnel.</w:t>
      </w:r>
    </w:p>
    <w:p>
      <w:pPr>
        <w:ind w:left="660" w:right="22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Hiring additional competent and qualified technical accounting and financial reporting personnel with appropriate knowledge and experience of U.S. GAAP and SEC financial reporting requirements, including non-routine and complex transactions, to design, execute and/or provide appropriate oversight of activities related to internal control over financial reporting, or ICFR.</w:t>
      </w:r>
    </w:p>
    <w:p>
      <w:pPr>
        <w:spacing w:after="0" w:line="1" w:lineRule="exact"/>
        <w:rPr>
          <w:rFonts w:ascii="Arial" w:cs="Arial" w:eastAsia="Arial" w:hAnsi="Arial"/>
          <w:sz w:val="18"/>
          <w:szCs w:val="18"/>
          <w:color w:val="auto"/>
        </w:rPr>
      </w:pPr>
    </w:p>
    <w:p>
      <w:pPr>
        <w:ind w:left="660" w:right="220" w:hanging="328"/>
        <w:spacing w:after="0" w:line="281"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Implementing additional program change management policies and procedures, control activities, and tools to ensure changes affecting key financial systems related to IT applications and underlying accounting records are identified, authorized, tested, and implemented appropriately.</w:t>
      </w:r>
    </w:p>
    <w:p>
      <w:pPr>
        <w:spacing w:after="0" w:line="1"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Designing and implementing a formal systems development lifecycle methodology and related program development controls to ensure significant IT change events are appropriately tested and approved.</w:t>
      </w:r>
    </w:p>
    <w:p>
      <w:pPr>
        <w:ind w:left="660" w:right="50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Enhancing the design and operation of control activities and procedures within the computer operations domain to ensure key batch jobs are monitored, processing failures are adequately resolved, and recovery capability is tested.</w:t>
      </w: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Identifying and evaluating key IT dependencies including key reports, automated application controls, interfaces, and end user computer facilities.</w:t>
      </w:r>
    </w:p>
    <w:p>
      <w:pPr>
        <w:spacing w:after="0" w:line="193"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Although we have developed and begun to implement a plan to remediate the material weaknesses and believe, based on our evaluation to date, that the material weaknesses will be remediated in a timely fashion, we cannot project a specific timeline on when the plan will be fully implemented. The material weaknesses will not be remediated until the necessary internal controls have been designed, implemented, tested and determined to be operating effectively. In addition, we may need to take additional measures to address the material weaknesses or modify the planned remediation steps, and we cannot be certain that the measures we have taken, and expect to take, to improve our internal controls will be sufficient to</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address the issues identified, to ensure that our internal controls are effective or to ensure that the identified material weaknesses will not result in a material misstatement of our consolidated financial statements. Moreover, we cannot provide assurance that we will not identify additional material weaknesses in our ICFR in the future. Until we remediate the material weaknesses, our ability to record, process and report financial information accurately, and to prepare our consolidated financial statements within the time periods specified by the rules and forms of the SEC, could be adversely affected.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Other than as described above with respect to ongoing remediation efforts, there were no changes in our internal control over financial reporting as such term is defined in Exchange Act Rule 13a-15(f) during the quarter ended June 30, 2023 that have materially affected, or are reasonably likely to materially affect, our internal control over financial reporting.</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From time to time, we have and we may become involved in legal proceedings arising in the ordinary course of business, including claims related to our employment practices, claims of intellectual property infringement and claims related to personal injuries and product liability for the products that we sell and in the Showrooms we operate. Any claims could result in litigation against us and could result in regulatory proceedings being brought against us by various federal and state agencies that regulate our business. Defending such litigation is costly and can impose significant burdens on management and employees. Further, we could receive unfavorable preliminary or interim rulings in the course of litigation, and there can be no assurance that favorable final outcomes will be obtained.</w:t>
      </w:r>
    </w:p>
    <w:p>
      <w:pPr>
        <w:spacing w:after="0" w:line="152" w:lineRule="exact"/>
        <w:rPr>
          <w:sz w:val="20"/>
          <w:szCs w:val="20"/>
          <w:color w:val="auto"/>
        </w:rPr>
      </w:pPr>
    </w:p>
    <w:p>
      <w:pPr>
        <w:jc w:val="both"/>
        <w:ind w:right="240"/>
        <w:spacing w:after="0" w:line="277" w:lineRule="auto"/>
        <w:rPr>
          <w:sz w:val="20"/>
          <w:szCs w:val="20"/>
          <w:color w:val="auto"/>
        </w:rPr>
      </w:pPr>
      <w:r>
        <w:rPr>
          <w:rFonts w:ascii="Arial" w:cs="Arial" w:eastAsia="Arial" w:hAnsi="Arial"/>
          <w:sz w:val="18"/>
          <w:szCs w:val="18"/>
          <w:color w:val="auto"/>
        </w:rPr>
        <w:t>We are currently not a party to any legal proceedings, the outcome of which, if determined adversely to us, would individually or in the aggregate have a material adverse effect on our business, financial condition or results of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from the risk factors disclosed in Part I, Item 1A “Risk Factors” in our Annual Report on Form 10-K for the year ended December 31, 2022.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2"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The following table contains information with respect to repurchases of shares made by the Company during the three months ended June 30, 2023. The table reflects shares delivered to the Company by employees to satisfy tax withholding obligations due upon the vesting of restricted stock. These shares were not repurchased in connection with any publicly announced share repurchase programs.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jc w:val="right"/>
              <w:ind w:right="90"/>
              <w:spacing w:after="0"/>
              <w:rPr>
                <w:sz w:val="20"/>
                <w:szCs w:val="20"/>
                <w:color w:val="auto"/>
              </w:rPr>
            </w:pPr>
            <w:r>
              <w:rPr>
                <w:rFonts w:ascii="Arial" w:cs="Arial" w:eastAsia="Arial" w:hAnsi="Arial"/>
                <w:sz w:val="18"/>
                <w:szCs w:val="18"/>
                <w:b w:val="1"/>
                <w:bCs w:val="1"/>
                <w:color w:val="auto"/>
                <w:w w:val="97"/>
              </w:rPr>
              <w:t>Total number of shares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Approximate dollar value of</w:t>
            </w:r>
          </w:p>
        </w:tc>
      </w:tr>
      <w:tr>
        <w:trPr>
          <w:trHeight w:val="216"/>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ind w:left="160"/>
              <w:spacing w:after="0"/>
              <w:rPr>
                <w:sz w:val="20"/>
                <w:szCs w:val="20"/>
                <w:color w:val="auto"/>
              </w:rPr>
            </w:pPr>
            <w:r>
              <w:rPr>
                <w:rFonts w:ascii="Arial" w:cs="Arial" w:eastAsia="Arial" w:hAnsi="Arial"/>
                <w:sz w:val="18"/>
                <w:szCs w:val="18"/>
                <w:b w:val="1"/>
                <w:bCs w:val="1"/>
                <w:color w:val="auto"/>
                <w:w w:val="97"/>
              </w:rPr>
              <w:t>Total number of 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ind w:left="40"/>
              <w:spacing w:after="0"/>
              <w:rPr>
                <w:sz w:val="20"/>
                <w:szCs w:val="20"/>
                <w:color w:val="auto"/>
              </w:rPr>
            </w:pPr>
            <w:r>
              <w:rPr>
                <w:rFonts w:ascii="Arial" w:cs="Arial" w:eastAsia="Arial" w:hAnsi="Arial"/>
                <w:sz w:val="18"/>
                <w:szCs w:val="18"/>
                <w:b w:val="1"/>
                <w:bCs w:val="1"/>
                <w:color w:val="auto"/>
                <w:w w:val="99"/>
              </w:rPr>
              <w:t>Average price paid per</w:t>
            </w:r>
          </w:p>
        </w:tc>
        <w:tc>
          <w:tcPr>
            <w:tcW w:w="80" w:type="dxa"/>
            <w:vAlign w:val="bottom"/>
          </w:tcPr>
          <w:p>
            <w:pPr>
              <w:spacing w:after="0"/>
              <w:rPr>
                <w:sz w:val="18"/>
                <w:szCs w:val="18"/>
                <w:color w:val="auto"/>
              </w:rPr>
            </w:pPr>
          </w:p>
        </w:tc>
        <w:tc>
          <w:tcPr>
            <w:tcW w:w="2140" w:type="dxa"/>
            <w:vAlign w:val="bottom"/>
          </w:tcPr>
          <w:p>
            <w:pPr>
              <w:jc w:val="right"/>
              <w:ind w:right="190"/>
              <w:spacing w:after="0"/>
              <w:rPr>
                <w:sz w:val="20"/>
                <w:szCs w:val="20"/>
                <w:color w:val="auto"/>
              </w:rPr>
            </w:pPr>
            <w:r>
              <w:rPr>
                <w:rFonts w:ascii="Arial" w:cs="Arial" w:eastAsia="Arial" w:hAnsi="Arial"/>
                <w:sz w:val="18"/>
                <w:szCs w:val="18"/>
                <w:b w:val="1"/>
                <w:bCs w:val="1"/>
                <w:color w:val="auto"/>
              </w:rPr>
              <w:t>purchased as part of</w:t>
            </w:r>
          </w:p>
        </w:tc>
        <w:tc>
          <w:tcPr>
            <w:tcW w:w="100" w:type="dxa"/>
            <w:vAlign w:val="bottom"/>
          </w:tcPr>
          <w:p>
            <w:pPr>
              <w:spacing w:after="0"/>
              <w:rPr>
                <w:sz w:val="18"/>
                <w:szCs w:val="18"/>
                <w:color w:val="auto"/>
              </w:rPr>
            </w:pPr>
          </w:p>
        </w:tc>
        <w:tc>
          <w:tcPr>
            <w:tcW w:w="2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shares that may yet be purchased</w:t>
            </w:r>
          </w:p>
        </w:tc>
      </w:tr>
      <w:tr>
        <w:trPr>
          <w:trHeight w:val="234"/>
        </w:trPr>
        <w:tc>
          <w:tcPr>
            <w:tcW w:w="1840" w:type="dxa"/>
            <w:vAlign w:val="bottom"/>
          </w:tcPr>
          <w:p>
            <w:pPr>
              <w:ind w:left="20"/>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20"/>
                <w:szCs w:val="20"/>
                <w:color w:val="auto"/>
              </w:rPr>
            </w:pPr>
          </w:p>
        </w:tc>
        <w:tc>
          <w:tcPr>
            <w:tcW w:w="2120" w:type="dxa"/>
            <w:vAlign w:val="bottom"/>
          </w:tcPr>
          <w:p>
            <w:pPr>
              <w:ind w:left="660"/>
              <w:spacing w:after="0"/>
              <w:rPr>
                <w:sz w:val="20"/>
                <w:szCs w:val="20"/>
                <w:color w:val="auto"/>
              </w:rPr>
            </w:pPr>
            <w:r>
              <w:rPr>
                <w:rFonts w:ascii="Arial" w:cs="Arial" w:eastAsia="Arial" w:hAnsi="Arial"/>
                <w:sz w:val="18"/>
                <w:szCs w:val="18"/>
                <w:b w:val="1"/>
                <w:bCs w:val="1"/>
                <w:color w:val="auto"/>
              </w:rPr>
              <w:t>purchased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tcPr>
          <w:p>
            <w:pPr>
              <w:ind w:left="720"/>
              <w:spacing w:after="0"/>
              <w:rPr>
                <w:sz w:val="20"/>
                <w:szCs w:val="20"/>
                <w:color w:val="auto"/>
              </w:rPr>
            </w:pPr>
            <w:r>
              <w:rPr>
                <w:rFonts w:ascii="Arial" w:cs="Arial" w:eastAsia="Arial" w:hAnsi="Arial"/>
                <w:sz w:val="18"/>
                <w:szCs w:val="18"/>
                <w:b w:val="1"/>
                <w:bCs w:val="1"/>
                <w:color w:val="auto"/>
              </w:rPr>
              <w:t>share</w:t>
            </w:r>
          </w:p>
        </w:tc>
        <w:tc>
          <w:tcPr>
            <w:tcW w:w="8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w w:val="92"/>
              </w:rPr>
              <w:t>publicly announced plans</w:t>
            </w:r>
          </w:p>
        </w:tc>
        <w:tc>
          <w:tcPr>
            <w:tcW w:w="100" w:type="dxa"/>
            <w:vAlign w:val="bottom"/>
          </w:tcPr>
          <w:p>
            <w:pPr>
              <w:spacing w:after="0"/>
              <w:rPr>
                <w:sz w:val="20"/>
                <w:szCs w:val="20"/>
                <w:color w:val="auto"/>
              </w:rPr>
            </w:pPr>
          </w:p>
        </w:tc>
        <w:tc>
          <w:tcPr>
            <w:tcW w:w="2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under publicly announced plans</w:t>
            </w:r>
          </w:p>
        </w:tc>
      </w:tr>
      <w:tr>
        <w:trPr>
          <w:trHeight w:val="27"/>
        </w:trPr>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23"/>
        </w:trPr>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2023</w:t>
            </w: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440" w:type="dxa"/>
            <w:vAlign w:val="bottom"/>
            <w:shd w:val="clear" w:color="auto" w:fill="CCEEFF"/>
          </w:tcPr>
          <w:p>
            <w:pPr>
              <w:ind w:left="2180"/>
              <w:spacing w:after="0"/>
              <w:rPr>
                <w:sz w:val="20"/>
                <w:szCs w:val="20"/>
                <w:color w:val="auto"/>
              </w:rPr>
            </w:pPr>
            <w:r>
              <w:rPr>
                <w:rFonts w:ascii="Arial" w:cs="Arial" w:eastAsia="Arial" w:hAnsi="Arial"/>
                <w:sz w:val="18"/>
                <w:szCs w:val="18"/>
                <w:color w:val="auto"/>
              </w:rPr>
              <w:t>—</w:t>
            </w:r>
          </w:p>
        </w:tc>
      </w:tr>
      <w:tr>
        <w:trPr>
          <w:trHeight w:val="237"/>
        </w:trPr>
        <w:tc>
          <w:tcPr>
            <w:tcW w:w="1840" w:type="dxa"/>
            <w:vAlign w:val="bottom"/>
          </w:tcPr>
          <w:p>
            <w:pPr>
              <w:ind w:left="20"/>
              <w:spacing w:after="0"/>
              <w:rPr>
                <w:sz w:val="20"/>
                <w:szCs w:val="20"/>
                <w:color w:val="auto"/>
              </w:rPr>
            </w:pPr>
            <w:r>
              <w:rPr>
                <w:rFonts w:ascii="Arial" w:cs="Arial" w:eastAsia="Arial" w:hAnsi="Arial"/>
                <w:sz w:val="18"/>
                <w:szCs w:val="18"/>
                <w:color w:val="auto"/>
              </w:rPr>
              <w:t>May 2023</w:t>
            </w:r>
          </w:p>
        </w:tc>
        <w:tc>
          <w:tcPr>
            <w:tcW w:w="120" w:type="dxa"/>
            <w:vAlign w:val="bottom"/>
          </w:tcPr>
          <w:p>
            <w:pPr>
              <w:spacing w:after="0"/>
              <w:rPr>
                <w:sz w:val="20"/>
                <w:szCs w:val="20"/>
                <w:color w:val="auto"/>
              </w:rPr>
            </w:pPr>
          </w:p>
        </w:tc>
        <w:tc>
          <w:tcPr>
            <w:tcW w:w="2120" w:type="dxa"/>
            <w:vAlign w:val="bottom"/>
          </w:tcPr>
          <w:p>
            <w:pPr>
              <w:ind w:left="1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tcPr>
          <w:p>
            <w:pPr>
              <w:ind w:left="1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tcPr>
          <w:p>
            <w:pPr>
              <w:ind w:left="2180"/>
              <w:spacing w:after="0"/>
              <w:rPr>
                <w:sz w:val="20"/>
                <w:szCs w:val="20"/>
                <w:color w:val="auto"/>
              </w:rPr>
            </w:pPr>
            <w:r>
              <w:rPr>
                <w:rFonts w:ascii="Arial" w:cs="Arial" w:eastAsia="Arial" w:hAnsi="Arial"/>
                <w:sz w:val="18"/>
                <w:szCs w:val="18"/>
                <w:color w:val="auto"/>
              </w:rPr>
              <w:t>—</w:t>
            </w:r>
          </w:p>
        </w:tc>
      </w:tr>
      <w:tr>
        <w:trPr>
          <w:trHeight w:val="236"/>
        </w:trPr>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2023</w:t>
            </w:r>
          </w:p>
        </w:tc>
        <w:tc>
          <w:tcPr>
            <w:tcW w:w="120" w:type="dxa"/>
            <w:vAlign w:val="bottom"/>
            <w:shd w:val="clear" w:color="auto" w:fill="CCEEFF"/>
          </w:tcPr>
          <w:p>
            <w:pPr>
              <w:spacing w:after="0"/>
              <w:rPr>
                <w:sz w:val="20"/>
                <w:szCs w:val="20"/>
                <w:color w:val="auto"/>
              </w:rPr>
            </w:pPr>
          </w:p>
        </w:tc>
        <w:tc>
          <w:tcPr>
            <w:tcW w:w="2120" w:type="dxa"/>
            <w:vAlign w:val="bottom"/>
            <w:tcBorders>
              <w:bottom w:val="single" w:sz="8" w:color="auto"/>
            </w:tcBorders>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2000" w:type="dxa"/>
            <w:vAlign w:val="bottom"/>
            <w:tcBorders>
              <w:bottom w:val="single" w:sz="8" w:color="auto"/>
            </w:tcBorders>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2440" w:type="dxa"/>
            <w:vAlign w:val="bottom"/>
            <w:tcBorders>
              <w:bottom w:val="single" w:sz="8" w:color="auto"/>
            </w:tcBorders>
            <w:shd w:val="clear" w:color="auto" w:fill="CCEEFF"/>
          </w:tcPr>
          <w:p>
            <w:pPr>
              <w:ind w:left="2180"/>
              <w:spacing w:after="0"/>
              <w:rPr>
                <w:sz w:val="20"/>
                <w:szCs w:val="20"/>
                <w:color w:val="auto"/>
              </w:rPr>
            </w:pPr>
            <w:r>
              <w:rPr>
                <w:rFonts w:ascii="Arial" w:cs="Arial" w:eastAsia="Arial" w:hAnsi="Arial"/>
                <w:sz w:val="18"/>
                <w:szCs w:val="18"/>
                <w:color w:val="auto"/>
              </w:rPr>
              <w:t>—</w:t>
            </w:r>
          </w:p>
        </w:tc>
      </w:tr>
      <w:tr>
        <w:trPr>
          <w:trHeight w:val="264"/>
        </w:trPr>
        <w:tc>
          <w:tcPr>
            <w:tcW w:w="1840" w:type="dxa"/>
            <w:vAlign w:val="bottom"/>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2"/>
                <w:szCs w:val="22"/>
                <w:color w:val="auto"/>
              </w:rPr>
            </w:pPr>
          </w:p>
        </w:tc>
        <w:tc>
          <w:tcPr>
            <w:tcW w:w="2120" w:type="dxa"/>
            <w:vAlign w:val="bottom"/>
          </w:tcPr>
          <w:p>
            <w:pPr>
              <w:ind w:left="186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2000" w:type="dxa"/>
            <w:vAlign w:val="bottom"/>
          </w:tcPr>
          <w:p>
            <w:pPr>
              <w:ind w:left="1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440" w:type="dxa"/>
            <w:vAlign w:val="bottom"/>
          </w:tcPr>
          <w:p>
            <w:pPr>
              <w:ind w:left="2180"/>
              <w:spacing w:after="0"/>
              <w:rPr>
                <w:sz w:val="20"/>
                <w:szCs w:val="20"/>
                <w:color w:val="auto"/>
              </w:rPr>
            </w:pPr>
            <w:r>
              <w:rPr>
                <w:rFonts w:ascii="Arial" w:cs="Arial" w:eastAsia="Arial" w:hAnsi="Arial"/>
                <w:sz w:val="18"/>
                <w:szCs w:val="18"/>
                <w:color w:val="auto"/>
              </w:rPr>
              <w:t>—</w:t>
            </w:r>
          </w:p>
        </w:tc>
      </w:tr>
      <w:tr>
        <w:trPr>
          <w:trHeight w:val="20"/>
        </w:trPr>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4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August 9, 2023, Arhaus, Inc. (the “Company”) announced that Tim Kuckelman, Chief Operating Officer, separated from the Company effective August 8, 2023.</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gridSpan w:val="6"/>
          </w:tcPr>
          <w:p>
            <w:pPr>
              <w:spacing w:after="0"/>
              <w:rPr>
                <w:sz w:val="20"/>
                <w:szCs w:val="20"/>
                <w:color w:val="auto"/>
              </w:rPr>
            </w:pPr>
            <w:r>
              <w:rPr>
                <w:rFonts w:ascii="Arial" w:cs="Arial" w:eastAsia="Arial" w:hAnsi="Arial"/>
                <w:sz w:val="18"/>
                <w:szCs w:val="18"/>
                <w:b w:val="1"/>
                <w:bCs w:val="1"/>
                <w:color w:val="auto"/>
                <w:w w:val="93"/>
              </w:rPr>
              <w:t>Item 6. Exhibits</w:t>
            </w:r>
          </w:p>
        </w:tc>
        <w:tc>
          <w:tcPr>
            <w:tcW w:w="6740" w:type="dxa"/>
            <w:vAlign w:val="bottom"/>
          </w:tcPr>
          <w:p>
            <w:pPr>
              <w:spacing w:after="0"/>
              <w:rPr>
                <w:sz w:val="20"/>
                <w:szCs w:val="20"/>
                <w:color w:val="auto"/>
              </w:rPr>
            </w:pPr>
          </w:p>
        </w:tc>
        <w:tc>
          <w:tcPr>
            <w:tcW w:w="324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3"/>
              </w:rPr>
              <w:t>Exhibit</w:t>
            </w:r>
          </w:p>
        </w:tc>
        <w:tc>
          <w:tcPr>
            <w:tcW w:w="6740" w:type="dxa"/>
            <w:vAlign w:val="bottom"/>
          </w:tcPr>
          <w:p>
            <w:pPr>
              <w:spacing w:after="0"/>
              <w:rPr>
                <w:sz w:val="22"/>
                <w:szCs w:val="22"/>
                <w:color w:val="auto"/>
              </w:rPr>
            </w:pPr>
          </w:p>
        </w:tc>
        <w:tc>
          <w:tcPr>
            <w:tcW w:w="3240" w:type="dxa"/>
            <w:vAlign w:val="bottom"/>
          </w:tcPr>
          <w:p>
            <w:pPr>
              <w:ind w:left="120"/>
              <w:spacing w:after="0"/>
              <w:rPr>
                <w:sz w:val="20"/>
                <w:szCs w:val="20"/>
                <w:color w:val="auto"/>
              </w:rPr>
            </w:pPr>
            <w:r>
              <w:rPr>
                <w:rFonts w:ascii="Arial" w:cs="Arial" w:eastAsia="Arial" w:hAnsi="Arial"/>
                <w:sz w:val="18"/>
                <w:szCs w:val="18"/>
                <w:b w:val="1"/>
                <w:bCs w:val="1"/>
                <w:color w:val="auto"/>
                <w:w w:val="91"/>
              </w:rPr>
              <w:t>Filings Referenced for Incorporation by</w:t>
            </w:r>
          </w:p>
        </w:tc>
      </w:tr>
      <w:tr>
        <w:trPr>
          <w:trHeight w:val="243"/>
        </w:trPr>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6"/>
              </w:rPr>
              <w:t>No.</w:t>
            </w:r>
          </w:p>
        </w:tc>
        <w:tc>
          <w:tcPr>
            <w:tcW w:w="6740" w:type="dxa"/>
            <w:vAlign w:val="bottom"/>
          </w:tcPr>
          <w:p>
            <w:pPr>
              <w:ind w:left="2940"/>
              <w:spacing w:after="0"/>
              <w:rPr>
                <w:sz w:val="20"/>
                <w:szCs w:val="20"/>
                <w:color w:val="auto"/>
              </w:rPr>
            </w:pPr>
            <w:r>
              <w:rPr>
                <w:rFonts w:ascii="Arial" w:cs="Arial" w:eastAsia="Arial" w:hAnsi="Arial"/>
                <w:sz w:val="18"/>
                <w:szCs w:val="18"/>
                <w:b w:val="1"/>
                <w:bCs w:val="1"/>
                <w:color w:val="auto"/>
              </w:rPr>
              <w:t>Description</w:t>
            </w:r>
          </w:p>
        </w:tc>
        <w:tc>
          <w:tcPr>
            <w:tcW w:w="3240" w:type="dxa"/>
            <w:vAlign w:val="bottom"/>
          </w:tcPr>
          <w:p>
            <w:pPr>
              <w:ind w:left="1260"/>
              <w:spacing w:after="0"/>
              <w:rPr>
                <w:sz w:val="20"/>
                <w:szCs w:val="20"/>
                <w:color w:val="auto"/>
              </w:rPr>
            </w:pPr>
            <w:r>
              <w:rPr>
                <w:rFonts w:ascii="Arial" w:cs="Arial" w:eastAsia="Arial" w:hAnsi="Arial"/>
                <w:sz w:val="18"/>
                <w:szCs w:val="18"/>
                <w:b w:val="1"/>
                <w:bCs w:val="1"/>
                <w:color w:val="auto"/>
              </w:rPr>
              <w:t>Reference</w:t>
            </w:r>
          </w:p>
        </w:tc>
      </w:tr>
      <w:tr>
        <w:trPr>
          <w:trHeight w:val="263"/>
        </w:trPr>
        <w:tc>
          <w:tcPr>
            <w:tcW w:w="2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0000FF"/>
            </w:tcBorders>
          </w:tcPr>
          <w:p>
            <w:pPr>
              <w:spacing w:after="0"/>
              <w:rPr>
                <w:rFonts w:ascii="Arial" w:cs="Arial" w:eastAsia="Arial" w:hAnsi="Arial"/>
                <w:sz w:val="18"/>
                <w:szCs w:val="18"/>
                <w:color w:val="0000FF"/>
                <w:w w:val="87"/>
              </w:rPr>
            </w:pPr>
            <w:hyperlink r:id="rId66">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Amended and Restated Certificate of Incorporation of Arhaus, Inc.</w:t>
            </w:r>
          </w:p>
        </w:tc>
        <w:tc>
          <w:tcPr>
            <w:tcW w:w="32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94"/>
              </w:rPr>
              <w:t>November 10, 2021 Form 8-K, Exhibit 3.1</w:t>
            </w:r>
          </w:p>
        </w:tc>
      </w:tr>
      <w:tr>
        <w:trPr>
          <w:trHeight w:val="344"/>
        </w:trPr>
        <w:tc>
          <w:tcPr>
            <w:tcW w:w="20" w:type="dxa"/>
            <w:vAlign w:val="bottom"/>
          </w:tcPr>
          <w:p>
            <w:pPr>
              <w:spacing w:after="0"/>
              <w:rPr>
                <w:sz w:val="24"/>
                <w:szCs w:val="24"/>
                <w:color w:val="auto"/>
              </w:rPr>
            </w:pPr>
          </w:p>
        </w:tc>
        <w:tc>
          <w:tcPr>
            <w:tcW w:w="240" w:type="dxa"/>
            <w:vAlign w:val="bottom"/>
            <w:tcBorders>
              <w:bottom w:val="single" w:sz="8" w:color="0000FF"/>
            </w:tcBorders>
          </w:tcPr>
          <w:p>
            <w:pPr>
              <w:spacing w:after="0"/>
              <w:rPr>
                <w:rFonts w:ascii="Arial" w:cs="Arial" w:eastAsia="Arial" w:hAnsi="Arial"/>
                <w:sz w:val="18"/>
                <w:szCs w:val="18"/>
                <w:color w:val="0000FF"/>
                <w:w w:val="87"/>
              </w:rPr>
            </w:pPr>
            <w:hyperlink r:id="rId67">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Amended and Restated Bylaws of Arhaus, Inc.</w:t>
            </w:r>
          </w:p>
        </w:tc>
        <w:tc>
          <w:tcPr>
            <w:tcW w:w="3240" w:type="dxa"/>
            <w:vAlign w:val="bottom"/>
          </w:tcPr>
          <w:p>
            <w:pPr>
              <w:ind w:left="80"/>
              <w:spacing w:after="0"/>
              <w:rPr>
                <w:sz w:val="20"/>
                <w:szCs w:val="20"/>
                <w:color w:val="auto"/>
              </w:rPr>
            </w:pPr>
            <w:r>
              <w:rPr>
                <w:rFonts w:ascii="Arial" w:cs="Arial" w:eastAsia="Arial" w:hAnsi="Arial"/>
                <w:sz w:val="18"/>
                <w:szCs w:val="18"/>
                <w:color w:val="auto"/>
                <w:w w:val="94"/>
              </w:rPr>
              <w:t>November 10, 2021 Form 8-K, Exhibit 3.2</w:t>
            </w:r>
          </w:p>
        </w:tc>
      </w:tr>
      <w:tr>
        <w:trPr>
          <w:trHeight w:val="345"/>
        </w:trPr>
        <w:tc>
          <w:tcPr>
            <w:tcW w:w="340" w:type="dxa"/>
            <w:vAlign w:val="bottom"/>
            <w:gridSpan w:val="3"/>
          </w:tcPr>
          <w:p>
            <w:pPr>
              <w:ind w:left="20"/>
              <w:spacing w:after="0"/>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740" w:type="dxa"/>
            <w:vAlign w:val="bottom"/>
          </w:tcPr>
          <w:p>
            <w:pPr>
              <w:spacing w:after="0"/>
              <w:rPr>
                <w:sz w:val="20"/>
                <w:szCs w:val="20"/>
                <w:color w:val="auto"/>
              </w:rPr>
            </w:pPr>
            <w:r>
              <w:rPr>
                <w:rFonts w:ascii="Arial" w:cs="Arial" w:eastAsia="Arial" w:hAnsi="Arial"/>
                <w:sz w:val="18"/>
                <w:szCs w:val="18"/>
                <w:color w:val="auto"/>
                <w:w w:val="97"/>
              </w:rPr>
              <w:t>Certificate of Chief Executive Officer Pursuant to Rules 13a-14(a) and 15d-14(a) of the</w:t>
            </w:r>
          </w:p>
        </w:tc>
        <w:tc>
          <w:tcPr>
            <w:tcW w:w="324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195"/>
        </w:trPr>
        <w:tc>
          <w:tcPr>
            <w:tcW w:w="20" w:type="dxa"/>
            <w:vAlign w:val="bottom"/>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740" w:type="dxa"/>
            <w:vAlign w:val="bottom"/>
          </w:tcPr>
          <w:p>
            <w:pPr>
              <w:spacing w:after="0" w:line="195" w:lineRule="exact"/>
              <w:rPr>
                <w:sz w:val="20"/>
                <w:szCs w:val="20"/>
                <w:color w:val="auto"/>
              </w:rPr>
            </w:pPr>
            <w:r>
              <w:rPr>
                <w:rFonts w:ascii="Arial" w:cs="Arial" w:eastAsia="Arial" w:hAnsi="Arial"/>
                <w:sz w:val="18"/>
                <w:szCs w:val="18"/>
                <w:color w:val="auto"/>
                <w:w w:val="90"/>
              </w:rPr>
              <w:t>Securities Exchange Act of 1934, as Adopted Pursuant to Section 302 of the Sarbanes-Oxley</w:t>
            </w:r>
          </w:p>
        </w:tc>
        <w:tc>
          <w:tcPr>
            <w:tcW w:w="324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Act of 2002</w:t>
            </w:r>
          </w:p>
        </w:tc>
        <w:tc>
          <w:tcPr>
            <w:tcW w:w="3240" w:type="dxa"/>
            <w:vAlign w:val="bottom"/>
          </w:tcPr>
          <w:p>
            <w:pPr>
              <w:spacing w:after="0"/>
              <w:rPr>
                <w:sz w:val="20"/>
                <w:szCs w:val="20"/>
                <w:color w:val="auto"/>
              </w:rPr>
            </w:pPr>
          </w:p>
        </w:tc>
      </w:tr>
      <w:tr>
        <w:trPr>
          <w:trHeight w:val="324"/>
        </w:trPr>
        <w:tc>
          <w:tcPr>
            <w:tcW w:w="340" w:type="dxa"/>
            <w:vAlign w:val="bottom"/>
            <w:gridSpan w:val="3"/>
          </w:tcPr>
          <w:p>
            <w:pPr>
              <w:ind w:left="20"/>
              <w:spacing w:after="0"/>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740" w:type="dxa"/>
            <w:vAlign w:val="bottom"/>
          </w:tcPr>
          <w:p>
            <w:pPr>
              <w:spacing w:after="0"/>
              <w:rPr>
                <w:sz w:val="20"/>
                <w:szCs w:val="20"/>
                <w:color w:val="auto"/>
              </w:rPr>
            </w:pPr>
            <w:r>
              <w:rPr>
                <w:rFonts w:ascii="Arial" w:cs="Arial" w:eastAsia="Arial" w:hAnsi="Arial"/>
                <w:sz w:val="18"/>
                <w:szCs w:val="18"/>
                <w:color w:val="auto"/>
                <w:w w:val="98"/>
              </w:rPr>
              <w:t>Certificate of Chief Financial Officer Pursuant to Rules 13a-14(a) and 15d-14(a) of the</w:t>
            </w:r>
          </w:p>
        </w:tc>
        <w:tc>
          <w:tcPr>
            <w:tcW w:w="324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195"/>
        </w:trPr>
        <w:tc>
          <w:tcPr>
            <w:tcW w:w="20" w:type="dxa"/>
            <w:vAlign w:val="bottom"/>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740" w:type="dxa"/>
            <w:vAlign w:val="bottom"/>
          </w:tcPr>
          <w:p>
            <w:pPr>
              <w:spacing w:after="0" w:line="195" w:lineRule="exact"/>
              <w:rPr>
                <w:sz w:val="20"/>
                <w:szCs w:val="20"/>
                <w:color w:val="auto"/>
              </w:rPr>
            </w:pPr>
            <w:r>
              <w:rPr>
                <w:rFonts w:ascii="Arial" w:cs="Arial" w:eastAsia="Arial" w:hAnsi="Arial"/>
                <w:sz w:val="18"/>
                <w:szCs w:val="18"/>
                <w:color w:val="auto"/>
                <w:w w:val="90"/>
              </w:rPr>
              <w:t>Securities Exchange Act of 1934, as Adopted Pursuant to Section 302 of the Sarbanes-Oxley</w:t>
            </w:r>
          </w:p>
        </w:tc>
        <w:tc>
          <w:tcPr>
            <w:tcW w:w="324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Act of 2002</w:t>
            </w:r>
          </w:p>
        </w:tc>
        <w:tc>
          <w:tcPr>
            <w:tcW w:w="3240" w:type="dxa"/>
            <w:vAlign w:val="bottom"/>
          </w:tcPr>
          <w:p>
            <w:pPr>
              <w:spacing w:after="0"/>
              <w:rPr>
                <w:sz w:val="20"/>
                <w:szCs w:val="20"/>
                <w:color w:val="auto"/>
              </w:rPr>
            </w:pPr>
          </w:p>
        </w:tc>
      </w:tr>
      <w:tr>
        <w:trPr>
          <w:trHeight w:val="324"/>
        </w:trPr>
        <w:tc>
          <w:tcPr>
            <w:tcW w:w="440" w:type="dxa"/>
            <w:vAlign w:val="bottom"/>
            <w:gridSpan w:val="4"/>
          </w:tcPr>
          <w:p>
            <w:pPr>
              <w:ind w:left="20"/>
              <w:spacing w:after="0"/>
              <w:rPr>
                <w:sz w:val="20"/>
                <w:szCs w:val="20"/>
                <w:color w:val="auto"/>
              </w:rPr>
            </w:pPr>
            <w:r>
              <w:rPr>
                <w:rFonts w:ascii="Arial" w:cs="Arial" w:eastAsia="Arial" w:hAnsi="Arial"/>
                <w:sz w:val="18"/>
                <w:szCs w:val="18"/>
                <w:color w:val="0000FF"/>
                <w:w w:val="95"/>
              </w:rPr>
              <w:t>32.</w:t>
            </w:r>
            <w:r>
              <w:rPr>
                <w:rFonts w:ascii="Arial" w:cs="Arial" w:eastAsia="Arial" w:hAnsi="Arial"/>
                <w:sz w:val="18"/>
                <w:szCs w:val="18"/>
                <w:u w:val="single" w:color="auto"/>
                <w:color w:val="0000FF"/>
                <w:w w:val="95"/>
              </w:rPr>
              <w:t>1*</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740" w:type="dxa"/>
            <w:vAlign w:val="bottom"/>
          </w:tcPr>
          <w:p>
            <w:pPr>
              <w:spacing w:after="0"/>
              <w:rPr>
                <w:sz w:val="20"/>
                <w:szCs w:val="20"/>
                <w:color w:val="auto"/>
              </w:rPr>
            </w:pPr>
            <w:r>
              <w:rPr>
                <w:rFonts w:ascii="Arial" w:cs="Arial" w:eastAsia="Arial" w:hAnsi="Arial"/>
                <w:sz w:val="18"/>
                <w:szCs w:val="18"/>
                <w:color w:val="auto"/>
                <w:w w:val="96"/>
              </w:rPr>
              <w:t>Certification of Chief Executive Officer Pursuant to 18 U.S.C. Section 1350, as Adopted</w:t>
            </w:r>
          </w:p>
        </w:tc>
        <w:tc>
          <w:tcPr>
            <w:tcW w:w="3240" w:type="dxa"/>
            <w:vAlign w:val="bottom"/>
          </w:tcPr>
          <w:p>
            <w:pPr>
              <w:ind w:left="80"/>
              <w:spacing w:after="0"/>
              <w:rPr>
                <w:sz w:val="20"/>
                <w:szCs w:val="20"/>
                <w:color w:val="auto"/>
              </w:rPr>
            </w:pPr>
            <w:r>
              <w:rPr>
                <w:rFonts w:ascii="Arial" w:cs="Arial" w:eastAsia="Arial" w:hAnsi="Arial"/>
                <w:sz w:val="18"/>
                <w:szCs w:val="18"/>
                <w:color w:val="auto"/>
              </w:rPr>
              <w:t>Furnished herewith</w:t>
            </w:r>
          </w:p>
        </w:tc>
      </w:tr>
      <w:tr>
        <w:trPr>
          <w:trHeight w:val="210"/>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Pursuant to Section 906 of the Sarbanes-Oxley Act of 2002</w:t>
            </w:r>
          </w:p>
        </w:tc>
        <w:tc>
          <w:tcPr>
            <w:tcW w:w="3240" w:type="dxa"/>
            <w:vAlign w:val="bottom"/>
          </w:tcPr>
          <w:p>
            <w:pPr>
              <w:spacing w:after="0"/>
              <w:rPr>
                <w:sz w:val="18"/>
                <w:szCs w:val="18"/>
                <w:color w:val="auto"/>
              </w:rPr>
            </w:pPr>
          </w:p>
        </w:tc>
      </w:tr>
      <w:tr>
        <w:trPr>
          <w:trHeight w:val="323"/>
        </w:trPr>
        <w:tc>
          <w:tcPr>
            <w:tcW w:w="440" w:type="dxa"/>
            <w:vAlign w:val="bottom"/>
            <w:gridSpan w:val="4"/>
          </w:tcPr>
          <w:p>
            <w:pPr>
              <w:ind w:left="20"/>
              <w:spacing w:after="0"/>
              <w:rPr>
                <w:sz w:val="20"/>
                <w:szCs w:val="20"/>
                <w:color w:val="auto"/>
              </w:rPr>
            </w:pPr>
            <w:r>
              <w:rPr>
                <w:rFonts w:ascii="Arial" w:cs="Arial" w:eastAsia="Arial" w:hAnsi="Arial"/>
                <w:sz w:val="18"/>
                <w:szCs w:val="18"/>
                <w:color w:val="0000FF"/>
                <w:w w:val="95"/>
              </w:rPr>
              <w:t>32.</w:t>
            </w:r>
            <w:r>
              <w:rPr>
                <w:rFonts w:ascii="Arial" w:cs="Arial" w:eastAsia="Arial" w:hAnsi="Arial"/>
                <w:sz w:val="18"/>
                <w:szCs w:val="18"/>
                <w:u w:val="single" w:color="auto"/>
                <w:color w:val="0000FF"/>
                <w:w w:val="95"/>
              </w:rPr>
              <w:t>2*</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740" w:type="dxa"/>
            <w:vAlign w:val="bottom"/>
          </w:tcPr>
          <w:p>
            <w:pPr>
              <w:spacing w:after="0"/>
              <w:rPr>
                <w:sz w:val="20"/>
                <w:szCs w:val="20"/>
                <w:color w:val="auto"/>
              </w:rPr>
            </w:pPr>
            <w:r>
              <w:rPr>
                <w:rFonts w:ascii="Arial" w:cs="Arial" w:eastAsia="Arial" w:hAnsi="Arial"/>
                <w:sz w:val="18"/>
                <w:szCs w:val="18"/>
                <w:color w:val="auto"/>
                <w:w w:val="97"/>
              </w:rPr>
              <w:t>Certification of Chief Financial Officer Pursuant to 18 U.S.C. Section 1350, as Adopted</w:t>
            </w:r>
          </w:p>
        </w:tc>
        <w:tc>
          <w:tcPr>
            <w:tcW w:w="3240" w:type="dxa"/>
            <w:vAlign w:val="bottom"/>
          </w:tcPr>
          <w:p>
            <w:pPr>
              <w:ind w:left="80"/>
              <w:spacing w:after="0"/>
              <w:rPr>
                <w:sz w:val="20"/>
                <w:szCs w:val="20"/>
                <w:color w:val="auto"/>
              </w:rPr>
            </w:pPr>
            <w:r>
              <w:rPr>
                <w:rFonts w:ascii="Arial" w:cs="Arial" w:eastAsia="Arial" w:hAnsi="Arial"/>
                <w:sz w:val="18"/>
                <w:szCs w:val="18"/>
                <w:color w:val="auto"/>
              </w:rPr>
              <w:t>Furnished herewith</w:t>
            </w:r>
          </w:p>
        </w:tc>
      </w:tr>
      <w:tr>
        <w:trPr>
          <w:trHeight w:val="223"/>
        </w:trPr>
        <w:tc>
          <w:tcPr>
            <w:tcW w:w="20" w:type="dxa"/>
            <w:vAlign w:val="bottom"/>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Pursuant to Section 906 of the Sarbanes-Oxley Act of 2002</w:t>
            </w:r>
          </w:p>
        </w:tc>
        <w:tc>
          <w:tcPr>
            <w:tcW w:w="3240" w:type="dxa"/>
            <w:vAlign w:val="bottom"/>
          </w:tcPr>
          <w:p>
            <w:pPr>
              <w:spacing w:after="0"/>
              <w:rPr>
                <w:sz w:val="19"/>
                <w:szCs w:val="19"/>
                <w:color w:val="auto"/>
              </w:rPr>
            </w:pPr>
          </w:p>
        </w:tc>
      </w:tr>
      <w:tr>
        <w:trPr>
          <w:trHeight w:val="337"/>
        </w:trPr>
        <w:tc>
          <w:tcPr>
            <w:tcW w:w="20" w:type="dxa"/>
            <w:vAlign w:val="bottom"/>
          </w:tcPr>
          <w:p>
            <w:pPr>
              <w:spacing w:after="0"/>
              <w:rPr>
                <w:sz w:val="24"/>
                <w:szCs w:val="24"/>
                <w:color w:val="auto"/>
              </w:rPr>
            </w:pPr>
          </w:p>
        </w:tc>
        <w:tc>
          <w:tcPr>
            <w:tcW w:w="1240" w:type="dxa"/>
            <w:vAlign w:val="bottom"/>
            <w:gridSpan w:val="5"/>
          </w:tcPr>
          <w:p>
            <w:pPr>
              <w:spacing w:after="0"/>
              <w:rPr>
                <w:sz w:val="20"/>
                <w:szCs w:val="20"/>
                <w:color w:val="auto"/>
              </w:rPr>
            </w:pPr>
            <w:r>
              <w:rPr>
                <w:rFonts w:ascii="Arial" w:cs="Arial" w:eastAsia="Arial" w:hAnsi="Arial"/>
                <w:sz w:val="18"/>
                <w:szCs w:val="18"/>
                <w:color w:val="auto"/>
              </w:rPr>
              <w:t>101.INS</w:t>
            </w:r>
          </w:p>
        </w:tc>
        <w:tc>
          <w:tcPr>
            <w:tcW w:w="9980" w:type="dxa"/>
            <w:vAlign w:val="bottom"/>
            <w:gridSpan w:val="2"/>
          </w:tcPr>
          <w:p>
            <w:pPr>
              <w:spacing w:after="0"/>
              <w:rPr>
                <w:sz w:val="20"/>
                <w:szCs w:val="20"/>
                <w:color w:val="auto"/>
              </w:rPr>
            </w:pPr>
            <w:r>
              <w:rPr>
                <w:rFonts w:ascii="Arial" w:cs="Arial" w:eastAsia="Arial" w:hAnsi="Arial"/>
                <w:sz w:val="18"/>
                <w:szCs w:val="18"/>
                <w:color w:val="auto"/>
              </w:rPr>
              <w:t>XBRL Instance Document (the instance document does not appear in the Interactive Data File Filed herewith</w:t>
            </w: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because its XBRL tags are embedded within the Inline XBRL document)</w:t>
            </w:r>
          </w:p>
        </w:tc>
        <w:tc>
          <w:tcPr>
            <w:tcW w:w="3240" w:type="dxa"/>
            <w:vAlign w:val="bottom"/>
          </w:tcPr>
          <w:p>
            <w:pPr>
              <w:spacing w:after="0"/>
              <w:rPr>
                <w:sz w:val="20"/>
                <w:szCs w:val="20"/>
                <w:color w:val="auto"/>
              </w:rPr>
            </w:pPr>
          </w:p>
        </w:tc>
      </w:tr>
      <w:tr>
        <w:trPr>
          <w:trHeight w:val="364"/>
        </w:trPr>
        <w:tc>
          <w:tcPr>
            <w:tcW w:w="20" w:type="dxa"/>
            <w:vAlign w:val="bottom"/>
          </w:tcPr>
          <w:p>
            <w:pPr>
              <w:spacing w:after="0"/>
              <w:rPr>
                <w:sz w:val="24"/>
                <w:szCs w:val="24"/>
                <w:color w:val="auto"/>
              </w:rPr>
            </w:pPr>
          </w:p>
        </w:tc>
        <w:tc>
          <w:tcPr>
            <w:tcW w:w="1240" w:type="dxa"/>
            <w:vAlign w:val="bottom"/>
            <w:gridSpan w:val="5"/>
          </w:tcPr>
          <w:p>
            <w:pPr>
              <w:spacing w:after="0"/>
              <w:rPr>
                <w:sz w:val="20"/>
                <w:szCs w:val="20"/>
                <w:color w:val="auto"/>
              </w:rPr>
            </w:pPr>
            <w:r>
              <w:rPr>
                <w:rFonts w:ascii="Arial" w:cs="Arial" w:eastAsia="Arial" w:hAnsi="Arial"/>
                <w:sz w:val="18"/>
                <w:szCs w:val="18"/>
                <w:color w:val="auto"/>
              </w:rPr>
              <w:t>101.SCH</w:t>
            </w:r>
          </w:p>
        </w:tc>
        <w:tc>
          <w:tcPr>
            <w:tcW w:w="6740" w:type="dxa"/>
            <w:vAlign w:val="bottom"/>
          </w:tcPr>
          <w:p>
            <w:pPr>
              <w:spacing w:after="0"/>
              <w:rPr>
                <w:sz w:val="20"/>
                <w:szCs w:val="20"/>
                <w:color w:val="auto"/>
              </w:rPr>
            </w:pPr>
            <w:r>
              <w:rPr>
                <w:rFonts w:ascii="Arial" w:cs="Arial" w:eastAsia="Arial" w:hAnsi="Arial"/>
                <w:sz w:val="18"/>
                <w:szCs w:val="18"/>
                <w:color w:val="auto"/>
              </w:rPr>
              <w:t>Inline XBRL Taxonomy Extension Schema Document</w:t>
            </w:r>
          </w:p>
        </w:tc>
        <w:tc>
          <w:tcPr>
            <w:tcW w:w="324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365"/>
        </w:trPr>
        <w:tc>
          <w:tcPr>
            <w:tcW w:w="20" w:type="dxa"/>
            <w:vAlign w:val="bottom"/>
          </w:tcPr>
          <w:p>
            <w:pPr>
              <w:spacing w:after="0"/>
              <w:rPr>
                <w:sz w:val="24"/>
                <w:szCs w:val="24"/>
                <w:color w:val="auto"/>
              </w:rPr>
            </w:pPr>
          </w:p>
        </w:tc>
        <w:tc>
          <w:tcPr>
            <w:tcW w:w="1240" w:type="dxa"/>
            <w:vAlign w:val="bottom"/>
            <w:gridSpan w:val="5"/>
          </w:tcPr>
          <w:p>
            <w:pPr>
              <w:spacing w:after="0"/>
              <w:rPr>
                <w:sz w:val="20"/>
                <w:szCs w:val="20"/>
                <w:color w:val="auto"/>
              </w:rPr>
            </w:pPr>
            <w:r>
              <w:rPr>
                <w:rFonts w:ascii="Arial" w:cs="Arial" w:eastAsia="Arial" w:hAnsi="Arial"/>
                <w:sz w:val="18"/>
                <w:szCs w:val="18"/>
                <w:color w:val="auto"/>
              </w:rPr>
              <w:t>101.CAL</w:t>
            </w:r>
          </w:p>
        </w:tc>
        <w:tc>
          <w:tcPr>
            <w:tcW w:w="6740" w:type="dxa"/>
            <w:vAlign w:val="bottom"/>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324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364"/>
        </w:trPr>
        <w:tc>
          <w:tcPr>
            <w:tcW w:w="20" w:type="dxa"/>
            <w:vAlign w:val="bottom"/>
          </w:tcPr>
          <w:p>
            <w:pPr>
              <w:spacing w:after="0"/>
              <w:rPr>
                <w:sz w:val="24"/>
                <w:szCs w:val="24"/>
                <w:color w:val="auto"/>
              </w:rPr>
            </w:pPr>
          </w:p>
        </w:tc>
        <w:tc>
          <w:tcPr>
            <w:tcW w:w="1240" w:type="dxa"/>
            <w:vAlign w:val="bottom"/>
            <w:gridSpan w:val="5"/>
          </w:tcPr>
          <w:p>
            <w:pPr>
              <w:spacing w:after="0"/>
              <w:rPr>
                <w:sz w:val="20"/>
                <w:szCs w:val="20"/>
                <w:color w:val="auto"/>
              </w:rPr>
            </w:pPr>
            <w:r>
              <w:rPr>
                <w:rFonts w:ascii="Arial" w:cs="Arial" w:eastAsia="Arial" w:hAnsi="Arial"/>
                <w:sz w:val="18"/>
                <w:szCs w:val="18"/>
                <w:color w:val="auto"/>
              </w:rPr>
              <w:t>101.DEF</w:t>
            </w:r>
          </w:p>
        </w:tc>
        <w:tc>
          <w:tcPr>
            <w:tcW w:w="6740" w:type="dxa"/>
            <w:vAlign w:val="bottom"/>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324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365"/>
        </w:trPr>
        <w:tc>
          <w:tcPr>
            <w:tcW w:w="20" w:type="dxa"/>
            <w:vAlign w:val="bottom"/>
          </w:tcPr>
          <w:p>
            <w:pPr>
              <w:spacing w:after="0"/>
              <w:rPr>
                <w:sz w:val="24"/>
                <w:szCs w:val="24"/>
                <w:color w:val="auto"/>
              </w:rPr>
            </w:pPr>
          </w:p>
        </w:tc>
        <w:tc>
          <w:tcPr>
            <w:tcW w:w="1240" w:type="dxa"/>
            <w:vAlign w:val="bottom"/>
            <w:gridSpan w:val="5"/>
          </w:tcPr>
          <w:p>
            <w:pPr>
              <w:spacing w:after="0"/>
              <w:rPr>
                <w:sz w:val="20"/>
                <w:szCs w:val="20"/>
                <w:color w:val="auto"/>
              </w:rPr>
            </w:pPr>
            <w:r>
              <w:rPr>
                <w:rFonts w:ascii="Arial" w:cs="Arial" w:eastAsia="Arial" w:hAnsi="Arial"/>
                <w:sz w:val="18"/>
                <w:szCs w:val="18"/>
                <w:color w:val="auto"/>
              </w:rPr>
              <w:t>101.LAB</w:t>
            </w:r>
          </w:p>
        </w:tc>
        <w:tc>
          <w:tcPr>
            <w:tcW w:w="6740" w:type="dxa"/>
            <w:vAlign w:val="bottom"/>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324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364"/>
        </w:trPr>
        <w:tc>
          <w:tcPr>
            <w:tcW w:w="20" w:type="dxa"/>
            <w:vAlign w:val="bottom"/>
          </w:tcPr>
          <w:p>
            <w:pPr>
              <w:spacing w:after="0"/>
              <w:rPr>
                <w:sz w:val="24"/>
                <w:szCs w:val="24"/>
                <w:color w:val="auto"/>
              </w:rPr>
            </w:pPr>
          </w:p>
        </w:tc>
        <w:tc>
          <w:tcPr>
            <w:tcW w:w="1240" w:type="dxa"/>
            <w:vAlign w:val="bottom"/>
            <w:gridSpan w:val="5"/>
          </w:tcPr>
          <w:p>
            <w:pPr>
              <w:spacing w:after="0"/>
              <w:rPr>
                <w:sz w:val="20"/>
                <w:szCs w:val="20"/>
                <w:color w:val="auto"/>
              </w:rPr>
            </w:pPr>
            <w:r>
              <w:rPr>
                <w:rFonts w:ascii="Arial" w:cs="Arial" w:eastAsia="Arial" w:hAnsi="Arial"/>
                <w:sz w:val="18"/>
                <w:szCs w:val="18"/>
                <w:color w:val="auto"/>
              </w:rPr>
              <w:t>101.PRE</w:t>
            </w:r>
          </w:p>
        </w:tc>
        <w:tc>
          <w:tcPr>
            <w:tcW w:w="6740" w:type="dxa"/>
            <w:vAlign w:val="bottom"/>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324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337"/>
        </w:trPr>
        <w:tc>
          <w:tcPr>
            <w:tcW w:w="340" w:type="dxa"/>
            <w:vAlign w:val="bottom"/>
            <w:gridSpan w:val="3"/>
          </w:tcPr>
          <w:p>
            <w:pPr>
              <w:ind w:left="20"/>
              <w:spacing w:after="0"/>
              <w:rPr>
                <w:sz w:val="20"/>
                <w:szCs w:val="20"/>
                <w:color w:val="auto"/>
              </w:rPr>
            </w:pPr>
            <w:r>
              <w:rPr>
                <w:rFonts w:ascii="Arial" w:cs="Arial" w:eastAsia="Arial" w:hAnsi="Arial"/>
                <w:sz w:val="18"/>
                <w:szCs w:val="18"/>
                <w:color w:val="auto"/>
                <w:w w:val="99"/>
              </w:rPr>
              <w:t>104</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740" w:type="dxa"/>
            <w:vAlign w:val="bottom"/>
          </w:tcPr>
          <w:p>
            <w:pPr>
              <w:spacing w:after="0"/>
              <w:rPr>
                <w:sz w:val="20"/>
                <w:szCs w:val="20"/>
                <w:color w:val="auto"/>
              </w:rPr>
            </w:pPr>
            <w:r>
              <w:rPr>
                <w:rFonts w:ascii="Arial" w:cs="Arial" w:eastAsia="Arial" w:hAnsi="Arial"/>
                <w:sz w:val="18"/>
                <w:szCs w:val="18"/>
                <w:color w:val="auto"/>
                <w:w w:val="94"/>
              </w:rPr>
              <w:t>Cover Page with Interactive Data File (formatted as Inline XBRL with applicable taxonomy</w:t>
            </w:r>
          </w:p>
        </w:tc>
        <w:tc>
          <w:tcPr>
            <w:tcW w:w="324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extension information contained in Exhibits 101)</w:t>
            </w:r>
          </w:p>
        </w:tc>
        <w:tc>
          <w:tcPr>
            <w:tcW w:w="32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8572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245" w:lineRule="exact"/>
        <w:rPr>
          <w:sz w:val="20"/>
          <w:szCs w:val="20"/>
          <w:color w:val="auto"/>
        </w:rPr>
      </w:pPr>
    </w:p>
    <w:p>
      <w:pPr>
        <w:ind w:left="420" w:right="220" w:hanging="412"/>
        <w:spacing w:after="0" w:line="293" w:lineRule="auto"/>
        <w:tabs>
          <w:tab w:leader="none" w:pos="231" w:val="left"/>
        </w:tabs>
        <w:numPr>
          <w:ilvl w:val="0"/>
          <w:numId w:val="14"/>
        </w:numPr>
        <w:rPr>
          <w:rFonts w:ascii="Arial" w:cs="Arial" w:eastAsia="Arial" w:hAnsi="Arial"/>
          <w:sz w:val="14"/>
          <w:szCs w:val="14"/>
          <w:i w:val="1"/>
          <w:iCs w:val="1"/>
          <w:color w:val="auto"/>
        </w:rPr>
      </w:pPr>
      <w:r>
        <w:rPr>
          <w:rFonts w:ascii="Arial" w:cs="Arial" w:eastAsia="Arial" w:hAnsi="Arial"/>
          <w:sz w:val="14"/>
          <w:szCs w:val="14"/>
          <w:color w:val="auto"/>
        </w:rPr>
        <w:t>The certifications furnished in Exhibit 32.1 and 32.2 hereto are deemed to accompany this Quarterly Report on Form 10-Q and will not be deemed “filed” for purposes of Section 18 of the Securities Exchange Act of 1934, as amended, except to the extent that the registrant specifically incorporates them by reference.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this 9th day of August, 2023.</w:t>
      </w:r>
    </w:p>
    <w:p>
      <w:pPr>
        <w:spacing w:after="0" w:line="166"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ARHAUS, INC.</w:t>
      </w:r>
    </w:p>
    <w:p>
      <w:pPr>
        <w:spacing w:after="0" w:line="297" w:lineRule="exact"/>
        <w:rPr>
          <w:sz w:val="20"/>
          <w:szCs w:val="20"/>
          <w:color w:val="auto"/>
        </w:rPr>
      </w:pPr>
    </w:p>
    <w:tbl>
      <w:tblPr>
        <w:tblLayout w:type="fixed"/>
        <w:tblInd w:w="5240" w:type="dxa"/>
        <w:tblCellMar>
          <w:top w:w="0" w:type="dxa"/>
          <w:left w:w="0" w:type="dxa"/>
          <w:bottom w:w="0" w:type="dxa"/>
          <w:right w:w="0" w:type="dxa"/>
        </w:tblCellMar>
      </w:tblPr>
      <w:tr>
        <w:trPr>
          <w:trHeight w:val="244"/>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Dawn Phillipson</w:t>
            </w:r>
          </w:p>
        </w:tc>
      </w:t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Name:</w:t>
            </w:r>
          </w:p>
        </w:tc>
        <w:tc>
          <w:tcPr>
            <w:tcW w:w="4540" w:type="dxa"/>
            <w:vAlign w:val="bottom"/>
          </w:tcPr>
          <w:p>
            <w:pPr>
              <w:ind w:left="20"/>
              <w:spacing w:after="0"/>
              <w:rPr>
                <w:sz w:val="20"/>
                <w:szCs w:val="20"/>
                <w:color w:val="auto"/>
              </w:rPr>
            </w:pPr>
            <w:r>
              <w:rPr>
                <w:rFonts w:ascii="Arial" w:cs="Arial" w:eastAsia="Arial" w:hAnsi="Arial"/>
                <w:sz w:val="18"/>
                <w:szCs w:val="18"/>
                <w:color w:val="auto"/>
              </w:rPr>
              <w:t>Dawn Phillipson</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80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r>
        <w:trPr>
          <w:trHeight w:val="904"/>
        </w:trPr>
        <w:tc>
          <w:tcPr>
            <w:tcW w:w="800" w:type="dxa"/>
            <w:vAlign w:val="bottom"/>
          </w:tcPr>
          <w:p>
            <w:pPr>
              <w:jc w:val="right"/>
              <w:ind w:right="230"/>
              <w:spacing w:after="0"/>
              <w:rPr>
                <w:sz w:val="20"/>
                <w:szCs w:val="20"/>
                <w:color w:val="auto"/>
              </w:rPr>
            </w:pPr>
            <w:r>
              <w:rPr>
                <w:rFonts w:ascii="Arial" w:cs="Arial" w:eastAsia="Arial" w:hAnsi="Arial"/>
                <w:sz w:val="18"/>
                <w:szCs w:val="18"/>
                <w:color w:val="auto"/>
              </w:rPr>
              <w:t>31</w:t>
            </w:r>
          </w:p>
        </w:tc>
        <w:tc>
          <w:tcPr>
            <w:tcW w:w="4540" w:type="dxa"/>
            <w:vAlign w:val="bottom"/>
          </w:tcPr>
          <w:p>
            <w:pPr>
              <w:spacing w:after="0"/>
              <w:rPr>
                <w:sz w:val="24"/>
                <w:szCs w:val="24"/>
                <w:color w:val="auto"/>
              </w:rPr>
            </w:pPr>
          </w:p>
        </w:tc>
      </w:tr>
    </w:tbl>
    <w:p>
      <w:pPr>
        <w:sectPr>
          <w:pgSz w:w="11900" w:h="16838" w:orient="portrait"/>
          <w:cols w:equalWidth="0" w:num="1">
            <w:col w:w="11200"/>
          </w:cols>
          <w:pgMar w:left="320" w:top="121" w:right="37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1F4742"/>
        </w:rPr>
        <w:t>Exhibit 31.1</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John Reed, certify that:</w:t>
      </w:r>
    </w:p>
    <w:p>
      <w:pPr>
        <w:spacing w:after="0" w:line="198"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Arhaus, Inc.;</w:t>
      </w:r>
    </w:p>
    <w:p>
      <w:pPr>
        <w:spacing w:after="0" w:line="184"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jc w:val="both"/>
        <w:ind w:left="660" w:right="14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1300" w:right="120" w:hanging="320"/>
        <w:spacing w:after="0" w:line="263"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8"/>
          <w:szCs w:val="18"/>
          <w:color w:val="auto"/>
        </w:rPr>
      </w:pPr>
    </w:p>
    <w:p>
      <w:pPr>
        <w:jc w:val="both"/>
        <w:ind w:left="1300" w:right="220" w:hanging="320"/>
        <w:spacing w:after="0" w:line="342" w:lineRule="auto"/>
        <w:tabs>
          <w:tab w:leader="none" w:pos="13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00" w:right="240" w:hanging="320"/>
        <w:spacing w:after="0" w:line="263"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Arial" w:cs="Arial" w:eastAsia="Arial" w:hAnsi="Arial"/>
          <w:sz w:val="16"/>
          <w:szCs w:val="16"/>
          <w:color w:val="auto"/>
        </w:rPr>
      </w:pPr>
    </w:p>
    <w:p>
      <w:pPr>
        <w:ind w:left="1300" w:right="460" w:hanging="320"/>
        <w:spacing w:after="0" w:line="342" w:lineRule="auto"/>
        <w:tabs>
          <w:tab w:leader="none" w:pos="13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00" w:right="160" w:hanging="320"/>
        <w:spacing w:after="0" w:line="277"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Date:</w:t>
        <w:tab/>
        <w:t>August 9, 2023</w:t>
      </w: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John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7721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John Reed</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64"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Dawn Phillipson, certify that:</w:t>
      </w:r>
    </w:p>
    <w:p>
      <w:pPr>
        <w:spacing w:after="0" w:line="198"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Arhaus, Inc.;</w:t>
      </w:r>
    </w:p>
    <w:p>
      <w:pPr>
        <w:spacing w:after="0" w:line="184"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jc w:val="both"/>
        <w:ind w:left="660" w:right="14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1300" w:right="120" w:hanging="320"/>
        <w:spacing w:after="0" w:line="263"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8"/>
          <w:szCs w:val="18"/>
          <w:color w:val="auto"/>
        </w:rPr>
      </w:pPr>
    </w:p>
    <w:p>
      <w:pPr>
        <w:jc w:val="both"/>
        <w:ind w:left="1300" w:right="220" w:hanging="320"/>
        <w:spacing w:after="0" w:line="342"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00" w:right="240" w:hanging="320"/>
        <w:spacing w:after="0" w:line="263"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Arial" w:cs="Arial" w:eastAsia="Arial" w:hAnsi="Arial"/>
          <w:sz w:val="16"/>
          <w:szCs w:val="16"/>
          <w:color w:val="auto"/>
        </w:rPr>
      </w:pPr>
    </w:p>
    <w:p>
      <w:pPr>
        <w:ind w:left="1300" w:right="460" w:hanging="320"/>
        <w:spacing w:after="0" w:line="342"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00" w:right="160" w:hanging="320"/>
        <w:spacing w:after="0" w:line="277"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Date:</w:t>
        <w:tab/>
        <w:t>August 9, 2023</w:t>
      </w: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Dawn Phillipson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7721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Dawn Phillipson</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35" w:right="339" w:bottom="1440" w:gutter="0" w:footer="0" w:header="0"/>
        </w:sectPr>
      </w:pPr>
    </w:p>
    <w:bookmarkStart w:id="35" w:name="page36"/>
    <w:bookmarkEnd w:id="35"/>
    <w:p>
      <w:pPr>
        <w:ind w:left="10320"/>
        <w:spacing w:after="0"/>
        <w:rPr>
          <w:sz w:val="20"/>
          <w:szCs w:val="20"/>
          <w:color w:val="auto"/>
        </w:rPr>
      </w:pPr>
      <w:r>
        <w:rPr>
          <w:rFonts w:ascii="Arial" w:cs="Arial" w:eastAsia="Arial" w:hAnsi="Arial"/>
          <w:sz w:val="16"/>
          <w:szCs w:val="16"/>
          <w:b w:val="1"/>
          <w:bCs w:val="1"/>
          <w:color w:val="auto"/>
        </w:rPr>
        <w:t>Exhibit 32.1</w:t>
      </w:r>
    </w:p>
    <w:p>
      <w:pPr>
        <w:spacing w:after="0" w:line="289" w:lineRule="exact"/>
        <w:rPr>
          <w:sz w:val="20"/>
          <w:szCs w:val="20"/>
          <w:color w:val="auto"/>
        </w:rPr>
      </w:pPr>
    </w:p>
    <w:p>
      <w:pPr>
        <w:jc w:val="center"/>
        <w:spacing w:after="0" w:line="237"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37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connection with the Quarterly Report of Arhaus, Inc. (the “Company”) on Form 10-Q for the quarter ended June 30, 2023 as filed with the Securities and Exchange Commission on the date hereof (the “Report”), I, John Reed, Chief Executive Officer of the Company, hereby certify, pursuant to 18 U.S.C.</w:t>
      </w:r>
    </w:p>
    <w:p>
      <w:pPr>
        <w:spacing w:after="0"/>
        <w:rPr>
          <w:sz w:val="20"/>
          <w:szCs w:val="20"/>
          <w:color w:val="auto"/>
        </w:rPr>
      </w:pPr>
      <w:r>
        <w:rPr>
          <w:rFonts w:ascii="Arial" w:cs="Arial" w:eastAsia="Arial" w:hAnsi="Arial"/>
          <w:sz w:val="18"/>
          <w:szCs w:val="18"/>
          <w:color w:val="auto"/>
        </w:rPr>
        <w:t>Section 1350, as adopted pursuant to Section 906 of the Sarbanes-Oxley Act of 2002, to the best of my knowledge, that:</w:t>
      </w:r>
    </w:p>
    <w:p>
      <w:pPr>
        <w:spacing w:after="0" w:line="128"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660" w:hanging="328"/>
        <w:spacing w:after="0" w:line="235"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dates and periods covered by the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John Reed</w:t>
      </w:r>
    </w:p>
    <w:p>
      <w:pPr>
        <w:spacing w:after="0" w:line="203" w:lineRule="auto"/>
        <w:rPr>
          <w:sz w:val="20"/>
          <w:szCs w:val="20"/>
          <w:color w:val="auto"/>
        </w:rPr>
      </w:pPr>
      <w:r>
        <w:rPr>
          <w:rFonts w:ascii="Arial" w:cs="Arial" w:eastAsia="Arial" w:hAnsi="Arial"/>
          <w:sz w:val="18"/>
          <w:szCs w:val="18"/>
          <w:color w:val="auto"/>
        </w:rPr>
        <w:t>John Reed</w:t>
      </w:r>
    </w:p>
    <w:p>
      <w:pPr>
        <w:spacing w:after="0" w:line="219"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2023</w:t>
      </w:r>
    </w:p>
    <w:p>
      <w:pPr>
        <w:spacing w:after="0" w:line="15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 signed original of this written statement required by Section 906 has been provided to, and will be retained by, Arhaus, Inc.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36" w:name="page37"/>
    <w:bookmarkEnd w:id="36"/>
    <w:p>
      <w:pPr>
        <w:ind w:left="10320"/>
        <w:spacing w:after="0"/>
        <w:rPr>
          <w:sz w:val="20"/>
          <w:szCs w:val="20"/>
          <w:color w:val="auto"/>
        </w:rPr>
      </w:pPr>
      <w:r>
        <w:rPr>
          <w:rFonts w:ascii="Arial" w:cs="Arial" w:eastAsia="Arial" w:hAnsi="Arial"/>
          <w:sz w:val="16"/>
          <w:szCs w:val="16"/>
          <w:b w:val="1"/>
          <w:bCs w:val="1"/>
          <w:color w:val="auto"/>
        </w:rPr>
        <w:t>Exhibit 32.2</w:t>
      </w:r>
    </w:p>
    <w:p>
      <w:pPr>
        <w:spacing w:after="0" w:line="289" w:lineRule="exact"/>
        <w:rPr>
          <w:sz w:val="20"/>
          <w:szCs w:val="20"/>
          <w:color w:val="auto"/>
        </w:rPr>
      </w:pPr>
    </w:p>
    <w:p>
      <w:pPr>
        <w:jc w:val="center"/>
        <w:spacing w:after="0" w:line="237"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37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connection with the Quarterly Report of Arhaus, Inc. (the “Company”) on Form 10-Q for the quarter ended June 30, 2023 as filed with the Securities and Exchange Commission on the date hereof (the “Report”), I, Dawn Phillipson, Chief Financial Officer of the Company, hereby certify, pursuant to 18 U.S.C.</w:t>
      </w:r>
    </w:p>
    <w:p>
      <w:pPr>
        <w:spacing w:after="0"/>
        <w:rPr>
          <w:sz w:val="20"/>
          <w:szCs w:val="20"/>
          <w:color w:val="auto"/>
        </w:rPr>
      </w:pPr>
      <w:r>
        <w:rPr>
          <w:rFonts w:ascii="Arial" w:cs="Arial" w:eastAsia="Arial" w:hAnsi="Arial"/>
          <w:sz w:val="18"/>
          <w:szCs w:val="18"/>
          <w:color w:val="auto"/>
        </w:rPr>
        <w:t>Section 1350, as adopted pursuant to Section 906 of the Sarbanes-Oxley Act of 2002, to the best of my knowledge, that:</w:t>
      </w:r>
    </w:p>
    <w:p>
      <w:pPr>
        <w:spacing w:after="0" w:line="128"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660" w:hanging="328"/>
        <w:spacing w:after="0" w:line="235"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dates and periods covered by the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Dawn Phillipson</w:t>
      </w:r>
    </w:p>
    <w:p>
      <w:pPr>
        <w:spacing w:after="0" w:line="203" w:lineRule="auto"/>
        <w:rPr>
          <w:sz w:val="20"/>
          <w:szCs w:val="20"/>
          <w:color w:val="auto"/>
        </w:rPr>
      </w:pPr>
      <w:r>
        <w:rPr>
          <w:rFonts w:ascii="Arial" w:cs="Arial" w:eastAsia="Arial" w:hAnsi="Arial"/>
          <w:sz w:val="18"/>
          <w:szCs w:val="18"/>
          <w:color w:val="auto"/>
        </w:rPr>
        <w:t>Dawn Phillipson</w:t>
      </w:r>
    </w:p>
    <w:p>
      <w:pPr>
        <w:spacing w:after="0" w:line="219"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2023</w:t>
      </w:r>
    </w:p>
    <w:p>
      <w:pPr>
        <w:spacing w:after="0" w:line="15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 signed original of this written statement required by Section 906 has been provided to, and will be retained by, Arhaus, Inc.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2"/>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66" Type="http://schemas.openxmlformats.org/officeDocument/2006/relationships/hyperlink" Target="https://www.sec.gov/Archives/edgar/data/1875444/000187544421000004/exhibit31-arcertificateo.htm" TargetMode="External"/><Relationship Id="rId67" Type="http://schemas.openxmlformats.org/officeDocument/2006/relationships/hyperlink" Target="https://www.sec.gov/Archives/edgar/data/1875444/000187544421000004/exhibit32-arbylawsofarh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2023-08-09T05:42:18Z</dcterms:created>
  <dcterms:modified xsi:type="dcterms:W3CDTF">2023-08-09T05:42:18Z</dcterms:modified>
</cp:coreProperties>
</file>