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288" w:before="20" w:after="283"/>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00" w:after="4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200" w:after="283"/>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40" w:after="40"/>
              <w:jc w:val="center"/>
              <w:rPr>
                <w:color w:val="000000"/>
              </w:rPr>
            </w:pPr>
            <w:r>
              <w:rPr>
                <w:color w:val="000000"/>
              </w:rPr>
              <w:t>☐</w:t>
            </w:r>
          </w:p>
          <w:p>
            <w:pPr>
              <w:pStyle w:val="TableContents"/>
              <w:bidi w:val="0"/>
              <w:spacing w:before="0" w:after="0"/>
              <w:jc w:val="center"/>
              <w:rPr/>
            </w:pPr>
            <w:r>
              <w:rPr/>
            </w:r>
          </w:p>
        </w:tc>
        <w:tc>
          <w:tcPr>
            <w:tcW w:w="9863" w:type="dxa"/>
            <w:gridSpan w:val="3"/>
            <w:tcBorders/>
            <w:tcMar>
              <w:top w:w="0" w:type="dxa"/>
              <w:left w:w="0" w:type="dxa"/>
              <w:bottom w:w="0" w:type="dxa"/>
              <w:right w:w="0" w:type="dxa"/>
            </w:tcMar>
            <w:vAlign w:val="center"/>
          </w:tcPr>
          <w:p>
            <w:pPr>
              <w:pStyle w:val="TableContents"/>
              <w:bidi w:val="0"/>
              <w:spacing w:lineRule="auto" w:line="288" w:before="40" w:after="4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00" w:after="283"/>
        <w:jc w:val="left"/>
        <w:rPr/>
      </w:pPr>
      <w:r>
        <w:rPr>
          <w:rFonts w:ascii="Times New Roman;serif" w:hAnsi="Times New Roman;serif"/>
          <w:b/>
          <w:color w:val="000000"/>
          <w:sz w:val="20"/>
        </w:rPr>
        <w:t xml:space="preserve">For the transition period from </w:t>
      </w:r>
      <w:r>
        <w:rPr>
          <w:rFonts w:ascii="Times New Roman;serif" w:hAnsi="Times New Roman;serif"/>
          <w:b/>
          <w:color w:val="000000"/>
          <w:sz w:val="20"/>
          <w:shd w:fill="FFFFFF" w:val="clear"/>
        </w:rPr>
        <w:t>to</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Commission file number: 001-41009</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Arhaus, Inc.</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(Exact name of registrant as specified in its charter)</w:t>
      </w:r>
    </w:p>
    <w:tbl>
      <w:tblPr>
        <w:tblW w:w="4556" w:type="dxa"/>
        <w:jc w:val="left"/>
        <w:tblInd w:w="0" w:type="dxa"/>
        <w:tblLayout w:type="fixed"/>
        <w:tblCellMar>
          <w:top w:w="28" w:type="dxa"/>
          <w:left w:w="28" w:type="dxa"/>
          <w:bottom w:w="28" w:type="dxa"/>
          <w:right w:w="28" w:type="dxa"/>
        </w:tblCellMar>
      </w:tblPr>
      <w:tblGrid>
        <w:gridCol w:w="933"/>
        <w:gridCol w:w="819"/>
        <w:gridCol w:w="828"/>
        <w:gridCol w:w="109"/>
        <w:gridCol w:w="109"/>
        <w:gridCol w:w="109"/>
        <w:gridCol w:w="481"/>
        <w:gridCol w:w="481"/>
        <w:gridCol w:w="687"/>
      </w:tblGrid>
      <w:tr>
        <w:trPr/>
        <w:tc>
          <w:tcPr>
            <w:tcW w:w="933"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87-1729256</w:t>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40" w:after="4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25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 xml:space="preserve">51 E. Hines Hill Road, Boston Heights, Ohio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lineRule="auto" w:line="288" w:before="40" w:after="283"/>
        <w:jc w:val="center"/>
        <w:rPr>
          <w:rFonts w:ascii="Times New Roman;serif" w:hAnsi="Times New Roman;serif"/>
          <w:b/>
          <w:color w:val="000000"/>
          <w:sz w:val="20"/>
        </w:rPr>
      </w:pPr>
      <w:r>
        <w:rPr>
          <w:rFonts w:ascii="Times New Roman;serif" w:hAnsi="Times New Roman;serif"/>
          <w:b/>
          <w:color w:val="000000"/>
          <w:sz w:val="20"/>
        </w:rPr>
        <w:t>44236</w:t>
      </w:r>
    </w:p>
    <w:p>
      <w:pPr>
        <w:pStyle w:val="TextBody"/>
        <w:bidi w:val="0"/>
        <w:spacing w:lineRule="auto" w:line="288" w:before="4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(440) 439-7700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703" w:type="dxa"/>
        <w:jc w:val="left"/>
        <w:tblInd w:w="0" w:type="dxa"/>
        <w:tblLayout w:type="fixed"/>
        <w:tblCellMar>
          <w:top w:w="28" w:type="dxa"/>
          <w:left w:w="28" w:type="dxa"/>
          <w:bottom w:w="28" w:type="dxa"/>
          <w:right w:w="28" w:type="dxa"/>
        </w:tblCellMar>
      </w:tblPr>
      <w:tblGrid>
        <w:gridCol w:w="1512"/>
        <w:gridCol w:w="1328"/>
        <w:gridCol w:w="1344"/>
        <w:gridCol w:w="564"/>
        <w:gridCol w:w="564"/>
        <w:gridCol w:w="566"/>
        <w:gridCol w:w="1118"/>
        <w:gridCol w:w="1118"/>
        <w:gridCol w:w="1589"/>
      </w:tblGrid>
      <w:tr>
        <w:trPr/>
        <w:tc>
          <w:tcPr>
            <w:tcW w:w="1512"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8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418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$0.001 par value per share</w:t>
            </w:r>
          </w:p>
        </w:tc>
        <w:tc>
          <w:tcPr>
            <w:tcW w:w="1694" w:type="dxa"/>
            <w:gridSpan w:val="3"/>
            <w:tcBorders>
              <w:top w:val="single" w:sz="8" w:space="0" w:color="000000"/>
              <w:left w:val="single" w:sz="8" w:space="0" w:color="000000"/>
              <w:bottom w:val="single" w:sz="8" w:space="0" w:color="000000"/>
            </w:tcBorders>
            <w:shd w:fill="CCEEFF" w:val="clear"/>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ARHS</w:t>
            </w:r>
          </w:p>
        </w:tc>
        <w:tc>
          <w:tcPr>
            <w:tcW w:w="3825" w:type="dxa"/>
            <w:gridSpan w:val="3"/>
            <w:tcBorders>
              <w:top w:val="single" w:sz="8" w:space="0" w:color="000000"/>
              <w:left w:val="single" w:sz="8" w:space="0" w:color="000000"/>
              <w:bottom w:val="single" w:sz="8" w:space="0" w:color="000000"/>
              <w:right w:val="single" w:sz="8" w:space="0" w:color="000000"/>
            </w:tcBorders>
            <w:shd w:fill="CCEEFF" w:val="clear"/>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200" w:after="283"/>
        <w:jc w:val="left"/>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200" w:after="283"/>
        <w:jc w:val="left"/>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200" w:after="283"/>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200" w:after="283"/>
              <w:jc w:val="center"/>
              <w:rPr>
                <w:color w:val="000000"/>
              </w:rPr>
            </w:pPr>
            <w:r>
              <w:rPr>
                <w:color w:val="000000"/>
              </w:rPr>
              <w:t>☐</w:t>
            </w:r>
          </w:p>
        </w:tc>
      </w:tr>
    </w:tbl>
    <w:p>
      <w:pPr>
        <w:pStyle w:val="TextBody"/>
        <w:bidi w:val="0"/>
        <w:spacing w:lineRule="auto" w:line="288" w:before="20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pPr>
      <w:r>
        <w:rPr>
          <w:rFonts w:ascii="Times New Roman;serif" w:hAnsi="Times New Roman;serif"/>
          <w:b w:val="false"/>
          <w:color w:val="000000"/>
          <w:sz w:val="20"/>
        </w:rPr>
        <w:t xml:space="preserve">Indicate by check mark whether the registrant is a shell company (as defined in Rule 12b-2 of the Act).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of July 31, 2026 the registrant had 54,636,133 shares of Class A common stock and 87,115,600 shares of Class B common stock outstanding.</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9288" w:type="dxa"/>
        <w:jc w:val="right"/>
        <w:tblInd w:w="0" w:type="dxa"/>
        <w:tblLayout w:type="fixed"/>
        <w:tblCellMar>
          <w:top w:w="28" w:type="dxa"/>
          <w:left w:w="28" w:type="dxa"/>
          <w:bottom w:w="28" w:type="dxa"/>
          <w:right w:w="28" w:type="dxa"/>
        </w:tblCellMar>
      </w:tblPr>
      <w:tblGrid>
        <w:gridCol w:w="491"/>
        <w:gridCol w:w="431"/>
        <w:gridCol w:w="431"/>
        <w:gridCol w:w="2445"/>
        <w:gridCol w:w="2445"/>
        <w:gridCol w:w="2474"/>
        <w:gridCol w:w="167"/>
        <w:gridCol w:w="167"/>
        <w:gridCol w:w="237"/>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2445" w:type="dxa"/>
            <w:tcBorders/>
            <w:vAlign w:val="center"/>
          </w:tcPr>
          <w:p>
            <w:pPr>
              <w:pStyle w:val="TableContents"/>
              <w:bidi w:val="0"/>
              <w:spacing w:before="0" w:after="283"/>
              <w:jc w:val="left"/>
              <w:rPr>
                <w:sz w:val="4"/>
                <w:szCs w:val="4"/>
              </w:rPr>
            </w:pPr>
            <w:r>
              <w:rPr>
                <w:sz w:val="4"/>
                <w:szCs w:val="4"/>
              </w:rPr>
            </w:r>
          </w:p>
        </w:tc>
        <w:tc>
          <w:tcPr>
            <w:tcW w:w="247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717" w:type="dxa"/>
            <w:gridSpan w:val="6"/>
            <w:tcBorders/>
            <w:shd w:fill="CCEEFF" w:val="clear"/>
            <w:tcMar>
              <w:top w:w="0" w:type="dxa"/>
              <w:left w:w="0" w:type="dxa"/>
              <w:bottom w:w="0" w:type="dxa"/>
              <w:right w:w="0" w:type="dxa"/>
            </w:tcMar>
            <w:vAlign w:val="center"/>
          </w:tcPr>
          <w:p>
            <w:pPr>
              <w:pStyle w:val="TableContents"/>
              <w:bidi w:val="0"/>
              <w:spacing w:lineRule="auto" w:line="240" w:before="200" w:after="283"/>
              <w:jc w:val="left"/>
              <w:rPr/>
            </w:pPr>
            <w:hyperlink w:anchor="i9ab886620ddb416c9526cf96febf2f66_10">
              <w:r>
                <w:rPr>
                  <w:rStyle w:val="InternetLink"/>
                  <w:rFonts w:ascii="Times New Roman;serif" w:hAnsi="Times New Roman;serif"/>
                  <w:b/>
                  <w:color w:val="0000FF"/>
                  <w:sz w:val="20"/>
                  <w:u w:val="single"/>
                </w:rPr>
                <w:t>Part I - Financial Information</w:t>
              </w:r>
            </w:hyperlink>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pPr>
            <w:hyperlink w:anchor="i9ab886620ddb416c9526cf96febf2f66_10">
              <w:r>
                <w:rPr>
                  <w:rStyle w:val="InternetLink"/>
                  <w:rFonts w:ascii="Times New Roman;serif" w:hAnsi="Times New Roman;serif"/>
                  <w:b w:val="false"/>
                  <w:strike w:val="false"/>
                  <w:dstrike w:val="false"/>
                  <w:color w:val="000000"/>
                  <w:sz w:val="20"/>
                  <w:u w:val="none"/>
                  <w:effect w:val="none"/>
                </w:rPr>
                <w:t>2</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3">
              <w:r>
                <w:rPr>
                  <w:rStyle w:val="InternetLink"/>
                  <w:rFonts w:ascii="Times New Roman;serif" w:hAnsi="Times New Roman;serif"/>
                  <w:b w:val="false"/>
                  <w:color w:val="0000FF"/>
                  <w:sz w:val="20"/>
                  <w:u w:val="singl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3">
              <w:r>
                <w:rPr>
                  <w:rStyle w:val="InternetLink"/>
                  <w:rFonts w:ascii="Times New Roman;serif" w:hAnsi="Times New Roman;serif"/>
                  <w:b w:val="false"/>
                  <w:color w:val="0000FF"/>
                  <w:sz w:val="20"/>
                  <w:u w:val="single"/>
                </w:rPr>
                <w:t>Financial Statements of Arhaus, Inc. and Subsidiaries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ab886620ddb416c9526cf96febf2f66_13">
              <w:r>
                <w:rPr>
                  <w:rStyle w:val="InternetLink"/>
                  <w:rFonts w:ascii="Times New Roman;serif" w:hAnsi="Times New Roman;serif"/>
                  <w:b w:val="false"/>
                  <w:strike w:val="false"/>
                  <w:dstrike w:val="false"/>
                  <w:color w:val="000000"/>
                  <w:sz w:val="20"/>
                  <w:u w:val="none"/>
                  <w:effect w:val="none"/>
                </w:rPr>
                <w:t>2</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6">
              <w:r>
                <w:rPr>
                  <w:rStyle w:val="InternetLink"/>
                  <w:rFonts w:ascii="Times New Roman;serif" w:hAnsi="Times New Roman;serif"/>
                  <w:b w:val="false"/>
                  <w:color w:val="0000FF"/>
                  <w:sz w:val="20"/>
                  <w:u w:val="single"/>
                </w:rPr>
                <w:t>Condensed Consolidated Balance Sheets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ab886620ddb416c9526cf96febf2f66_16">
              <w:r>
                <w:rPr>
                  <w:rStyle w:val="InternetLink"/>
                  <w:rFonts w:ascii="Times New Roman;serif" w:hAnsi="Times New Roman;serif"/>
                  <w:b w:val="false"/>
                  <w:strike w:val="false"/>
                  <w:dstrike w:val="false"/>
                  <w:color w:val="000000"/>
                  <w:sz w:val="20"/>
                  <w:u w:val="none"/>
                  <w:effect w:val="none"/>
                </w:rPr>
                <w:t>2</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9">
              <w:r>
                <w:rPr>
                  <w:rStyle w:val="InternetLink"/>
                  <w:rFonts w:ascii="Times New Roman;serif" w:hAnsi="Times New Roman;serif"/>
                  <w:b w:val="false"/>
                  <w:color w:val="0000FF"/>
                  <w:sz w:val="20"/>
                  <w:u w:val="single"/>
                </w:rPr>
                <w:t>Condensed Consolidated Statements of Comprehensive Income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ab886620ddb416c9526cf96febf2f66_19">
              <w:r>
                <w:rPr>
                  <w:rStyle w:val="InternetLink"/>
                  <w:rFonts w:ascii="Times New Roman;serif" w:hAnsi="Times New Roman;serif"/>
                  <w:b w:val="false"/>
                  <w:strike w:val="false"/>
                  <w:dstrike w:val="false"/>
                  <w:color w:val="000000"/>
                  <w:sz w:val="20"/>
                  <w:u w:val="none"/>
                  <w:effect w:val="none"/>
                </w:rPr>
                <w:t>3</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22">
              <w:r>
                <w:rPr>
                  <w:rStyle w:val="InternetLink"/>
                  <w:rFonts w:ascii="Times New Roman;serif" w:hAnsi="Times New Roman;serif"/>
                  <w:b w:val="false"/>
                  <w:color w:val="0000FF"/>
                  <w:sz w:val="20"/>
                  <w:u w:val="single"/>
                </w:rPr>
                <w:t>Condensed Consolidated Statements of Changes in Stockholders’ Equity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ab886620ddb416c9526cf96febf2f66_22">
              <w:r>
                <w:rPr>
                  <w:rStyle w:val="InternetLink"/>
                  <w:rFonts w:ascii="Times New Roman;serif" w:hAnsi="Times New Roman;serif"/>
                  <w:b w:val="false"/>
                  <w:strike w:val="false"/>
                  <w:dstrike w:val="false"/>
                  <w:color w:val="000000"/>
                  <w:sz w:val="20"/>
                  <w:u w:val="none"/>
                  <w:effect w:val="none"/>
                </w:rPr>
                <w:t>4</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25">
              <w:r>
                <w:rPr>
                  <w:rStyle w:val="InternetLink"/>
                  <w:rFonts w:ascii="Times New Roman;serif" w:hAnsi="Times New Roman;serif"/>
                  <w:b w:val="false"/>
                  <w:color w:val="0000FF"/>
                  <w:sz w:val="20"/>
                  <w:u w:val="single"/>
                </w:rPr>
                <w:t>Condensed Consolidated Statements of Cash Flows (unaudited)</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ab886620ddb416c9526cf96febf2f66_25">
              <w:r>
                <w:rPr>
                  <w:rStyle w:val="InternetLink"/>
                  <w:rFonts w:ascii="Times New Roman;serif" w:hAnsi="Times New Roman;serif"/>
                  <w:b w:val="false"/>
                  <w:strike w:val="false"/>
                  <w:dstrike w:val="false"/>
                  <w:color w:val="000000"/>
                  <w:sz w:val="20"/>
                  <w:u w:val="none"/>
                  <w:effect w:val="none"/>
                </w:rPr>
                <w:t>6</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28">
              <w:r>
                <w:rPr>
                  <w:rStyle w:val="InternetLink"/>
                  <w:rFonts w:ascii="Times New Roman;serif" w:hAnsi="Times New Roman;serif"/>
                  <w:b w:val="false"/>
                  <w:color w:val="0000FF"/>
                  <w:sz w:val="20"/>
                  <w:u w:val="single"/>
                </w:rPr>
                <w:t>Notes to Condensed Consolidated Financial Statements (unaudited)</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ab886620ddb416c9526cf96febf2f66_28">
              <w:r>
                <w:rPr>
                  <w:rStyle w:val="InternetLink"/>
                  <w:rFonts w:ascii="Times New Roman;serif" w:hAnsi="Times New Roman;serif"/>
                  <w:b w:val="false"/>
                  <w:strike w:val="false"/>
                  <w:dstrike w:val="false"/>
                  <w:color w:val="000000"/>
                  <w:sz w:val="20"/>
                  <w:u w:val="none"/>
                  <w:effect w:val="none"/>
                </w:rPr>
                <w:t>7</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79">
              <w:r>
                <w:rPr>
                  <w:rStyle w:val="InternetLink"/>
                  <w:rFonts w:ascii="Times New Roman;serif" w:hAnsi="Times New Roman;serif"/>
                  <w:b w:val="false"/>
                  <w:color w:val="0000FF"/>
                  <w:sz w:val="20"/>
                  <w:u w:val="singl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79">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ab886620ddb416c9526cf96febf2f66_79">
              <w:r>
                <w:rPr>
                  <w:rStyle w:val="InternetLink"/>
                  <w:rFonts w:ascii="Times New Roman;serif" w:hAnsi="Times New Roman;serif"/>
                  <w:b w:val="false"/>
                  <w:strike w:val="false"/>
                  <w:dstrike w:val="false"/>
                  <w:color w:val="000000"/>
                  <w:sz w:val="20"/>
                  <w:u w:val="none"/>
                  <w:effect w:val="none"/>
                </w:rPr>
                <w:t>19</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18">
              <w:r>
                <w:rPr>
                  <w:rStyle w:val="InternetLink"/>
                  <w:rFonts w:ascii="Times New Roman;serif" w:hAnsi="Times New Roman;serif"/>
                  <w:b w:val="false"/>
                  <w:color w:val="0000FF"/>
                  <w:sz w:val="20"/>
                  <w:u w:val="single"/>
                </w:rPr>
                <w:t>Item 3.</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18">
              <w:r>
                <w:rPr>
                  <w:rStyle w:val="InternetLink"/>
                  <w:rFonts w:ascii="Times New Roman;serif" w:hAnsi="Times New Roman;serif"/>
                  <w:b w:val="false"/>
                  <w:color w:val="0000FF"/>
                  <w:sz w:val="20"/>
                  <w:u w:val="single"/>
                </w:rPr>
                <w:t>Quantitative and Qualitative Disclosures About Market Risk</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ab886620ddb416c9526cf96febf2f66_118">
              <w:r>
                <w:rPr>
                  <w:rStyle w:val="InternetLink"/>
                  <w:rFonts w:ascii="Times New Roman;serif" w:hAnsi="Times New Roman;serif"/>
                  <w:b w:val="false"/>
                  <w:strike w:val="false"/>
                  <w:dstrike w:val="false"/>
                  <w:color w:val="000000"/>
                  <w:sz w:val="20"/>
                  <w:u w:val="none"/>
                  <w:effect w:val="none"/>
                </w:rPr>
                <w:t>29</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30">
              <w:r>
                <w:rPr>
                  <w:rStyle w:val="InternetLink"/>
                  <w:rFonts w:ascii="Times New Roman;serif" w:hAnsi="Times New Roman;serif"/>
                  <w:b w:val="false"/>
                  <w:color w:val="0000FF"/>
                  <w:sz w:val="20"/>
                  <w:u w:val="singl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30">
              <w:r>
                <w:rPr>
                  <w:rStyle w:val="InternetLink"/>
                  <w:rFonts w:ascii="Times New Roman;serif" w:hAnsi="Times New Roman;serif"/>
                  <w:b w:val="false"/>
                  <w:color w:val="0000FF"/>
                  <w:sz w:val="20"/>
                  <w:u w:val="single"/>
                </w:rPr>
                <w:t>Controls and Procedures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ab886620ddb416c9526cf96febf2f66_130">
              <w:r>
                <w:rPr>
                  <w:rStyle w:val="InternetLink"/>
                  <w:rFonts w:ascii="Times New Roman;serif" w:hAnsi="Times New Roman;serif"/>
                  <w:b w:val="false"/>
                  <w:strike w:val="false"/>
                  <w:dstrike w:val="false"/>
                  <w:color w:val="000000"/>
                  <w:sz w:val="20"/>
                  <w:u w:val="none"/>
                  <w:effect w:val="none"/>
                </w:rPr>
                <w:t>30</w:t>
              </w:r>
            </w:hyperlink>
          </w:p>
        </w:tc>
      </w:tr>
      <w:tr>
        <w:trPr/>
        <w:tc>
          <w:tcPr>
            <w:tcW w:w="871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33">
              <w:r>
                <w:rPr>
                  <w:rStyle w:val="InternetLink"/>
                  <w:rFonts w:ascii="Times New Roman;serif" w:hAnsi="Times New Roman;serif"/>
                  <w:b/>
                  <w:color w:val="0000FF"/>
                  <w:sz w:val="20"/>
                  <w:u w:val="single"/>
                </w:rPr>
                <w:t>Part II. 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ab886620ddb416c9526cf96febf2f66_133">
              <w:r>
                <w:rPr>
                  <w:rStyle w:val="InternetLink"/>
                  <w:rFonts w:ascii="Times New Roman;serif" w:hAnsi="Times New Roman;serif"/>
                  <w:b w:val="false"/>
                  <w:strike w:val="false"/>
                  <w:dstrike w:val="false"/>
                  <w:color w:val="000000"/>
                  <w:sz w:val="20"/>
                  <w:u w:val="none"/>
                  <w:effect w:val="none"/>
                </w:rPr>
                <w:t>34</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36">
              <w:r>
                <w:rPr>
                  <w:rStyle w:val="InternetLink"/>
                  <w:rFonts w:ascii="Times New Roman;serif" w:hAnsi="Times New Roman;serif"/>
                  <w:b w:val="false"/>
                  <w:color w:val="0000FF"/>
                  <w:sz w:val="20"/>
                  <w:u w:val="single"/>
                </w:rPr>
                <w:t>Item 1.</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36">
              <w:r>
                <w:rPr>
                  <w:rStyle w:val="InternetLink"/>
                  <w:rFonts w:ascii="Times New Roman;serif" w:hAnsi="Times New Roman;serif"/>
                  <w:b w:val="false"/>
                  <w:color w:val="0000FF"/>
                  <w:sz w:val="20"/>
                  <w:u w:val="single"/>
                </w:rPr>
                <w:t>Legal Proceedings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ab886620ddb416c9526cf96febf2f66_136">
              <w:r>
                <w:rPr>
                  <w:rStyle w:val="InternetLink"/>
                  <w:rFonts w:ascii="Times New Roman;serif" w:hAnsi="Times New Roman;serif"/>
                  <w:b w:val="false"/>
                  <w:strike w:val="false"/>
                  <w:dstrike w:val="false"/>
                  <w:color w:val="000000"/>
                  <w:sz w:val="20"/>
                  <w:u w:val="none"/>
                  <w:effect w:val="none"/>
                </w:rPr>
                <w:t>34</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39">
              <w:r>
                <w:rPr>
                  <w:rStyle w:val="InternetLink"/>
                  <w:rFonts w:ascii="Times New Roman;serif" w:hAnsi="Times New Roman;serif"/>
                  <w:b w:val="false"/>
                  <w:color w:val="0000FF"/>
                  <w:sz w:val="20"/>
                  <w:u w:val="single"/>
                </w:rPr>
                <w:t xml:space="preserve">Item 1A. </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39">
              <w:r>
                <w:rPr>
                  <w:rStyle w:val="InternetLink"/>
                  <w:rFonts w:ascii="Times New Roman;serif" w:hAnsi="Times New Roman;serif"/>
                  <w:b w:val="false"/>
                  <w:color w:val="0000FF"/>
                  <w:sz w:val="20"/>
                  <w:u w:val="single"/>
                </w:rPr>
                <w:t>Risk Factors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ab886620ddb416c9526cf96febf2f66_139">
              <w:r>
                <w:rPr>
                  <w:rStyle w:val="InternetLink"/>
                  <w:rFonts w:ascii="Times New Roman;serif" w:hAnsi="Times New Roman;serif"/>
                  <w:b w:val="false"/>
                  <w:strike w:val="false"/>
                  <w:dstrike w:val="false"/>
                  <w:color w:val="000000"/>
                  <w:sz w:val="20"/>
                  <w:u w:val="none"/>
                  <w:effect w:val="none"/>
                </w:rPr>
                <w:t>34</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42">
              <w:r>
                <w:rPr>
                  <w:rStyle w:val="InternetLink"/>
                  <w:rFonts w:ascii="Times New Roman;serif" w:hAnsi="Times New Roman;serif"/>
                  <w:b w:val="false"/>
                  <w:color w:val="0000FF"/>
                  <w:sz w:val="20"/>
                  <w:u w:val="single"/>
                </w:rPr>
                <w:t>Item 2.</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42">
              <w:r>
                <w:rPr>
                  <w:rStyle w:val="InternetLink"/>
                  <w:rFonts w:ascii="Times New Roman;serif" w:hAnsi="Times New Roman;serif"/>
                  <w:b w:val="false"/>
                  <w:color w:val="0000FF"/>
                  <w:sz w:val="20"/>
                  <w:u w:val="single"/>
                </w:rPr>
                <w:t>Unregistered Sales of Equity Securities and Use of Proceeds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ab886620ddb416c9526cf96febf2f66_142">
              <w:r>
                <w:rPr>
                  <w:rStyle w:val="InternetLink"/>
                  <w:rFonts w:ascii="Times New Roman;serif" w:hAnsi="Times New Roman;serif"/>
                  <w:b w:val="false"/>
                  <w:strike w:val="false"/>
                  <w:dstrike w:val="false"/>
                  <w:color w:val="000000"/>
                  <w:sz w:val="20"/>
                  <w:u w:val="none"/>
                  <w:effect w:val="none"/>
                </w:rPr>
                <w:t>34</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45">
              <w:r>
                <w:rPr>
                  <w:rStyle w:val="InternetLink"/>
                  <w:rFonts w:ascii="Times New Roman;serif" w:hAnsi="Times New Roman;serif"/>
                  <w:b w:val="false"/>
                  <w:color w:val="0000FF"/>
                  <w:sz w:val="20"/>
                  <w:u w:val="single"/>
                </w:rPr>
                <w:t xml:space="preserve">Item 3. </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45">
              <w:r>
                <w:rPr>
                  <w:rStyle w:val="InternetLink"/>
                  <w:rFonts w:ascii="Times New Roman;serif" w:hAnsi="Times New Roman;serif"/>
                  <w:b w:val="false"/>
                  <w:color w:val="0000FF"/>
                  <w:sz w:val="20"/>
                  <w:u w:val="single"/>
                </w:rPr>
                <w:t>Defaults Upon Senior Securities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ab886620ddb416c9526cf96febf2f66_145">
              <w:r>
                <w:rPr>
                  <w:rStyle w:val="InternetLink"/>
                  <w:rFonts w:ascii="Times New Roman;serif" w:hAnsi="Times New Roman;serif"/>
                  <w:b w:val="false"/>
                  <w:strike w:val="false"/>
                  <w:dstrike w:val="false"/>
                  <w:color w:val="000000"/>
                  <w:sz w:val="20"/>
                  <w:u w:val="none"/>
                  <w:effect w:val="none"/>
                </w:rPr>
                <w:t>34</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48">
              <w:r>
                <w:rPr>
                  <w:rStyle w:val="InternetLink"/>
                  <w:rFonts w:ascii="Times New Roman;serif" w:hAnsi="Times New Roman;serif"/>
                  <w:b w:val="false"/>
                  <w:color w:val="0000FF"/>
                  <w:sz w:val="20"/>
                  <w:u w:val="single"/>
                </w:rPr>
                <w:t>Item 4.</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48">
              <w:r>
                <w:rPr>
                  <w:rStyle w:val="InternetLink"/>
                  <w:rFonts w:ascii="Times New Roman;serif" w:hAnsi="Times New Roman;serif"/>
                  <w:b w:val="false"/>
                  <w:color w:val="0000FF"/>
                  <w:sz w:val="20"/>
                  <w:u w:val="single"/>
                </w:rPr>
                <w:t>Mine Safety Disclosures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ab886620ddb416c9526cf96febf2f66_148">
              <w:r>
                <w:rPr>
                  <w:rStyle w:val="InternetLink"/>
                  <w:rFonts w:ascii="Times New Roman;serif" w:hAnsi="Times New Roman;serif"/>
                  <w:b w:val="false"/>
                  <w:strike w:val="false"/>
                  <w:dstrike w:val="false"/>
                  <w:color w:val="000000"/>
                  <w:sz w:val="20"/>
                  <w:u w:val="none"/>
                  <w:effect w:val="none"/>
                </w:rPr>
                <w:t>34</w:t>
              </w:r>
            </w:hyperlink>
          </w:p>
        </w:tc>
      </w:tr>
      <w:tr>
        <w:trPr/>
        <w:tc>
          <w:tcPr>
            <w:tcW w:w="135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51">
              <w:r>
                <w:rPr>
                  <w:rStyle w:val="InternetLink"/>
                  <w:rFonts w:ascii="Times New Roman;serif" w:hAnsi="Times New Roman;serif"/>
                  <w:b w:val="false"/>
                  <w:color w:val="0000FF"/>
                  <w:sz w:val="20"/>
                  <w:u w:val="single"/>
                </w:rPr>
                <w:t>Item 5.</w:t>
              </w:r>
            </w:hyperlink>
          </w:p>
        </w:tc>
        <w:tc>
          <w:tcPr>
            <w:tcW w:w="73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51">
              <w:r>
                <w:rPr>
                  <w:rStyle w:val="InternetLink"/>
                  <w:rFonts w:ascii="Times New Roman;serif" w:hAnsi="Times New Roman;serif"/>
                  <w:b w:val="false"/>
                  <w:color w:val="0000FF"/>
                  <w:sz w:val="20"/>
                  <w:u w:val="single"/>
                </w:rPr>
                <w:t>Other Information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ab886620ddb416c9526cf96febf2f66_151">
              <w:r>
                <w:rPr>
                  <w:rStyle w:val="InternetLink"/>
                  <w:rFonts w:ascii="Times New Roman;serif" w:hAnsi="Times New Roman;serif"/>
                  <w:b w:val="false"/>
                  <w:strike w:val="false"/>
                  <w:dstrike w:val="false"/>
                  <w:color w:val="000000"/>
                  <w:sz w:val="20"/>
                  <w:u w:val="none"/>
                  <w:effect w:val="none"/>
                </w:rPr>
                <w:t>34</w:t>
              </w:r>
            </w:hyperlink>
          </w:p>
        </w:tc>
      </w:tr>
      <w:tr>
        <w:trPr/>
        <w:tc>
          <w:tcPr>
            <w:tcW w:w="135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57">
              <w:r>
                <w:rPr>
                  <w:rStyle w:val="InternetLink"/>
                  <w:rFonts w:ascii="Times New Roman;serif" w:hAnsi="Times New Roman;serif"/>
                  <w:b w:val="false"/>
                  <w:color w:val="0000FF"/>
                  <w:sz w:val="20"/>
                  <w:u w:val="single"/>
                </w:rPr>
                <w:t>Item 6.</w:t>
              </w:r>
            </w:hyperlink>
          </w:p>
        </w:tc>
        <w:tc>
          <w:tcPr>
            <w:tcW w:w="7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57">
              <w:r>
                <w:rPr>
                  <w:rStyle w:val="InternetLink"/>
                  <w:rFonts w:ascii="Times New Roman;serif" w:hAnsi="Times New Roman;serif"/>
                  <w:b w:val="false"/>
                  <w:color w:val="0000FF"/>
                  <w:sz w:val="20"/>
                  <w:u w:val="single"/>
                </w:rPr>
                <w:t>Exhibits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9ab886620ddb416c9526cf96febf2f66_157">
              <w:r>
                <w:rPr>
                  <w:rStyle w:val="InternetLink"/>
                  <w:rFonts w:ascii="Times New Roman;serif" w:hAnsi="Times New Roman;serif"/>
                  <w:b w:val="false"/>
                  <w:strike w:val="false"/>
                  <w:dstrike w:val="false"/>
                  <w:color w:val="000000"/>
                  <w:sz w:val="20"/>
                  <w:u w:val="none"/>
                  <w:effect w:val="none"/>
                </w:rPr>
                <w:t>35</w:t>
              </w:r>
            </w:hyperlink>
          </w:p>
        </w:tc>
      </w:tr>
      <w:tr>
        <w:trPr/>
        <w:tc>
          <w:tcPr>
            <w:tcW w:w="8717"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ab886620ddb416c9526cf96febf2f66_160">
              <w:r>
                <w:rPr>
                  <w:rStyle w:val="InternetLink"/>
                  <w:rFonts w:ascii="Times New Roman;serif" w:hAnsi="Times New Roman;serif"/>
                  <w:b/>
                  <w:color w:val="0000FF"/>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9ab886620ddb416c9526cf96febf2f66_160">
              <w:r>
                <w:rPr>
                  <w:rStyle w:val="InternetLink"/>
                  <w:rFonts w:ascii="Times New Roman;serif" w:hAnsi="Times New Roman;serif"/>
                  <w:b w:val="false"/>
                  <w:strike w:val="false"/>
                  <w:dstrike w:val="false"/>
                  <w:color w:val="000000"/>
                  <w:sz w:val="20"/>
                  <w:u w:val="none"/>
                  <w:effect w:val="none"/>
                </w:rPr>
                <w:t>36</w:t>
              </w:r>
            </w:hyperlink>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Financial Statements of Arhaus, Inc. and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15" w:type="dxa"/>
        <w:jc w:val="left"/>
        <w:tblInd w:w="0" w:type="dxa"/>
        <w:tblLayout w:type="fixed"/>
        <w:tblCellMar>
          <w:top w:w="28" w:type="dxa"/>
          <w:left w:w="28" w:type="dxa"/>
          <w:bottom w:w="28" w:type="dxa"/>
          <w:right w:w="28" w:type="dxa"/>
        </w:tblCellMar>
      </w:tblPr>
      <w:tblGrid>
        <w:gridCol w:w="688"/>
        <w:gridCol w:w="606"/>
        <w:gridCol w:w="606"/>
        <w:gridCol w:w="606"/>
        <w:gridCol w:w="606"/>
        <w:gridCol w:w="606"/>
        <w:gridCol w:w="606"/>
        <w:gridCol w:w="606"/>
        <w:gridCol w:w="885"/>
      </w:tblGrid>
      <w:tr>
        <w:trPr/>
        <w:tc>
          <w:tcPr>
            <w:tcW w:w="688"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r>
      <w:tr>
        <w:trPr/>
        <w:tc>
          <w:tcPr>
            <w:tcW w:w="581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Arhaus, Inc. and Subsidiaries</w:t>
              <w:br/>
              <w:t>Condensed Consolidated Balance Sheets</w:t>
              <w:br/>
              <w:t>(Unaudited, amounts in thousands, except share and per share data)</w:t>
            </w:r>
          </w:p>
        </w:tc>
      </w:tr>
    </w:tbl>
    <w:tbl>
      <w:tblPr>
        <w:tblW w:w="10205" w:type="dxa"/>
        <w:jc w:val="left"/>
        <w:tblInd w:w="0" w:type="dxa"/>
        <w:tblLayout w:type="fixed"/>
        <w:tblCellMar>
          <w:top w:w="28" w:type="dxa"/>
          <w:left w:w="28" w:type="dxa"/>
          <w:bottom w:w="28" w:type="dxa"/>
          <w:right w:w="28" w:type="dxa"/>
        </w:tblCellMar>
      </w:tblPr>
      <w:tblGrid>
        <w:gridCol w:w="2733"/>
        <w:gridCol w:w="2280"/>
        <w:gridCol w:w="2210"/>
        <w:gridCol w:w="211"/>
        <w:gridCol w:w="976"/>
        <w:gridCol w:w="109"/>
        <w:gridCol w:w="109"/>
        <w:gridCol w:w="109"/>
        <w:gridCol w:w="109"/>
        <w:gridCol w:w="211"/>
        <w:gridCol w:w="976"/>
        <w:gridCol w:w="172"/>
      </w:tblGrid>
      <w:tr>
        <w:trPr/>
        <w:tc>
          <w:tcPr>
            <w:tcW w:w="2733"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ind w:left="0" w:right="0" w:firstLine="40"/>
              <w:jc w:val="left"/>
              <w:rPr>
                <w:sz w:val="4"/>
                <w:szCs w:val="4"/>
              </w:rPr>
            </w:pPr>
            <w:r>
              <w:rPr>
                <w:sz w:val="4"/>
                <w:szCs w:val="4"/>
              </w:rPr>
            </w:r>
          </w:p>
        </w:tc>
      </w:tr>
      <w:tr>
        <w:trPr/>
        <w:tc>
          <w:tcPr>
            <w:tcW w:w="7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253,356 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receivable,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Merchandise inventory,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338,806 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Prepaid and other 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current assets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621,374 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right-of-use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391,274 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Financing right-of-use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0"/>
              <w:jc w:val="left"/>
              <w:rPr>
                <w:rFonts w:ascii="Times New Roman;serif" w:hAnsi="Times New Roman;serif"/>
                <w:b w:val="false"/>
                <w:color w:val="231F20"/>
                <w:sz w:val="20"/>
              </w:rPr>
            </w:pPr>
            <w:r>
              <w:rPr>
                <w:rFonts w:ascii="Times New Roman;serif" w:hAnsi="Times New Roman;serif"/>
                <w:b w:val="false"/>
                <w:color w:val="231F20"/>
                <w:sz w:val="20"/>
              </w:rPr>
              <w:t>Property, furniture and equipment,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316,216 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Deferred tax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Goodwill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10,961 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Other noncurrent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1,450,453 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1,394,746 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wages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Accrued other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Client deposits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235,943 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portion of operating lease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Current portion of financing 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current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453,262 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Operating lease liabilities, long-term</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Financing lease liabilities, long-term</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Other long-term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976,518 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Commitments and contingencies (Note 9)</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Stockholders’ equity</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Class A shares, par value $0.001 per share (600,000,000 shares authorized, 55,439,727 shares issued and 54,609,412 outstanding as of June 30, 2026; 54,565,242 shares issued and 53,969,149 outstanding as of December 31, 2025)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0"/>
              <w:jc w:val="left"/>
              <w:rPr>
                <w:rFonts w:ascii="Times New Roman;serif" w:hAnsi="Times New Roman;serif"/>
                <w:b w:val="false"/>
                <w:color w:val="000000"/>
                <w:sz w:val="20"/>
              </w:rPr>
            </w:pPr>
            <w:r>
              <w:rPr>
                <w:rFonts w:ascii="Times New Roman;serif" w:hAnsi="Times New Roman;serif"/>
                <w:b w:val="false"/>
                <w:color w:val="000000"/>
                <w:sz w:val="20"/>
              </w:rPr>
              <w:t>Class B shares, par value $0.001 per share (100,000,000 shares authorized, 87,115,600 shares issued and outstanding as of June 30, 2026; 87,115,600 shares issued and outstanding as of December 31, 2025)</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Retained earnings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210,365 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30" w:before="0" w:after="283"/>
              <w:jc w:val="left"/>
              <w:rPr>
                <w:rFonts w:ascii="Times New Roman;serif" w:hAnsi="Times New Roman;serif"/>
                <w:b w:val="false"/>
                <w:color w:val="231F20"/>
                <w:sz w:val="20"/>
              </w:rPr>
            </w:pPr>
            <w:r>
              <w:rPr>
                <w:rFonts w:ascii="Times New Roman;serif" w:hAnsi="Times New Roman;serif"/>
                <w:b w:val="false"/>
                <w:color w:val="231F20"/>
                <w:sz w:val="20"/>
              </w:rPr>
              <w:t>Additional paid-in capital</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207,722 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231F20"/>
                <w:sz w:val="20"/>
              </w:rPr>
            </w:pPr>
            <w:r>
              <w:rPr>
                <w:rFonts w:ascii="Times New Roman;serif" w:hAnsi="Times New Roman;serif"/>
                <w:b w:val="false"/>
                <w:color w:val="231F20"/>
                <w:sz w:val="20"/>
              </w:rPr>
              <w:t>Total stockholders’ equity</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414,947 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418,228 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1,450,453 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1,394,746 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2580"/>
                <wp:effectExtent l="0" t="0" r="0" b="0"/>
                <wp:wrapNone/>
                <wp:docPr id="3" name="Frame3"/>
                <a:graphic xmlns:a="http://schemas.openxmlformats.org/drawingml/2006/main">
                  <a:graphicData uri="http://schemas.microsoft.com/office/word/2010/wordprocessingShape">
                    <wps:wsp>
                      <wps:cNvSpPr txBox="1"/>
                      <wps:spPr>
                        <a:xfrm>
                          <a:off x="0" y="0"/>
                          <a:ext cx="6480175" cy="32258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5819" w:type="dxa"/>
        <w:jc w:val="center"/>
        <w:tblInd w:w="0" w:type="dxa"/>
        <w:tblLayout w:type="fixed"/>
        <w:tblCellMar>
          <w:top w:w="28" w:type="dxa"/>
          <w:left w:w="28" w:type="dxa"/>
          <w:bottom w:w="28" w:type="dxa"/>
          <w:right w:w="28" w:type="dxa"/>
        </w:tblCellMar>
      </w:tblPr>
      <w:tblGrid>
        <w:gridCol w:w="693"/>
        <w:gridCol w:w="607"/>
        <w:gridCol w:w="607"/>
        <w:gridCol w:w="607"/>
        <w:gridCol w:w="607"/>
        <w:gridCol w:w="607"/>
        <w:gridCol w:w="607"/>
        <w:gridCol w:w="607"/>
        <w:gridCol w:w="877"/>
      </w:tblGrid>
      <w:tr>
        <w:trPr/>
        <w:tc>
          <w:tcPr>
            <w:tcW w:w="693"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r>
      <w:tr>
        <w:trPr/>
        <w:tc>
          <w:tcPr>
            <w:tcW w:w="581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Comprehensive Income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 except share and per share data)</w:t>
            </w:r>
          </w:p>
        </w:tc>
      </w:tr>
    </w:tbl>
    <w:tbl>
      <w:tblPr>
        <w:tblW w:w="10205" w:type="dxa"/>
        <w:jc w:val="left"/>
        <w:tblInd w:w="0" w:type="dxa"/>
        <w:tblLayout w:type="fixed"/>
        <w:tblCellMar>
          <w:top w:w="28" w:type="dxa"/>
          <w:left w:w="28" w:type="dxa"/>
          <w:bottom w:w="28" w:type="dxa"/>
          <w:right w:w="28" w:type="dxa"/>
        </w:tblCellMar>
      </w:tblPr>
      <w:tblGrid>
        <w:gridCol w:w="1570"/>
        <w:gridCol w:w="1252"/>
        <w:gridCol w:w="1175"/>
        <w:gridCol w:w="241"/>
        <w:gridCol w:w="945"/>
        <w:gridCol w:w="109"/>
        <w:gridCol w:w="109"/>
        <w:gridCol w:w="109"/>
        <w:gridCol w:w="109"/>
        <w:gridCol w:w="241"/>
        <w:gridCol w:w="945"/>
        <w:gridCol w:w="109"/>
        <w:gridCol w:w="109"/>
        <w:gridCol w:w="109"/>
        <w:gridCol w:w="109"/>
        <w:gridCol w:w="241"/>
        <w:gridCol w:w="945"/>
        <w:gridCol w:w="109"/>
        <w:gridCol w:w="109"/>
        <w:gridCol w:w="109"/>
        <w:gridCol w:w="109"/>
        <w:gridCol w:w="241"/>
        <w:gridCol w:w="945"/>
        <w:gridCol w:w="156"/>
      </w:tblGrid>
      <w:tr>
        <w:trPr/>
        <w:tc>
          <w:tcPr>
            <w:tcW w:w="1570"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358,435 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231F20"/>
                <w:sz w:val="20"/>
              </w:rPr>
            </w:pPr>
            <w:r>
              <w:rPr>
                <w:rFonts w:ascii="Times New Roman;serif" w:hAnsi="Times New Roman;serif"/>
                <w:b/>
                <w:color w:val="231F20"/>
                <w:sz w:val="20"/>
              </w:rPr>
              <w:t>Net and comprehensive income per share, basic</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basic</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141,218,014 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140,536,663 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141,466,361 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140,709,814 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per share, basic</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231F20"/>
                <w:sz w:val="20"/>
              </w:rPr>
            </w:pPr>
            <w:r>
              <w:rPr>
                <w:rFonts w:ascii="Times New Roman;serif" w:hAnsi="Times New Roman;serif"/>
                <w:b/>
                <w:color w:val="231F20"/>
                <w:sz w:val="20"/>
              </w:rPr>
              <w:t>Net and comprehensive income per share, diluted</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141,776,353 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141,126,879 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141,808,253 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141,162,310 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per share, diluted</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474980"/>
                <wp:effectExtent l="0" t="0" r="0" b="0"/>
                <wp:wrapNone/>
                <wp:docPr id="4" name="Frame4"/>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tbl>
      <w:tblPr>
        <w:tblW w:w="6193" w:type="dxa"/>
        <w:jc w:val="left"/>
        <w:tblInd w:w="0" w:type="dxa"/>
        <w:tblLayout w:type="fixed"/>
        <w:tblCellMar>
          <w:top w:w="28" w:type="dxa"/>
          <w:left w:w="28" w:type="dxa"/>
          <w:bottom w:w="28" w:type="dxa"/>
          <w:right w:w="28" w:type="dxa"/>
        </w:tblCellMar>
      </w:tblPr>
      <w:tblGrid>
        <w:gridCol w:w="736"/>
        <w:gridCol w:w="647"/>
        <w:gridCol w:w="647"/>
        <w:gridCol w:w="647"/>
        <w:gridCol w:w="647"/>
        <w:gridCol w:w="647"/>
        <w:gridCol w:w="647"/>
        <w:gridCol w:w="647"/>
        <w:gridCol w:w="928"/>
      </w:tblGrid>
      <w:tr>
        <w:trPr/>
        <w:tc>
          <w:tcPr>
            <w:tcW w:w="736"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r>
      <w:tr>
        <w:trPr/>
        <w:tc>
          <w:tcPr>
            <w:tcW w:w="61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w:t>
            </w:r>
          </w:p>
        </w:tc>
      </w:tr>
    </w:tbl>
    <w:tbl>
      <w:tblPr>
        <w:tblW w:w="12043" w:type="dxa"/>
        <w:jc w:val="left"/>
        <w:tblInd w:w="0" w:type="dxa"/>
        <w:tblLayout w:type="fixed"/>
        <w:tblCellMar>
          <w:top w:w="28" w:type="dxa"/>
          <w:left w:w="28" w:type="dxa"/>
          <w:bottom w:w="28" w:type="dxa"/>
          <w:right w:w="28" w:type="dxa"/>
        </w:tblCellMar>
      </w:tblPr>
      <w:tblGrid>
        <w:gridCol w:w="544"/>
        <w:gridCol w:w="268"/>
        <w:gridCol w:w="269"/>
        <w:gridCol w:w="330"/>
        <w:gridCol w:w="331"/>
        <w:gridCol w:w="196"/>
        <w:gridCol w:w="109"/>
        <w:gridCol w:w="109"/>
        <w:gridCol w:w="109"/>
        <w:gridCol w:w="208"/>
        <w:gridCol w:w="367"/>
        <w:gridCol w:w="116"/>
        <w:gridCol w:w="109"/>
        <w:gridCol w:w="109"/>
        <w:gridCol w:w="109"/>
        <w:gridCol w:w="330"/>
        <w:gridCol w:w="331"/>
        <w:gridCol w:w="196"/>
        <w:gridCol w:w="109"/>
        <w:gridCol w:w="109"/>
        <w:gridCol w:w="109"/>
        <w:gridCol w:w="208"/>
        <w:gridCol w:w="367"/>
        <w:gridCol w:w="116"/>
        <w:gridCol w:w="109"/>
        <w:gridCol w:w="109"/>
        <w:gridCol w:w="109"/>
        <w:gridCol w:w="218"/>
        <w:gridCol w:w="218"/>
        <w:gridCol w:w="196"/>
        <w:gridCol w:w="109"/>
        <w:gridCol w:w="109"/>
        <w:gridCol w:w="109"/>
        <w:gridCol w:w="196"/>
        <w:gridCol w:w="406"/>
        <w:gridCol w:w="109"/>
        <w:gridCol w:w="109"/>
        <w:gridCol w:w="109"/>
        <w:gridCol w:w="109"/>
        <w:gridCol w:w="196"/>
        <w:gridCol w:w="751"/>
        <w:gridCol w:w="109"/>
        <w:gridCol w:w="109"/>
        <w:gridCol w:w="109"/>
        <w:gridCol w:w="109"/>
        <w:gridCol w:w="196"/>
        <w:gridCol w:w="751"/>
        <w:gridCol w:w="109"/>
        <w:gridCol w:w="109"/>
        <w:gridCol w:w="109"/>
        <w:gridCol w:w="109"/>
        <w:gridCol w:w="203"/>
        <w:gridCol w:w="779"/>
        <w:gridCol w:w="114"/>
        <w:gridCol w:w="109"/>
        <w:gridCol w:w="109"/>
        <w:gridCol w:w="109"/>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3"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December 31,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53,905</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597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210,365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207,722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418,228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41,869 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41,869 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Equity 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938 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6,057 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6,058 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to cover employees’ withholding taxes for equity 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(233)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(1,664)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(1,664)</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(50,197)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(49,544)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June 30, 2026</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54,610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55</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830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202,037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212,768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414,947</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3"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Retained Earnings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December 31, 2024</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53,289</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274</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142,898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200,707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343,745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39,948 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39,948 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 capital contribution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Equity 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684 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3,389 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3,390 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to cover employees’ withholding taxes for equity 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(186)</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267 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(1,675)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(1,675)</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June 30,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53,787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541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183,047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202,425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385,613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474980"/>
                <wp:effectExtent l="0" t="0" r="0" b="0"/>
                <wp:wrapNone/>
                <wp:docPr id="5" name="Frame5"/>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tbl>
      <w:tblPr>
        <w:tblW w:w="7181" w:type="dxa"/>
        <w:jc w:val="left"/>
        <w:tblInd w:w="0" w:type="dxa"/>
        <w:tblLayout w:type="fixed"/>
        <w:tblCellMar>
          <w:top w:w="28" w:type="dxa"/>
          <w:left w:w="28" w:type="dxa"/>
          <w:bottom w:w="28" w:type="dxa"/>
          <w:right w:w="28" w:type="dxa"/>
        </w:tblCellMar>
      </w:tblPr>
      <w:tblGrid>
        <w:gridCol w:w="854"/>
        <w:gridCol w:w="750"/>
        <w:gridCol w:w="750"/>
        <w:gridCol w:w="750"/>
        <w:gridCol w:w="750"/>
        <w:gridCol w:w="750"/>
        <w:gridCol w:w="750"/>
        <w:gridCol w:w="750"/>
        <w:gridCol w:w="1077"/>
      </w:tblGrid>
      <w:tr>
        <w:trPr/>
        <w:tc>
          <w:tcPr>
            <w:tcW w:w="85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r>
      <w:tr>
        <w:trPr/>
        <w:tc>
          <w:tcPr>
            <w:tcW w:w="7181"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 (continued)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w:t>
            </w:r>
          </w:p>
        </w:tc>
      </w:tr>
    </w:tbl>
    <w:tbl>
      <w:tblPr>
        <w:tblW w:w="12043" w:type="dxa"/>
        <w:jc w:val="left"/>
        <w:tblInd w:w="0" w:type="dxa"/>
        <w:tblLayout w:type="fixed"/>
        <w:tblCellMar>
          <w:top w:w="28" w:type="dxa"/>
          <w:left w:w="28" w:type="dxa"/>
          <w:bottom w:w="28" w:type="dxa"/>
          <w:right w:w="28" w:type="dxa"/>
        </w:tblCellMar>
      </w:tblPr>
      <w:tblGrid>
        <w:gridCol w:w="602"/>
        <w:gridCol w:w="239"/>
        <w:gridCol w:w="240"/>
        <w:gridCol w:w="330"/>
        <w:gridCol w:w="331"/>
        <w:gridCol w:w="196"/>
        <w:gridCol w:w="109"/>
        <w:gridCol w:w="109"/>
        <w:gridCol w:w="109"/>
        <w:gridCol w:w="208"/>
        <w:gridCol w:w="367"/>
        <w:gridCol w:w="116"/>
        <w:gridCol w:w="109"/>
        <w:gridCol w:w="109"/>
        <w:gridCol w:w="109"/>
        <w:gridCol w:w="330"/>
        <w:gridCol w:w="331"/>
        <w:gridCol w:w="196"/>
        <w:gridCol w:w="109"/>
        <w:gridCol w:w="109"/>
        <w:gridCol w:w="109"/>
        <w:gridCol w:w="208"/>
        <w:gridCol w:w="367"/>
        <w:gridCol w:w="116"/>
        <w:gridCol w:w="109"/>
        <w:gridCol w:w="109"/>
        <w:gridCol w:w="109"/>
        <w:gridCol w:w="218"/>
        <w:gridCol w:w="218"/>
        <w:gridCol w:w="196"/>
        <w:gridCol w:w="109"/>
        <w:gridCol w:w="109"/>
        <w:gridCol w:w="109"/>
        <w:gridCol w:w="196"/>
        <w:gridCol w:w="406"/>
        <w:gridCol w:w="109"/>
        <w:gridCol w:w="109"/>
        <w:gridCol w:w="109"/>
        <w:gridCol w:w="109"/>
        <w:gridCol w:w="196"/>
        <w:gridCol w:w="751"/>
        <w:gridCol w:w="109"/>
        <w:gridCol w:w="109"/>
        <w:gridCol w:w="109"/>
        <w:gridCol w:w="109"/>
        <w:gridCol w:w="196"/>
        <w:gridCol w:w="751"/>
        <w:gridCol w:w="109"/>
        <w:gridCol w:w="109"/>
        <w:gridCol w:w="109"/>
        <w:gridCol w:w="109"/>
        <w:gridCol w:w="203"/>
        <w:gridCol w:w="779"/>
        <w:gridCol w:w="114"/>
        <w:gridCol w:w="109"/>
        <w:gridCol w:w="109"/>
        <w:gridCol w:w="109"/>
        <w:gridCol w:w="109"/>
        <w:gridCol w:w="109"/>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3"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March 31, 2026</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54,143</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706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162,209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210,335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372,685</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39,646 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39,646 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Equity 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591 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3,413 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to cover employees' withholding taxes for equity 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(124)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124 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(797)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(797)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June 30, 2026</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54,610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55</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830</w:t>
            </w: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202,037</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212,768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414,947</w:t>
            </w:r>
            <w:r>
              <w:rPr>
                <w:color w:val="000000"/>
              </w:rPr>
              <w:t>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3" w:type="dxa"/>
            <w:gridSpan w:val="5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7"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Total Stockholders’</w:t>
              <w:br/>
              <w:t xml:space="preserve">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Class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ind w:left="0" w:right="0" w:firstLine="220"/>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Additional</w:t>
              <w:br/>
              <w:t>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erif" w:hAnsi="Times New Roman;serif"/>
                <w:b/>
                <w:color w:val="000000"/>
                <w:sz w:val="16"/>
              </w:rPr>
            </w:pPr>
            <w:r>
              <w:rPr>
                <w:rFonts w:ascii="Times New Roman;serif" w:hAnsi="Times New Roman;serif"/>
                <w:b/>
                <w:color w:val="000000"/>
                <w:sz w:val="16"/>
              </w:rPr>
              <w:t xml:space="preserve">Total Stockholders’ Equity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March 31,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53,608</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54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482</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147,840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200,847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348,828</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35,066 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35,066 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Shareholder capital contribution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Equity 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1,795 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Shares withheld to cover employees' withholding taxes for equity based compensation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59 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(217)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declared</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16"/>
              </w:rPr>
            </w:pPr>
            <w:r>
              <w:rPr>
                <w:rFonts w:ascii="Times New Roman;serif" w:hAnsi="Times New Roman;serif"/>
                <w:b w:val="false"/>
                <w:color w:val="000000"/>
                <w:sz w:val="16"/>
              </w:rPr>
              <w:t>141 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Balances as of June 30, 2025</w:t>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53,787</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54</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87,116</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87</w:t>
            </w:r>
            <w:r>
              <w:rPr>
                <w:color w:val="000000"/>
              </w:rPr>
              <w:t>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541</w:t>
            </w: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183,047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202,425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pPr>
            <w:r>
              <w:rPr>
                <w:rFonts w:ascii="Times New Roman;serif" w:hAnsi="Times New Roman;serif"/>
                <w:b/>
                <w:color w:val="000000"/>
                <w:sz w:val="16"/>
              </w:rPr>
              <w:t>385,613</w:t>
            </w:r>
            <w:r>
              <w:rPr>
                <w:color w:val="000000"/>
              </w:rPr>
              <w:t>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74980"/>
                <wp:effectExtent l="0" t="0" r="0" b="0"/>
                <wp:wrapNone/>
                <wp:docPr id="6" name="Frame6"/>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4404" w:type="dxa"/>
        <w:jc w:val="center"/>
        <w:tblInd w:w="0" w:type="dxa"/>
        <w:tblLayout w:type="fixed"/>
        <w:tblCellMar>
          <w:top w:w="28" w:type="dxa"/>
          <w:left w:w="28" w:type="dxa"/>
          <w:bottom w:w="28" w:type="dxa"/>
          <w:right w:w="28" w:type="dxa"/>
        </w:tblCellMar>
      </w:tblPr>
      <w:tblGrid>
        <w:gridCol w:w="521"/>
        <w:gridCol w:w="459"/>
        <w:gridCol w:w="459"/>
        <w:gridCol w:w="459"/>
        <w:gridCol w:w="459"/>
        <w:gridCol w:w="459"/>
        <w:gridCol w:w="459"/>
        <w:gridCol w:w="459"/>
        <w:gridCol w:w="670"/>
      </w:tblGrid>
      <w:tr>
        <w:trPr/>
        <w:tc>
          <w:tcPr>
            <w:tcW w:w="5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r>
      <w:tr>
        <w:trPr/>
        <w:tc>
          <w:tcPr>
            <w:tcW w:w="44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Arhaus, Inc. and Subsidiaries</w:t>
            </w:r>
          </w:p>
          <w:p>
            <w:pPr>
              <w:pStyle w:val="TableContents"/>
              <w:bidi w:val="0"/>
              <w:spacing w:lineRule="auto" w:line="240"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Condensed Consolidated Statements of Cash Flows</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(Unaudited, amounts in thousands)</w:t>
            </w:r>
          </w:p>
        </w:tc>
      </w:tr>
    </w:tbl>
    <w:p>
      <w:pPr>
        <w:pStyle w:val="TextBody"/>
        <w:bidi w:val="0"/>
        <w:spacing w:before="0" w:after="0"/>
        <w:jc w:val="center"/>
        <w:rPr/>
      </w:pPr>
      <w:r>
        <w:rPr/>
      </w:r>
    </w:p>
    <w:tbl>
      <w:tblPr>
        <w:tblW w:w="10037" w:type="dxa"/>
        <w:jc w:val="left"/>
        <w:tblInd w:w="0" w:type="dxa"/>
        <w:tblLayout w:type="fixed"/>
        <w:tblCellMar>
          <w:top w:w="28" w:type="dxa"/>
          <w:left w:w="28" w:type="dxa"/>
          <w:bottom w:w="28" w:type="dxa"/>
          <w:right w:w="28" w:type="dxa"/>
        </w:tblCellMar>
      </w:tblPr>
      <w:tblGrid>
        <w:gridCol w:w="2564"/>
        <w:gridCol w:w="2257"/>
        <w:gridCol w:w="2273"/>
        <w:gridCol w:w="211"/>
        <w:gridCol w:w="826"/>
        <w:gridCol w:w="109"/>
        <w:gridCol w:w="202"/>
        <w:gridCol w:w="202"/>
        <w:gridCol w:w="202"/>
        <w:gridCol w:w="211"/>
        <w:gridCol w:w="826"/>
        <w:gridCol w:w="154"/>
      </w:tblGrid>
      <w:tr>
        <w:trPr/>
        <w:tc>
          <w:tcPr>
            <w:tcW w:w="2564" w:type="dxa"/>
            <w:tcBorders/>
            <w:vAlign w:val="center"/>
          </w:tcPr>
          <w:p>
            <w:pPr>
              <w:pStyle w:val="TableContents"/>
              <w:bidi w:val="0"/>
              <w:spacing w:before="0" w:after="283"/>
              <w:jc w:val="left"/>
              <w:rPr>
                <w:sz w:val="4"/>
                <w:szCs w:val="4"/>
              </w:rPr>
            </w:pPr>
            <w:r>
              <w:rPr>
                <w:sz w:val="4"/>
                <w:szCs w:val="4"/>
              </w:rPr>
            </w:r>
          </w:p>
        </w:tc>
        <w:tc>
          <w:tcPr>
            <w:tcW w:w="2257"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7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7094" w:type="dxa"/>
            <w:gridSpan w:val="3"/>
            <w:tcBorders/>
            <w:tcMar>
              <w:top w:w="0" w:type="dxa"/>
              <w:left w:w="0" w:type="dxa"/>
              <w:bottom w:w="0" w:type="dxa"/>
              <w:right w:w="0" w:type="dxa"/>
            </w:tcMar>
            <w:vAlign w:val="center"/>
          </w:tcPr>
          <w:p>
            <w:pPr>
              <w:pStyle w:val="TableContents"/>
              <w:bidi w:val="0"/>
              <w:spacing w:before="0" w:after="283"/>
              <w:ind w:left="0" w:right="0" w:firstLine="540"/>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06"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firstLine="520"/>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39,948 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22,959 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24,181 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20,335 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interest on operating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14,156 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(1,529)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cloud computing arrangements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proceeds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insurance claims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(952)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Merchandise inventory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(14,725)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(14,107)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and other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4,398 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(8,254)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1,816 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(35,242)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(27,952)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Client deposits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12,197 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59,784 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81,428 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furniture and equipment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(38,093)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(41,622)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proceeds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(36,900)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(41,622)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payments under finance leases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 of shares for payment of withholding taxes for equity 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(1,675)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Cash dividend payments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(49,590)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(276)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(51,679)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(2,316)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(28,795)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37,490 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256,480 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200,929 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227,685 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238,419 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color w:val="000000"/>
                <w:sz w:val="20"/>
              </w:rPr>
            </w:pPr>
            <w:r>
              <w:rPr>
                <w:rFonts w:ascii="Times New Roman;serif" w:hAnsi="Times New Roman;serif"/>
                <w:b/>
                <w:color w:val="000000"/>
                <w:sz w:val="20"/>
              </w:rPr>
              <w:t>Supplemental disclosure of cash flow information</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 in cash</w:t>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received in cash</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3,539 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4,040 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paid in cash</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8,628 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13,030 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furniture and equipment in current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7,190 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60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74980"/>
                <wp:effectExtent l="0" t="0" r="0" b="0"/>
                <wp:wrapNone/>
                <wp:docPr id="7" name="Frame7"/>
                <a:graphic xmlns:a="http://schemas.openxmlformats.org/drawingml/2006/main">
                  <a:graphicData uri="http://schemas.microsoft.com/office/word/2010/wordprocessingShape">
                    <wps:wsp>
                      <wps:cNvSpPr txBox="1"/>
                      <wps:spPr>
                        <a:xfrm>
                          <a:off x="0" y="0"/>
                          <a:ext cx="6480175" cy="47498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7.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unaudited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Arial;sans-serif" w:hAnsi="Arial;sans-serif"/>
          <w:b w:val="false"/>
          <w:color w:val="000000"/>
          <w:sz w:val="2"/>
        </w:rPr>
      </w:pPr>
      <w:r>
        <w:rPr>
          <w:rFonts w:ascii="Arial;sans-serif" w:hAnsi="Arial;sans-serif"/>
          <w:b w:val="false"/>
          <w:color w:val="000000"/>
          <w:sz w:val="2"/>
        </w:rPr>
        <w:t>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1. Nature of Business and Basis of Presentation </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Nature of Business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Arhaus, Inc. (“Arhaus,” “Company,” “we,” “us” or “our”) is a Delaware corporation and is a premium retailer in the home furnishings market, specializing in livable luxury supported by heirloom quality merchandise. We offer merchandise across a broad range of categories, including furniture, outdoor, bath, lighting, textiles, and décor. Our curated assortments are presented across our sales channels in sophisticated, family-friendly and lifestyle-oriented settings. Showrooms are immersive, design-forward spaces that serve as an important driver of brand awareness and client engagement, while our eCommerce channel functions as a seamless extension of the physical Showroom experience. The Company operated 109 Showrooms as of June 30, 2026.</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condensed consolidated financial statements have been prepared in conformity with accounting principles generally accepted in the United States of America (“U.S. GAAP”). The accompanying condensed consolidated financial statements include our accounts and those of our wholly owned subsidiaries. Accordingly, all intercompany balances and transactions have been eliminated through the consolidation process.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accompanying condensed consolidated balance sheets at June 30, 2026 and December 31, 2025, the condensed consolidated statements of comprehensive income, changes in stockholders’ equity for the </w:t>
      </w:r>
      <w:r>
        <w:rPr>
          <w:rFonts w:ascii="Times New Roman;serif" w:hAnsi="Times New Roman;serif"/>
          <w:b w:val="false"/>
          <w:color w:val="000000"/>
          <w:sz w:val="20"/>
        </w:rPr>
        <w:t>six and</w:t>
      </w:r>
      <w:r>
        <w:rPr>
          <w:color w:val="000000"/>
          <w:shd w:fill="FFFFFF" w:val="clear"/>
        </w:rPr>
        <w:t xml:space="preserve"> </w:t>
      </w:r>
      <w:r>
        <w:rPr>
          <w:rFonts w:ascii="Times New Roman;serif" w:hAnsi="Times New Roman;serif"/>
          <w:b w:val="false"/>
          <w:color w:val="000000"/>
          <w:sz w:val="20"/>
        </w:rPr>
        <w:t>three months ended June 30, 2026 and June 30, 2025,</w:t>
      </w:r>
      <w:r>
        <w:rPr>
          <w:color w:val="000000"/>
          <w:shd w:fill="FFFFFF" w:val="clear"/>
        </w:rPr>
        <w:t xml:space="preserve"> </w:t>
      </w:r>
      <w:r>
        <w:rPr>
          <w:rFonts w:ascii="Times New Roman;serif" w:hAnsi="Times New Roman;serif"/>
          <w:b w:val="false"/>
          <w:color w:val="000000"/>
          <w:sz w:val="20"/>
          <w:shd w:fill="FFFFFF" w:val="clear"/>
        </w:rPr>
        <w:t xml:space="preserve">the condensed consolidated statements of cash flows for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June 30, 2025 </w:t>
      </w:r>
      <w:r>
        <w:rPr>
          <w:rFonts w:ascii="Times New Roman;serif" w:hAnsi="Times New Roman;serif"/>
          <w:b w:val="false"/>
          <w:color w:val="000000"/>
          <w:sz w:val="20"/>
          <w:shd w:fill="FFFFFF" w:val="clear"/>
        </w:rPr>
        <w:t xml:space="preserve">and the related interim condensed consolidated disclosures are unaudited and have been prepared pursuant to the rules and regulations of the Securities and Exchange Commission (“SEC”) for interim financial information. Accordingly, they do not include all of the information and footnotes required by U.S. GAAP for complete financial statements. </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In management’s opinion, the accompanying condensed consolidated financial statements contain all adjustments, consisting of normal recurring adjustments, necessary for a fair statement of the Company’s financial position at June 30, 2026 the results of operations and changes in stockholders’ equity for the </w:t>
      </w:r>
      <w:r>
        <w:rPr>
          <w:rFonts w:ascii="Times New Roman;serif" w:hAnsi="Times New Roman;serif"/>
          <w:b w:val="false"/>
          <w:color w:val="000000"/>
          <w:sz w:val="20"/>
        </w:rPr>
        <w:t>six and three months ended June 30, 2026, and cash flows for the six months ended June 30, 2026</w:t>
      </w:r>
      <w:r>
        <w:rPr>
          <w:rFonts w:ascii="Times New Roman;serif" w:hAnsi="Times New Roman;serif"/>
          <w:b w:val="false"/>
          <w:color w:val="000000"/>
          <w:sz w:val="20"/>
          <w:shd w:fill="FFFFFF" w:val="clear"/>
        </w:rPr>
        <w:t>. The condensed consolidated balance sheet as of December 31, 2025 included herein was derived from audited financial statements,</w:t>
      </w:r>
      <w:r>
        <w:rPr>
          <w:color w:val="000000"/>
        </w:rPr>
        <w:t xml:space="preserve"> </w:t>
      </w:r>
      <w:r>
        <w:rPr>
          <w:rFonts w:ascii="Times New Roman;serif" w:hAnsi="Times New Roman;serif"/>
          <w:b w:val="false"/>
          <w:color w:val="000000"/>
          <w:sz w:val="20"/>
        </w:rPr>
        <w:t xml:space="preserve">but does not include all disclosures required by U.S. GAAP. </w:t>
      </w:r>
    </w:p>
    <w:p>
      <w:pPr>
        <w:pStyle w:val="TextBody"/>
        <w:bidi w:val="0"/>
        <w:spacing w:lineRule="auto" w:line="288" w:before="200" w:after="283"/>
        <w:jc w:val="left"/>
        <w:rPr/>
      </w:pPr>
      <w:r>
        <w:rPr>
          <w:rFonts w:ascii="Times New Roman;serif" w:hAnsi="Times New Roman;serif"/>
          <w:b w:val="false"/>
          <w:color w:val="000000"/>
          <w:sz w:val="20"/>
        </w:rPr>
        <w:t xml:space="preserve">The results for the six and three months ended June 30, 2026 and June 30, 2025 are not necessarily indicative of the operating results to be expected for the full fiscal year or any future period. Certain information and footnote disclosures normally included in annual financial statements prepared in accordance with U.S. GAAP have been condensed or omitted. Therefore, these condensed consolidated financial statements should be read in conjunction with the consolidated financial statements and notes thereto included in our Annual Report on Form 10-K for the year ended </w:t>
      </w:r>
      <w:r>
        <w:rPr>
          <w:rFonts w:ascii="Times New Roman;serif" w:hAnsi="Times New Roman;serif"/>
          <w:b w:val="false"/>
          <w:color w:val="000000"/>
          <w:sz w:val="20"/>
          <w:shd w:fill="FFFFFF" w:val="clear"/>
        </w:rPr>
        <w:t>December 31, 2025</w:t>
      </w:r>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our condensed consolidated financial statements in conformity with U.S. GAAP requires management to make estimates and assumptions that affect the reported amounts of assets and liabilities, disclosures of contingent assets and liabilities at the date of the condensed consolidated financial statements and the reported amounts of revenues and expenses during the reporting period. Actual results could differ from those estimates. </w:t>
      </w:r>
    </w:p>
    <w:p>
      <w:pPr>
        <w:pStyle w:val="TextBody"/>
        <w:bidi w:val="0"/>
        <w:spacing w:lineRule="auto" w:line="288" w:before="200" w:after="283"/>
        <w:jc w:val="left"/>
        <w:rPr/>
      </w:pPr>
      <w:r>
        <w:rPr>
          <w:rFonts w:ascii="Times New Roman;serif" w:hAnsi="Times New Roman;serif"/>
          <w:b w:val="false"/>
          <w:color w:val="000000"/>
          <w:sz w:val="20"/>
        </w:rPr>
        <w:t xml:space="preserve">The accounting estimates and other matters included within our condensed consolidated financial statements and notes to the condensed consolidated financial statements we have assessed include, but were not limited to, revenue recognition, including a reserve for merchandise returns, inventory reserves, impairment of long-lived assets and fair value of financial instruments which include, but are not limited to, </w:t>
      </w:r>
      <w:r>
        <w:rPr>
          <w:rFonts w:ascii="Times New Roman;serif" w:hAnsi="Times New Roman;serif"/>
          <w:b w:val="false"/>
          <w:color w:val="000000"/>
          <w:sz w:val="20"/>
          <w:shd w:fill="FFFFFF" w:val="clear"/>
        </w:rPr>
        <w:t xml:space="preserve">accounts receivable, payables and lease obligations. </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Tariffs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the U.S. Supreme Court issued a ruling invalidating certain tariffs previously imposed under the International Emergency Economic Powers Act (“IEEPA”). Subsequently, the U.S. Court of International Trade ruled that tariffs paid under the IEEPA must be refunded in accordance with the law. As a result, the U.S. Customs and Border Protection Agency launched a special tariff refund program to facilitate such refunds.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Company has requested refunds of $37.8 million</w:t>
      </w:r>
      <w:r>
        <w:rPr>
          <w:color w:val="000000"/>
        </w:rPr>
        <w:t xml:space="preserve"> </w:t>
      </w:r>
      <w:r>
        <w:rPr>
          <w:rFonts w:ascii="Times New Roman;serif" w:hAnsi="Times New Roman;serif"/>
          <w:b w:val="false"/>
          <w:color w:val="000000"/>
          <w:sz w:val="20"/>
        </w:rPr>
        <w:t>for IEEPA tariffs previously paid and believes recovery is probable. As of June 30, 2026, the Company recognized a receivable of $32.7 million, which is included in prepaid and other current assets within the condensed consolidated balance sheets. As of June 30, 2026, the Company received $5.1 million in cash for the refunds.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and three months ended June 30, 2026, the Company recognized a benefit of $23.8 million for the recovery of IEEPA tariffs paid, of which $15.5 million related to inventory sold prior to April 2026 and $8.3 million related to inventory sold during the quarter, in cost of goods sold within the condensed consolidated statements of comprehensive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recorded $14.0 million primarily related to the reductions in inventory costs in merchandise inventory, net within the condensed consolidated balance sheets.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6, 2026, the Company has received $37.8 million in tariff refunds and $1.3 million in interest.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Client Deposits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Client deposits represent payments made by clients on orders. At the time of order, the Company collects deposits for all orders equivalent to at least 50 percent of the clients’ purchase price. Orders are recognized as revenue when the merchandise is delivered to the client and at the time of delivery the client deposit is no longer recorded as a liability. The Company expects substantially all client deposits as of June 30, 2026 will be recognized as net revenue within the next 12 months as the performance obligations are satisfied.</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Gift Cards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sells gift cards to clients in our Showrooms. Such gift cards do not have expiration dates. We defer revenue when payments are received in advance of performance for unsatisfied obligations related to our gift cards. The liability related to unredeemed gift cards at June 30, 2026 and December 31, 2025 of $0.4 million and $0.6 million, respectively, is recorded in accrued other expenses within the condensed consolidated balance sheets. The Company recognizes income associated with breakage proportional to actual gift card redemptions.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Fair Values of Financial Instruments</w:t>
      </w:r>
    </w:p>
    <w:p>
      <w:pPr>
        <w:pStyle w:val="TextBody"/>
        <w:bidi w:val="0"/>
        <w:spacing w:lineRule="auto" w:line="288" w:before="200" w:after="283"/>
        <w:jc w:val="left"/>
        <w:rPr/>
      </w:pPr>
      <w:r>
        <w:rPr>
          <w:rFonts w:ascii="Times New Roman;serif" w:hAnsi="Times New Roman;serif"/>
          <w:b w:val="false"/>
          <w:color w:val="000000"/>
          <w:sz w:val="20"/>
        </w:rPr>
        <w:t>The Company’s primary financial ins</w:t>
      </w:r>
      <w:r>
        <w:rPr>
          <w:rFonts w:ascii="Times New Roman;serif" w:hAnsi="Times New Roman;serif"/>
          <w:b w:val="false"/>
          <w:color w:val="000000"/>
          <w:sz w:val="20"/>
          <w:shd w:fill="FFFFFF" w:val="clear"/>
        </w:rPr>
        <w:t>truments are cash and cash equivalent investments, accounts receivable, payables, lease obligations and equity based compensation instruments. Due to the shor</w:t>
      </w:r>
      <w:r>
        <w:rPr>
          <w:rFonts w:ascii="Times New Roman;serif" w:hAnsi="Times New Roman;serif"/>
          <w:b w:val="false"/>
          <w:color w:val="000000"/>
          <w:sz w:val="20"/>
        </w:rPr>
        <w:t xml:space="preserve">t-term maturities of cash and cash equivalent investments, accounts receivable and payables, the Company believes the fair values of these instruments approximate their respective carrying values at June 30, 2026 and December 31, 2025. See Note 5 </w:t>
      </w:r>
      <w:r>
        <w:rPr>
          <w:color w:val="000000"/>
          <w:shd w:fill="FFFFFF" w:val="clear"/>
        </w:rPr>
        <w:t>—</w:t>
      </w:r>
      <w:r>
        <w:rPr>
          <w:color w:val="000000"/>
        </w:rPr>
        <w:t xml:space="preserve"> </w:t>
      </w:r>
      <w:r>
        <w:rPr>
          <w:rFonts w:ascii="Times New Roman;serif" w:hAnsi="Times New Roman;serif"/>
          <w:b w:val="false"/>
          <w:i/>
          <w:color w:val="000000"/>
          <w:sz w:val="20"/>
        </w:rPr>
        <w:t>Leases</w:t>
      </w:r>
      <w:r>
        <w:rPr>
          <w:color w:val="000000"/>
        </w:rPr>
        <w:t xml:space="preserve"> </w:t>
      </w:r>
      <w:r>
        <w:rPr>
          <w:rFonts w:ascii="Times New Roman;serif" w:hAnsi="Times New Roman;serif"/>
          <w:b w:val="false"/>
          <w:color w:val="000000"/>
          <w:sz w:val="20"/>
        </w:rPr>
        <w:t xml:space="preserve">for discussion of our lease obligations and Note 6 </w:t>
      </w:r>
      <w:r>
        <w:rPr>
          <w:color w:val="000000"/>
          <w:shd w:fill="FFFFFF" w:val="clear"/>
        </w:rPr>
        <w:t>—</w:t>
      </w:r>
      <w:r>
        <w:rPr>
          <w:color w:val="000000"/>
        </w:rPr>
        <w:t xml:space="preserve"> </w:t>
      </w:r>
      <w:r>
        <w:rPr>
          <w:rFonts w:ascii="Times New Roman;serif" w:hAnsi="Times New Roman;serif"/>
          <w:b w:val="false"/>
          <w:i/>
          <w:color w:val="000000"/>
          <w:sz w:val="20"/>
        </w:rPr>
        <w:t>Equity Based Compensation</w:t>
      </w:r>
      <w:r>
        <w:rPr>
          <w:color w:val="000000"/>
        </w:rPr>
        <w:t xml:space="preserve"> </w:t>
      </w:r>
      <w:r>
        <w:rPr>
          <w:rFonts w:ascii="Times New Roman;serif" w:hAnsi="Times New Roman;serif"/>
          <w:b w:val="false"/>
          <w:color w:val="000000"/>
          <w:sz w:val="20"/>
        </w:rPr>
        <w:t>for discussion of our equity based compensation instruments.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has established a hierarchy to measure our financial instruments at fair value, which requires us to maximize the use of observable inputs and minimize the use of unobservable inputs when measuring fair value. Observable inputs represent market data obtained from independent sources, whereas unobservable inputs reflect the Company’s own market assumptions, which are used if observable inputs are not reasonably available without undue cost and effort. The hierarchy defines three levels of inputs that may be used to measure fair value:</w:t>
      </w:r>
    </w:p>
    <w:p>
      <w:pPr>
        <w:pStyle w:val="TextBody"/>
        <w:bidi w:val="0"/>
        <w:spacing w:lineRule="auto" w:line="288" w:before="20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Level 1Unadjusted quoted prices in active markets for identical, unrestricted assets and liabilities that the reporting entity has the ability to access at the measurement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hanging="1080"/>
        <w:jc w:val="left"/>
        <w:rPr>
          <w:rFonts w:ascii="Times New Roman;serif" w:hAnsi="Times New Roman;serif"/>
          <w:b w:val="false"/>
          <w:color w:val="000000"/>
          <w:sz w:val="20"/>
        </w:rPr>
      </w:pPr>
      <w:r>
        <w:rPr>
          <w:rFonts w:ascii="Times New Roman;serif" w:hAnsi="Times New Roman;serif"/>
          <w:b w:val="false"/>
          <w:color w:val="000000"/>
          <w:sz w:val="20"/>
        </w:rPr>
        <w:t>Level 2Inputs other than quoted prices included within Level 1 that are observable for the asset and liability or can be corroborated with observable market data for substantially the entire contractual term of the asset or liability.</w:t>
      </w:r>
    </w:p>
    <w:p>
      <w:pPr>
        <w:pStyle w:val="TextBody"/>
        <w:bidi w:val="0"/>
        <w:spacing w:lineRule="auto" w:line="288" w:before="200" w:after="283"/>
        <w:ind w:left="0" w:right="0" w:hanging="1080"/>
        <w:jc w:val="left"/>
        <w:rPr/>
      </w:pPr>
      <w:r>
        <w:rPr>
          <w:rFonts w:ascii="Times New Roman;serif" w:hAnsi="Times New Roman;serif"/>
          <w:b w:val="false"/>
          <w:color w:val="000000"/>
          <w:sz w:val="20"/>
        </w:rPr>
        <w:t xml:space="preserve">Level 3Unobservable inputs that reflect the entity’s own assumptions about the assumptions market participants would use in the pricing of the asset or liability and are consequently not based on </w:t>
      </w:r>
      <w:r>
        <w:rPr>
          <w:rFonts w:ascii="Times New Roman;serif" w:hAnsi="Times New Roman;serif"/>
          <w:b w:val="false"/>
          <w:color w:val="000000"/>
          <w:sz w:val="20"/>
          <w:shd w:fill="FFFFFF" w:val="clear"/>
        </w:rPr>
        <w:t>market activity but rather through particular valuation techniques.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Company invests in Level 1 cash and cash equivalent investments such as money market funds and interest-bearing checking accounts. For the </w:t>
      </w:r>
      <w:r>
        <w:rPr>
          <w:rFonts w:ascii="Times New Roman;serif" w:hAnsi="Times New Roman;serif"/>
          <w:b w:val="false"/>
          <w:color w:val="000000"/>
          <w:sz w:val="20"/>
        </w:rPr>
        <w:t>six and</w:t>
      </w:r>
      <w:r>
        <w:rPr>
          <w:color w:val="000000"/>
          <w:shd w:fill="FFFFFF" w:val="clear"/>
        </w:rPr>
        <w:t xml:space="preserve"> </w:t>
      </w:r>
      <w:r>
        <w:rPr>
          <w:rFonts w:ascii="Times New Roman;serif" w:hAnsi="Times New Roman;serif"/>
          <w:b w:val="false"/>
          <w:color w:val="000000"/>
          <w:sz w:val="20"/>
          <w:shd w:fill="FFFFFF" w:val="clear"/>
        </w:rPr>
        <w:t>three months ended June 30, 2026, the Company earne</w:t>
      </w:r>
      <w:r>
        <w:rPr>
          <w:rFonts w:ascii="Times New Roman;serif" w:hAnsi="Times New Roman;serif"/>
          <w:b w:val="false"/>
          <w:color w:val="000000"/>
          <w:sz w:val="20"/>
        </w:rPr>
        <w:t>d $4.3 million, of which $1.0 million</w:t>
      </w:r>
      <w:r>
        <w:rPr>
          <w:color w:val="000000"/>
        </w:rPr>
        <w:t xml:space="preserve"> </w:t>
      </w:r>
      <w:r>
        <w:rPr>
          <w:rFonts w:ascii="Times New Roman;serif" w:hAnsi="Times New Roman;serif"/>
          <w:b w:val="false"/>
          <w:color w:val="000000"/>
          <w:sz w:val="20"/>
        </w:rPr>
        <w:t>related to interest on IEEPA refunds,</w:t>
      </w:r>
      <w:r>
        <w:rPr>
          <w:color w:val="000000"/>
        </w:rPr>
        <w:t xml:space="preserve"> </w:t>
      </w:r>
      <w:r>
        <w:rPr>
          <w:rFonts w:ascii="Times New Roman;serif" w:hAnsi="Times New Roman;serif"/>
          <w:b w:val="false"/>
          <w:color w:val="000000"/>
          <w:sz w:val="20"/>
        </w:rPr>
        <w:t>and $2.5 million, of which $1.0 million</w:t>
      </w:r>
      <w:r>
        <w:rPr>
          <w:color w:val="000000"/>
        </w:rPr>
        <w:t xml:space="preserve"> </w:t>
      </w:r>
      <w:r>
        <w:rPr>
          <w:rFonts w:ascii="Times New Roman;serif" w:hAnsi="Times New Roman;serif"/>
          <w:b w:val="false"/>
          <w:color w:val="000000"/>
          <w:sz w:val="20"/>
        </w:rPr>
        <w:t xml:space="preserve">related to interest on IEEPA refunds, respectively, in interest income. For the six and </w:t>
      </w:r>
      <w:r>
        <w:rPr>
          <w:rFonts w:ascii="Times New Roman;serif" w:hAnsi="Times New Roman;serif"/>
          <w:b w:val="false"/>
          <w:color w:val="000000"/>
          <w:sz w:val="20"/>
          <w:shd w:fill="FFFFFF" w:val="clear"/>
        </w:rPr>
        <w:t>three months ended June 30, 2025, the Company earned</w:t>
      </w:r>
      <w:r>
        <w:rPr>
          <w:color w:val="000000"/>
        </w:rPr>
        <w:t xml:space="preserve"> </w:t>
      </w:r>
      <w:r>
        <w:rPr>
          <w:rFonts w:ascii="Times New Roman;serif" w:hAnsi="Times New Roman;serif"/>
          <w:b w:val="false"/>
          <w:color w:val="000000"/>
          <w:sz w:val="20"/>
        </w:rPr>
        <w:t xml:space="preserve">$4.0 million and $2.1 million, respectively, </w:t>
      </w:r>
      <w:r>
        <w:rPr>
          <w:rFonts w:ascii="Times New Roman;serif" w:hAnsi="Times New Roman;serif"/>
          <w:b w:val="false"/>
          <w:color w:val="000000"/>
          <w:sz w:val="20"/>
          <w:shd w:fill="FFFFFF" w:val="clear"/>
        </w:rPr>
        <w:t xml:space="preserve">in interest income. Interest income is included in interest </w:t>
      </w:r>
      <w:r>
        <w:rPr>
          <w:rFonts w:ascii="Times New Roman;serif" w:hAnsi="Times New Roman;serif"/>
          <w:b w:val="false"/>
          <w:color w:val="000000"/>
          <w:sz w:val="20"/>
        </w:rPr>
        <w:t>income, net within our condensed consolidated statements of comprehensive income.</w:t>
      </w:r>
    </w:p>
    <w:p>
      <w:pPr>
        <w:pStyle w:val="TextBody"/>
        <w:bidi w:val="0"/>
        <w:spacing w:lineRule="auto" w:line="288" w:before="200" w:after="283"/>
        <w:jc w:val="left"/>
        <w:rPr>
          <w:rFonts w:ascii="Times New Roman;serif" w:hAnsi="Times New Roman;serif"/>
          <w:b/>
          <w:color w:val="000000"/>
          <w:sz w:val="20"/>
        </w:rPr>
      </w:pPr>
      <w:bookmarkStart w:id="0" w:name="ibe1c7c576d5e40b4a0db6c2a51c24dac_7765"/>
      <w:bookmarkEnd w:id="0"/>
      <w:r>
        <w:rPr>
          <w:rFonts w:ascii="Times New Roman;serif" w:hAnsi="Times New Roman;serif"/>
          <w:b/>
          <w:color w:val="000000"/>
          <w:sz w:val="20"/>
        </w:rPr>
        <w:t>Accounts Receivable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Company’s accounts receivables are $0.2 million and $0.7 million, respectively, at June 30, 2026 and December 31, 2025, net of allowance for expected credit losses of $0.3 million and $0.4 million, respectively. The allowance for expected credit losses is determined by considering a number of factors, including the length of time trade accounts receivable are past due, previous loss history, the client’s current ability to pay its obligations, and the current and future condition of the general economy and industry as a whole. The Company has elected the practical expedient to assume that current conditions as of the balance sheet date do not change for the remaining life of the asset when estimating expected credit losses. Accounts receivable are written off when they become uncollectible and any payments subsequently received on such receivables are credited to the allowance for expected credit losses. Accounts receivable are recorded at the invoiced amount and do not bear interest.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Prepaid and Other Current Assets</w:t>
      </w:r>
    </w:p>
    <w:p>
      <w:pPr>
        <w:pStyle w:val="TextBody"/>
        <w:bidi w:val="0"/>
        <w:spacing w:lineRule="auto" w:line="288" w:before="200" w:after="283"/>
        <w:jc w:val="left"/>
        <w:rPr/>
      </w:pPr>
      <w:r>
        <w:rPr>
          <w:rFonts w:ascii="Times New Roman;serif" w:hAnsi="Times New Roman;serif"/>
          <w:b w:val="false"/>
          <w:color w:val="000000"/>
          <w:sz w:val="20"/>
          <w:shd w:fill="FFFFFF" w:val="clear"/>
        </w:rPr>
        <w:t>P</w:t>
      </w:r>
      <w:r>
        <w:rPr>
          <w:rFonts w:ascii="Times New Roman;serif" w:hAnsi="Times New Roman;serif"/>
          <w:b w:val="false"/>
          <w:color w:val="000000"/>
          <w:sz w:val="20"/>
        </w:rPr>
        <w:t>repaid and other current assets consist of the following (amounts in thousands):</w:t>
      </w:r>
    </w:p>
    <w:tbl>
      <w:tblPr>
        <w:tblW w:w="6810" w:type="dxa"/>
        <w:jc w:val="left"/>
        <w:tblInd w:w="0" w:type="dxa"/>
        <w:tblLayout w:type="fixed"/>
        <w:tblCellMar>
          <w:top w:w="28" w:type="dxa"/>
          <w:left w:w="28" w:type="dxa"/>
          <w:bottom w:w="28" w:type="dxa"/>
          <w:right w:w="28" w:type="dxa"/>
        </w:tblCellMar>
      </w:tblPr>
      <w:tblGrid>
        <w:gridCol w:w="1381"/>
        <w:gridCol w:w="1209"/>
        <w:gridCol w:w="1220"/>
        <w:gridCol w:w="109"/>
        <w:gridCol w:w="109"/>
        <w:gridCol w:w="109"/>
        <w:gridCol w:w="211"/>
        <w:gridCol w:w="721"/>
        <w:gridCol w:w="109"/>
        <w:gridCol w:w="109"/>
        <w:gridCol w:w="109"/>
        <w:gridCol w:w="109"/>
        <w:gridCol w:w="253"/>
        <w:gridCol w:w="867"/>
        <w:gridCol w:w="185"/>
      </w:tblGrid>
      <w:tr>
        <w:trPr/>
        <w:tc>
          <w:tcPr>
            <w:tcW w:w="1381"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 of return asset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Prepaid cloud computing arrangements, net</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25,425 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Presented net of accumulated amortization of $13.1 million and $8.7 million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Accrued Other Expenses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shd w:fill="FFFFFF" w:val="clear"/>
        </w:rPr>
        <w:t>Accrued</w:t>
      </w:r>
      <w:r>
        <w:rPr>
          <w:color w:val="000000"/>
        </w:rPr>
        <w:t xml:space="preserve"> </w:t>
      </w:r>
      <w:r>
        <w:rPr>
          <w:rFonts w:ascii="Times New Roman;serif" w:hAnsi="Times New Roman;serif"/>
          <w:b w:val="false"/>
          <w:color w:val="000000"/>
          <w:sz w:val="20"/>
        </w:rPr>
        <w:t>other expenses consist of the following (amounts in thousands):</w:t>
      </w:r>
    </w:p>
    <w:p>
      <w:pPr>
        <w:pStyle w:val="TextBody"/>
        <w:bidi w:val="0"/>
        <w:spacing w:before="0" w:after="0"/>
        <w:jc w:val="left"/>
        <w:rPr/>
      </w:pPr>
      <w:r>
        <w:rPr/>
      </w:r>
    </w:p>
    <w:tbl>
      <w:tblPr>
        <w:tblW w:w="5474" w:type="dxa"/>
        <w:jc w:val="left"/>
        <w:tblInd w:w="0" w:type="dxa"/>
        <w:tblLayout w:type="fixed"/>
        <w:tblCellMar>
          <w:top w:w="28" w:type="dxa"/>
          <w:left w:w="28" w:type="dxa"/>
          <w:bottom w:w="28" w:type="dxa"/>
          <w:right w:w="28" w:type="dxa"/>
        </w:tblCellMar>
      </w:tblPr>
      <w:tblGrid>
        <w:gridCol w:w="896"/>
        <w:gridCol w:w="786"/>
        <w:gridCol w:w="792"/>
        <w:gridCol w:w="109"/>
        <w:gridCol w:w="109"/>
        <w:gridCol w:w="109"/>
        <w:gridCol w:w="211"/>
        <w:gridCol w:w="721"/>
        <w:gridCol w:w="109"/>
        <w:gridCol w:w="109"/>
        <w:gridCol w:w="109"/>
        <w:gridCol w:w="109"/>
        <w:gridCol w:w="253"/>
        <w:gridCol w:w="867"/>
        <w:gridCol w:w="185"/>
      </w:tblGrid>
      <w:tr>
        <w:trPr/>
        <w:tc>
          <w:tcPr>
            <w:tcW w:w="896"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Loyalty reward program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returns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10,575 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showroom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12,688 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warranty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4,912 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Gift cards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587 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self-insurance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1,616 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other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14,419 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other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53,269 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46,781 </w:t>
            </w:r>
          </w:p>
        </w:tc>
        <w:tc>
          <w:tcPr>
            <w:tcW w:w="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00" w:after="283"/>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Recently Issued Accounting Standards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New Accounting Standards Recently Adopted </w:t>
      </w:r>
    </w:p>
    <w:p>
      <w:pPr>
        <w:pStyle w:val="TextBody"/>
        <w:bidi w:val="0"/>
        <w:spacing w:lineRule="auto" w:line="288" w:before="200" w:after="283"/>
        <w:jc w:val="left"/>
        <w:rPr/>
      </w:pPr>
      <w:r>
        <w:rPr>
          <w:rFonts w:ascii="Times New Roman;serif" w:hAnsi="Times New Roman;serif"/>
          <w:b w:val="false"/>
          <w:color w:val="000000"/>
          <w:sz w:val="20"/>
        </w:rPr>
        <w:t>The Company adopted Accounting Standards Update (“ASU”) 2025-05 — Financial Instruments — Credit Losses (Topic 326): Measurement of Credit Losses for Accounts Receivable and Contract Assets during the three months ended March 31, 2026 and has applied it prospectively. The adoption of ASU 2025-05 did not have a material impact on our accounting policies, financial position or results of operations. Refer to Note 1 —</w:t>
      </w:r>
      <w:r>
        <w:rPr>
          <w:color w:val="000000"/>
        </w:rPr>
        <w:t xml:space="preserve"> </w:t>
      </w:r>
      <w:r>
        <w:rPr>
          <w:rFonts w:ascii="Times New Roman;serif" w:hAnsi="Times New Roman;serif"/>
          <w:b w:val="false"/>
          <w:i/>
          <w:color w:val="000000"/>
          <w:sz w:val="20"/>
        </w:rPr>
        <w:t>Nature of Business and Basis of Presentation</w:t>
      </w:r>
      <w:r>
        <w:rPr>
          <w:color w:val="000000"/>
        </w:rPr>
        <w:t xml:space="preserve"> </w:t>
      </w:r>
      <w:r>
        <w:rPr>
          <w:rFonts w:ascii="Times New Roman;serif" w:hAnsi="Times New Roman;serif"/>
          <w:b w:val="false"/>
          <w:color w:val="000000"/>
          <w:sz w:val="20"/>
        </w:rPr>
        <w:t>for disclosures required by this ASU.</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Accounting Standards Not Yet Adopted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accounting pronouncements which we have not yet adopted but will be adopted in upcoming fiscal years. ASU 2024-03 and the related ASU 2025-01 are effective for annual periods beginning after December 15, 2026. We are evaluating the impact these pronouncements will have on our consolidated financial statements and related disclosures. ASU 2025-06 is effective for annual periods beginning after December 15, 2027. We are evaluating the impact ASU 2025-06 will have on our consolidated financial statements and related disclosures.</w:t>
      </w:r>
    </w:p>
    <w:p>
      <w:pPr>
        <w:pStyle w:val="TextBody"/>
        <w:bidi w:val="0"/>
        <w:spacing w:before="200" w:after="283"/>
        <w:jc w:val="left"/>
        <w:rPr/>
      </w:pPr>
      <w:r>
        <w:rPr/>
      </w:r>
    </w:p>
    <w:tbl>
      <w:tblPr>
        <w:tblW w:w="10205" w:type="dxa"/>
        <w:jc w:val="left"/>
        <w:tblInd w:w="0" w:type="dxa"/>
        <w:tblLayout w:type="fixed"/>
        <w:tblCellMar>
          <w:top w:w="28" w:type="dxa"/>
          <w:left w:w="28" w:type="dxa"/>
          <w:bottom w:w="28" w:type="dxa"/>
          <w:right w:w="28" w:type="dxa"/>
        </w:tblCellMar>
      </w:tblPr>
      <w:tblGrid>
        <w:gridCol w:w="330"/>
        <w:gridCol w:w="292"/>
        <w:gridCol w:w="296"/>
        <w:gridCol w:w="109"/>
        <w:gridCol w:w="109"/>
        <w:gridCol w:w="109"/>
        <w:gridCol w:w="2461"/>
        <w:gridCol w:w="2461"/>
        <w:gridCol w:w="2481"/>
        <w:gridCol w:w="109"/>
        <w:gridCol w:w="109"/>
        <w:gridCol w:w="109"/>
        <w:gridCol w:w="358"/>
        <w:gridCol w:w="358"/>
        <w:gridCol w:w="514"/>
      </w:tblGrid>
      <w:tr>
        <w:trPr/>
        <w:tc>
          <w:tcPr>
            <w:tcW w:w="33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46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r>
      <w:tr>
        <w:trPr/>
        <w:tc>
          <w:tcPr>
            <w:tcW w:w="9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Adoption Date</w:t>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2024-03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Statement</w:t>
            </w:r>
            <w:r>
              <w:rPr>
                <w:color w:val="000000"/>
              </w:rPr>
              <w:t>—</w:t>
            </w:r>
            <w:r>
              <w:rPr>
                <w:rFonts w:ascii="Times New Roman;serif" w:hAnsi="Times New Roman;serif"/>
                <w:b w:val="false"/>
                <w:color w:val="000000"/>
                <w:sz w:val="20"/>
              </w:rPr>
              <w:t>Reporting Comprehensive Income</w:t>
            </w:r>
            <w:r>
              <w:rPr>
                <w:color w:val="000000"/>
              </w:rPr>
              <w:t>—</w:t>
            </w:r>
            <w:r>
              <w:rPr>
                <w:rFonts w:ascii="Times New Roman;serif" w:hAnsi="Times New Roman;serif"/>
                <w:b w:val="false"/>
                <w:color w:val="000000"/>
                <w:sz w:val="20"/>
              </w:rPr>
              <w:t>Expense Disaggregation Disclosures (Subtopic 220-40): Disaggregation of Income Statement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2027</w:t>
            </w:r>
          </w:p>
        </w:tc>
      </w:tr>
      <w:tr>
        <w:trPr/>
        <w:tc>
          <w:tcPr>
            <w:tcW w:w="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ASU 2025-01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Income Statement</w:t>
            </w:r>
            <w:r>
              <w:rPr>
                <w:color w:val="000000"/>
              </w:rPr>
              <w:t>—</w:t>
            </w:r>
            <w:r>
              <w:rPr>
                <w:rFonts w:ascii="Times New Roman;serif" w:hAnsi="Times New Roman;serif"/>
                <w:b w:val="false"/>
                <w:color w:val="000000"/>
                <w:sz w:val="20"/>
              </w:rPr>
              <w:t>Reporting Comprehensive Income</w:t>
            </w:r>
            <w:r>
              <w:rPr>
                <w:color w:val="000000"/>
              </w:rPr>
              <w:t>—</w:t>
            </w:r>
            <w:r>
              <w:rPr>
                <w:rFonts w:ascii="Times New Roman;serif" w:hAnsi="Times New Roman;serif"/>
                <w:b w:val="false"/>
                <w:color w:val="000000"/>
                <w:sz w:val="20"/>
              </w:rPr>
              <w:t>Expense Disaggregation Disclosures (Subtopic 220-40): Clarifying the Effective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Fiscal Year 2027</w:t>
            </w:r>
          </w:p>
        </w:tc>
      </w:tr>
      <w:tr>
        <w:trPr/>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r>
        <w:trPr/>
        <w:tc>
          <w:tcPr>
            <w:tcW w:w="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ASU 2025-06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Intangibles—Goodwill and Other—Internal Use Software (Subtopic 350-40): Targeted Improvements to the Accounting for Internal-Use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Fiscal Year 2028</w:t>
            </w:r>
          </w:p>
        </w:tc>
      </w:tr>
      <w:tr>
        <w:trPr/>
        <w:tc>
          <w:tcPr>
            <w:tcW w:w="9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0"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3. Merchandise Warranties</w:t>
      </w:r>
    </w:p>
    <w:p>
      <w:pPr>
        <w:pStyle w:val="TextBody"/>
        <w:bidi w:val="0"/>
        <w:spacing w:lineRule="auto" w:line="288" w:before="200" w:after="283"/>
        <w:jc w:val="left"/>
        <w:rPr/>
      </w:pPr>
      <w:r>
        <w:rPr>
          <w:rFonts w:ascii="Times New Roman;serif" w:hAnsi="Times New Roman;serif"/>
          <w:b w:val="false"/>
          <w:color w:val="000000"/>
          <w:sz w:val="20"/>
          <w:shd w:fill="FFFFFF" w:val="clear"/>
        </w:rPr>
        <w:t>The Co</w:t>
      </w:r>
      <w:r>
        <w:rPr>
          <w:rFonts w:ascii="Times New Roman;serif" w:hAnsi="Times New Roman;serif"/>
          <w:b w:val="false"/>
          <w:color w:val="000000"/>
          <w:sz w:val="20"/>
        </w:rPr>
        <w:t>mpany warrants certain merchandise to be free of defects in both construction materials and workmanship from the date the performance obligation was fulfilled to the client for three to ten years depending on the merchandise category. The Company accounts for merchandise warranties by accruing an estimated liability when we recognize revenue on the sale of warrantied merchandise. We estimate future warranty claims based on claim experience which includes materials and labor costs to perform the repairs or replace products. We use judgment in making our estimates. We record differences between our estimated and actual costs when the differences are known.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left"/>
        <w:rPr>
          <w:rFonts w:ascii="Times New Roman;serif" w:hAnsi="Times New Roman;serif"/>
          <w:b w:val="false"/>
          <w:color w:val="000000"/>
          <w:sz w:val="20"/>
        </w:rPr>
      </w:pPr>
      <w:r>
        <w:rPr>
          <w:rFonts w:ascii="Times New Roman;serif" w:hAnsi="Times New Roman;serif"/>
          <w:b w:val="false"/>
          <w:color w:val="000000"/>
          <w:sz w:val="20"/>
        </w:rPr>
        <w:t xml:space="preserve">A reconciliation of the changes in our limited merchandise warranty liability is as follows (amounts in thousands): </w:t>
      </w:r>
    </w:p>
    <w:tbl>
      <w:tblPr>
        <w:tblW w:w="7634" w:type="dxa"/>
        <w:jc w:val="left"/>
        <w:tblInd w:w="0" w:type="dxa"/>
        <w:tblLayout w:type="fixed"/>
        <w:tblCellMar>
          <w:top w:w="28" w:type="dxa"/>
          <w:left w:w="28" w:type="dxa"/>
          <w:bottom w:w="28" w:type="dxa"/>
          <w:right w:w="28" w:type="dxa"/>
        </w:tblCellMar>
      </w:tblPr>
      <w:tblGrid>
        <w:gridCol w:w="1037"/>
        <w:gridCol w:w="912"/>
        <w:gridCol w:w="915"/>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beginning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Accruals during the period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Settlements during the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as of end of the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recorded accruals in cost of goods sold within the condensed consolidated statements of comprehensive income during the periods presented in the table above, primarily to reflect charges that relate to warranties issued during the respective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4. Debt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maximum rent-adjusted total leverage ratio and a minimum fixed charge ratio. The 2021 Credit Facility initially bore variable interest rates at the prevailing Bloomberg Short-Term Bank Yield index rate plus the applicable margin, whereas the applicable margin is adjusted quarterly based on the Company’s consolidated rent-adjusted total leverage ratio.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December 2022, the Company amended the 2021 Credit Facility to increase the revolving credit commitment thereunder by $25.0 million. After giving effect to such increase, the aggregate amount of all commitments under the 2021 Credit Facility was $75.0 million.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August 2024, the Company amended the 2021 Credit Facility to adjust the index rate from the Bloomberg Short-Term Bank Yield Index to Term Secured Overnight Financing Rate. The 2021 Credit Facility bears variable interest rates at the prevailing Term Secured Overnight Financing Rate plus the applicable margin (1.75% at June 30,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May 2025, the Company issued an irrevocable standby letter of credit under the 2021 Credit Facility in the amount of $5.1 million in connection with a lease, which remained outstanding at June 30,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October 2025, the Company entered into the Third Amendment to Credit Agreement and Amendment to Security and Pledge Agreement (the “Amendment”). The Amendment further amends the 2021 Credit Facility to, among other things, (1) extend the maturity date of the revolving credit facility from November 8, 2026 to October 17, 2030, and (2) increase the letter of credit commitment to an amount equal to the lesser of (a) $15 million, and (b) the amount of the revolving credit facility as of such date. After giving effect to the Amendment, the aggregate amount of revolving credit commitments under the Credit Agreement remains $75 million. The Company has the option to increase the revolving credit commitment thereunder by an additional $25 million. In connection with the Amendment, the Company has incurred approximately $0.2 million in debt issuance costs. The 2021 Credit Facility bears variable interest rates at the prevailing Term Secured Overnight Financing Rate plus the applicable margin (1.75% at June 30, 2026).</w:t>
      </w:r>
    </w:p>
    <w:p>
      <w:pPr>
        <w:pStyle w:val="TextBody"/>
        <w:bidi w:val="0"/>
        <w:spacing w:lineRule="auto" w:line="288" w:before="200" w:after="283"/>
        <w:jc w:val="left"/>
        <w:rPr/>
      </w:pPr>
      <w:r>
        <w:rPr>
          <w:rFonts w:ascii="Times New Roman;serif" w:hAnsi="Times New Roman;serif"/>
          <w:b w:val="false"/>
          <w:color w:val="000000"/>
          <w:sz w:val="20"/>
        </w:rPr>
        <w:t xml:space="preserve">At June 30, 2026 and December 31, 2025, we had no borrowings on the 2021 Credit Facility and the available borrowing capacity was $69.9 million and $69.9 million, respectively. </w:t>
      </w:r>
      <w:r>
        <w:rPr>
          <w:rFonts w:ascii="Times New Roman;serif" w:hAnsi="Times New Roman;serif"/>
          <w:b w:val="false"/>
          <w:color w:val="000000"/>
          <w:sz w:val="20"/>
          <w:shd w:fill="FFFFFF" w:val="clear"/>
        </w:rPr>
        <w:t xml:space="preserve">Deferred financing costs related to the 2021 Credit Facility of </w:t>
      </w:r>
      <w:r>
        <w:rPr>
          <w:rFonts w:ascii="Times New Roman;serif" w:hAnsi="Times New Roman;serif"/>
          <w:b w:val="false"/>
          <w:color w:val="000000"/>
          <w:sz w:val="20"/>
        </w:rPr>
        <w:t>$0.3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 xml:space="preserve">$0.3 million as of </w:t>
      </w:r>
      <w:r>
        <w:rPr>
          <w:rFonts w:ascii="Times New Roman;serif" w:hAnsi="Times New Roman;serif"/>
          <w:b w:val="false"/>
          <w:color w:val="000000"/>
          <w:sz w:val="20"/>
          <w:shd w:fill="FFFFFF" w:val="clear"/>
        </w:rPr>
        <w:t xml:space="preserve">June 30, 2026 and </w:t>
      </w:r>
      <w:r>
        <w:rPr>
          <w:rFonts w:ascii="Times New Roman;serif" w:hAnsi="Times New Roman;serif"/>
          <w:b w:val="false"/>
          <w:color w:val="000000"/>
          <w:sz w:val="20"/>
        </w:rPr>
        <w:t xml:space="preserve">December 31, 2025, respectively, </w:t>
      </w:r>
      <w:r>
        <w:rPr>
          <w:rFonts w:ascii="Times New Roman;serif" w:hAnsi="Times New Roman;serif"/>
          <w:b w:val="false"/>
          <w:color w:val="000000"/>
          <w:sz w:val="20"/>
          <w:shd w:fill="FFFFFF" w:val="clear"/>
        </w:rPr>
        <w:t xml:space="preserve">are recorded in other noncurrent assets within the </w:t>
      </w:r>
      <w:r>
        <w:rPr>
          <w:rFonts w:ascii="Times New Roman;serif" w:hAnsi="Times New Roman;serif"/>
          <w:b w:val="false"/>
          <w:color w:val="000000"/>
          <w:sz w:val="20"/>
        </w:rPr>
        <w:t>condensed consolidated balance sheets</w:t>
      </w:r>
      <w:r>
        <w:rPr>
          <w:color w:val="000000"/>
          <w:shd w:fill="FFFFFF" w:val="clear"/>
        </w:rPr>
        <w:t xml:space="preserve"> </w:t>
      </w:r>
      <w:r>
        <w:rPr>
          <w:rFonts w:ascii="Times New Roman;serif" w:hAnsi="Times New Roman;serif"/>
          <w:b w:val="false"/>
          <w:color w:val="000000"/>
          <w:sz w:val="20"/>
          <w:shd w:fill="FFFFFF" w:val="clear"/>
        </w:rPr>
        <w:t xml:space="preserve">and will be amortized over the term of the 2021 Credit Facility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a straight-line basis. Accumulated amortization related to deferred financing costs for the 2021 Credit Facility was </w:t>
      </w:r>
      <w:r>
        <w:rPr>
          <w:rFonts w:ascii="Times New Roman;serif" w:hAnsi="Times New Roman;serif"/>
          <w:b w:val="false"/>
          <w:color w:val="000000"/>
          <w:sz w:val="20"/>
        </w:rPr>
        <w:t xml:space="preserve">$0.3 million as of June 30, 2026 and </w:t>
      </w:r>
      <w:r>
        <w:rPr>
          <w:rFonts w:ascii="Times New Roman;serif" w:hAnsi="Times New Roman;serif"/>
          <w:b w:val="false"/>
          <w:color w:val="000000"/>
          <w:sz w:val="20"/>
          <w:shd w:fill="FFFFFF" w:val="clear"/>
        </w:rPr>
        <w:t>$0.3 million</w:t>
      </w:r>
      <w:r>
        <w:rPr>
          <w:color w:val="000000"/>
        </w:rPr>
        <w:t xml:space="preserve"> </w:t>
      </w:r>
      <w:r>
        <w:rPr>
          <w:rFonts w:ascii="Times New Roman;serif" w:hAnsi="Times New Roman;serif"/>
          <w:b w:val="false"/>
          <w:color w:val="000000"/>
          <w:sz w:val="20"/>
        </w:rPr>
        <w:t>as of December 31, 2025</w:t>
      </w:r>
      <w:r>
        <w:rPr>
          <w:rFonts w:ascii="Times New Roman;serif" w:hAnsi="Times New Roman;serif"/>
          <w:b w:val="false"/>
          <w:color w:val="000000"/>
          <w:sz w:val="20"/>
          <w:shd w:fill="FFFFFF" w:val="clear"/>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Company was in compliance with all applicable debt covenants at June 30, 2026 and December 31, 2025, and expects to remain in compliance over the next 12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lineRule="auto" w:line="288" w:before="200" w:after="283"/>
        <w:jc w:val="left"/>
        <w:rPr/>
      </w:pPr>
      <w:r>
        <w:rPr>
          <w:rFonts w:ascii="Times New Roman;serif" w:hAnsi="Times New Roman;serif"/>
          <w:b w:val="false"/>
          <w:color w:val="000000"/>
          <w:sz w:val="20"/>
          <w:shd w:fill="FFFFFF" w:val="clear"/>
        </w:rPr>
        <w:t>The Company</w:t>
      </w:r>
      <w:r>
        <w:rPr>
          <w:color w:val="000000"/>
        </w:rPr>
        <w:t xml:space="preserve"> </w:t>
      </w:r>
      <w:r>
        <w:rPr>
          <w:rFonts w:ascii="Times New Roman;serif" w:hAnsi="Times New Roman;serif"/>
          <w:b w:val="false"/>
          <w:color w:val="000000"/>
          <w:sz w:val="20"/>
        </w:rPr>
        <w:t xml:space="preserve">leases real estate and equipment under operating and finance leases, some of which are from related parties as discussed in Note </w:t>
      </w:r>
      <w:r>
        <w:rPr>
          <w:rFonts w:ascii="Times New Roman;serif" w:hAnsi="Times New Roman;serif"/>
          <w:b w:val="false"/>
          <w:color w:val="000000"/>
          <w:sz w:val="20"/>
          <w:shd w:fill="FFFFFF" w:val="clear"/>
        </w:rPr>
        <w:t>10</w:t>
      </w:r>
      <w:r>
        <w:rPr>
          <w:color w:val="000000"/>
          <w:shd w:fill="FFFFFF" w:val="clear"/>
        </w:rPr>
        <w:t xml:space="preserve"> —</w:t>
      </w:r>
      <w:r>
        <w:rPr>
          <w:color w:val="000000"/>
        </w:rPr>
        <w:t xml:space="preserve"> </w:t>
      </w:r>
      <w:r>
        <w:rPr>
          <w:rFonts w:ascii="Times New Roman;serif" w:hAnsi="Times New Roman;serif"/>
          <w:b w:val="false"/>
          <w:i/>
          <w:color w:val="000000"/>
          <w:sz w:val="20"/>
        </w:rPr>
        <w:t>Related Party Transactions</w:t>
      </w:r>
      <w:r>
        <w:rPr>
          <w:rFonts w:ascii="Times New Roman;serif" w:hAnsi="Times New Roman;serif"/>
          <w:b w:val="false"/>
          <w:color w:val="000000"/>
          <w:sz w:val="20"/>
        </w:rPr>
        <w:t>. The most significant obligati</w:t>
      </w:r>
      <w:r>
        <w:rPr>
          <w:rFonts w:ascii="Times New Roman;serif" w:hAnsi="Times New Roman;serif"/>
          <w:b w:val="false"/>
          <w:color w:val="000000"/>
          <w:sz w:val="20"/>
          <w:shd w:fill="FFFFFF" w:val="clear"/>
        </w:rPr>
        <w:t xml:space="preserve">ons under these lease agreements require the payments of periodic rentals, real estate taxes, insurance and maintenance costs. Depending on particular Showroom leases, the Company can also owe a percentage rent payment if particular Showrooms meet certain sales figures.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amounts recognized within our condensed consolidated balance sheets related to leases (amounts in thousands):</w:t>
      </w:r>
    </w:p>
    <w:tbl>
      <w:tblPr>
        <w:tblW w:w="10205" w:type="dxa"/>
        <w:jc w:val="left"/>
        <w:tblInd w:w="0" w:type="dxa"/>
        <w:tblLayout w:type="fixed"/>
        <w:tblCellMar>
          <w:top w:w="28" w:type="dxa"/>
          <w:left w:w="28" w:type="dxa"/>
          <w:bottom w:w="28" w:type="dxa"/>
          <w:right w:w="28" w:type="dxa"/>
        </w:tblCellMar>
      </w:tblPr>
      <w:tblGrid>
        <w:gridCol w:w="913"/>
        <w:gridCol w:w="791"/>
        <w:gridCol w:w="798"/>
        <w:gridCol w:w="109"/>
        <w:gridCol w:w="109"/>
        <w:gridCol w:w="109"/>
        <w:gridCol w:w="1426"/>
        <w:gridCol w:w="1426"/>
        <w:gridCol w:w="1428"/>
        <w:gridCol w:w="109"/>
        <w:gridCol w:w="109"/>
        <w:gridCol w:w="109"/>
        <w:gridCol w:w="211"/>
        <w:gridCol w:w="826"/>
        <w:gridCol w:w="109"/>
        <w:gridCol w:w="109"/>
        <w:gridCol w:w="109"/>
        <w:gridCol w:w="109"/>
        <w:gridCol w:w="229"/>
        <w:gridCol w:w="897"/>
        <w:gridCol w:w="170"/>
      </w:tblGrid>
      <w:tr>
        <w:trPr/>
        <w:tc>
          <w:tcPr>
            <w:tcW w:w="913"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25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Condensed Consolidated Balance Sheet Classification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391,274 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33,275 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424,549 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467,226 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527,341 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financing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Non-current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lease liabilities,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53,236 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580,577 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 recognized within our condensed consolidated statements of comprehensive income are as follows (amounts in thousands):</w:t>
      </w:r>
    </w:p>
    <w:tbl>
      <w:tblPr>
        <w:tblW w:w="8636" w:type="dxa"/>
        <w:jc w:val="left"/>
        <w:tblInd w:w="0" w:type="dxa"/>
        <w:tblLayout w:type="fixed"/>
        <w:tblCellMar>
          <w:top w:w="28" w:type="dxa"/>
          <w:left w:w="28" w:type="dxa"/>
          <w:bottom w:w="28" w:type="dxa"/>
          <w:right w:w="28" w:type="dxa"/>
        </w:tblCellMar>
      </w:tblPr>
      <w:tblGrid>
        <w:gridCol w:w="1129"/>
        <w:gridCol w:w="993"/>
        <w:gridCol w:w="997"/>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Operating lease costs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right-of-use assets</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Interest expense on lease liabilities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Variable lease costs</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Short term lease costs</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Operating lease costs and amortization of finance lease right-of-use assets are included in cost of goods sold or selling, general and administrative expenses on the condensed consolidated statements of comprehensive income based on our accounting policy.</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Included in interest income, net on the condensed consolidated statements of comprehensive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6"/>
        </w:rPr>
        <w:t>Represents variable lease payments under operating and finance lease agreements, primarily associated with contingent rent that is based on a percentage of retail sales over contractual levels as well as charges associated with common area maintenance, property taxes and insurance. These costs are included in cost of goods sold or selling, general and administrative expenses on the condensed consolidated statements of comprehensive income based on our accounting policy.</w:t>
      </w:r>
    </w:p>
    <w:p>
      <w:pPr>
        <w:pStyle w:val="TextBody"/>
        <w:bidi w:val="0"/>
        <w:spacing w:lineRule="auto" w:line="288" w:before="0" w:after="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6"/>
        </w:rPr>
        <w:t>Represents leases with an initial term of 12 months or less which are not recorded on the balance sheet and instead expensed on a straight-line basis over the lease term, excluding expenses relating to leases with a lease term of one month or less.</w:t>
      </w:r>
    </w:p>
    <w:p>
      <w:pPr>
        <w:pStyle w:val="TextBody"/>
        <w:bidi w:val="0"/>
        <w:spacing w:lineRule="auto" w:line="288" w:before="200" w:after="283"/>
        <w:jc w:val="left"/>
        <w:rPr/>
      </w:pPr>
      <w:r>
        <w:rPr>
          <w:rFonts w:ascii="Times New Roman;serif" w:hAnsi="Times New Roman;serif"/>
          <w:b w:val="false"/>
          <w:color w:val="000000"/>
          <w:sz w:val="20"/>
          <w:shd w:fill="FFFFFF" w:val="clear"/>
        </w:rPr>
        <w:t>We often have options to renew lease terms for Showrooms and other as</w:t>
      </w:r>
      <w:r>
        <w:rPr>
          <w:rFonts w:ascii="Times New Roman;serif" w:hAnsi="Times New Roman;serif"/>
          <w:b w:val="false"/>
          <w:color w:val="000000"/>
          <w:sz w:val="20"/>
        </w:rPr>
        <w:t>sets. The exercise of lease renewal options is generally at our sole discretion. In addition, certain lease agreements may be terminated prior to their original expiration date at our discretion. We evaluate each renewal and termination option at the lease commencement date to determine if we are reasonably certain to exercise the option on the basis of economic factors. The weighted average remaining lease terms are as follows:</w:t>
      </w:r>
    </w:p>
    <w:tbl>
      <w:tblPr>
        <w:tblW w:w="6650" w:type="dxa"/>
        <w:jc w:val="left"/>
        <w:tblInd w:w="0" w:type="dxa"/>
        <w:tblLayout w:type="fixed"/>
        <w:tblCellMar>
          <w:top w:w="28" w:type="dxa"/>
          <w:left w:w="28" w:type="dxa"/>
          <w:bottom w:w="28" w:type="dxa"/>
          <w:right w:w="28" w:type="dxa"/>
        </w:tblCellMar>
      </w:tblPr>
      <w:tblGrid>
        <w:gridCol w:w="1675"/>
        <w:gridCol w:w="1468"/>
        <w:gridCol w:w="1477"/>
        <w:gridCol w:w="109"/>
        <w:gridCol w:w="109"/>
        <w:gridCol w:w="109"/>
        <w:gridCol w:w="189"/>
        <w:gridCol w:w="189"/>
        <w:gridCol w:w="193"/>
        <w:gridCol w:w="172"/>
        <w:gridCol w:w="172"/>
        <w:gridCol w:w="172"/>
        <w:gridCol w:w="185"/>
        <w:gridCol w:w="185"/>
        <w:gridCol w:w="246"/>
      </w:tblGrid>
      <w:tr>
        <w:trPr/>
        <w:tc>
          <w:tcPr>
            <w:tcW w:w="1675"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Remaining Lease Term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8.71</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When readily determinable, we use the discount rate implicit within the lease as determined at the time of lease commencement. However, the discount rate implicit within many of our leases is generally not determinable at the time of lease commencement and therefore the Company determines the discount rate based on its incremental borrowing rate (“IBR”). For leases in which the discount rate was not readily determinable, the Company utilized a market-based approach to estimate the IBR, which required significant judgment. The Company estimated the base IBR based on an analysis of (i) yields on the Company’s 2021 Credit Facility, as well as comparable companies and (ii) unsecured yields and discount rates. The Company applied adjustments to the base IBRs to account for full collateralization and lease term. The weighted average discount rates used to measure our lease liabilities are as follows:</w:t>
      </w:r>
    </w:p>
    <w:tbl>
      <w:tblPr>
        <w:tblW w:w="5352" w:type="dxa"/>
        <w:jc w:val="left"/>
        <w:tblInd w:w="0" w:type="dxa"/>
        <w:tblLayout w:type="fixed"/>
        <w:tblCellMar>
          <w:top w:w="28" w:type="dxa"/>
          <w:left w:w="28" w:type="dxa"/>
          <w:bottom w:w="28" w:type="dxa"/>
          <w:right w:w="28" w:type="dxa"/>
        </w:tblCellMar>
      </w:tblPr>
      <w:tblGrid>
        <w:gridCol w:w="1053"/>
        <w:gridCol w:w="925"/>
        <w:gridCol w:w="931"/>
        <w:gridCol w:w="109"/>
        <w:gridCol w:w="109"/>
        <w:gridCol w:w="109"/>
        <w:gridCol w:w="260"/>
        <w:gridCol w:w="251"/>
        <w:gridCol w:w="325"/>
        <w:gridCol w:w="130"/>
        <w:gridCol w:w="130"/>
        <w:gridCol w:w="130"/>
        <w:gridCol w:w="260"/>
        <w:gridCol w:w="251"/>
        <w:gridCol w:w="379"/>
      </w:tblGrid>
      <w:tr>
        <w:trPr/>
        <w:tc>
          <w:tcPr>
            <w:tcW w:w="1053" w:type="dxa"/>
            <w:tcBorders/>
            <w:vAlign w:val="center"/>
          </w:tcPr>
          <w:p>
            <w:pPr>
              <w:pStyle w:val="TableContents"/>
              <w:bidi w:val="0"/>
              <w:spacing w:before="0" w:after="283"/>
              <w:jc w:val="left"/>
              <w:rPr>
                <w:sz w:val="4"/>
                <w:szCs w:val="4"/>
              </w:rPr>
            </w:pPr>
            <w:r>
              <w:rPr>
                <w:sz w:val="4"/>
                <w:szCs w:val="4"/>
              </w:rPr>
            </w:r>
          </w:p>
        </w:tc>
        <w:tc>
          <w:tcPr>
            <w:tcW w:w="925"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Discount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9.69 </w:t>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9.67 </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Future lease liabilities at June 30, 2026 are as follows (amounts in thousands):</w:t>
      </w:r>
    </w:p>
    <w:tbl>
      <w:tblPr>
        <w:tblW w:w="10205" w:type="dxa"/>
        <w:jc w:val="left"/>
        <w:tblInd w:w="0" w:type="dxa"/>
        <w:tblLayout w:type="fixed"/>
        <w:tblCellMar>
          <w:top w:w="28" w:type="dxa"/>
          <w:left w:w="28" w:type="dxa"/>
          <w:bottom w:w="28" w:type="dxa"/>
          <w:right w:w="28" w:type="dxa"/>
        </w:tblCellMar>
      </w:tblPr>
      <w:tblGrid>
        <w:gridCol w:w="1001"/>
        <w:gridCol w:w="880"/>
        <w:gridCol w:w="883"/>
        <w:gridCol w:w="109"/>
        <w:gridCol w:w="109"/>
        <w:gridCol w:w="109"/>
        <w:gridCol w:w="450"/>
        <w:gridCol w:w="1761"/>
        <w:gridCol w:w="232"/>
        <w:gridCol w:w="109"/>
        <w:gridCol w:w="109"/>
        <w:gridCol w:w="109"/>
        <w:gridCol w:w="419"/>
        <w:gridCol w:w="1432"/>
        <w:gridCol w:w="216"/>
        <w:gridCol w:w="109"/>
        <w:gridCol w:w="109"/>
        <w:gridCol w:w="109"/>
        <w:gridCol w:w="344"/>
        <w:gridCol w:w="1350"/>
        <w:gridCol w:w="256"/>
      </w:tblGrid>
      <w:tr>
        <w:trPr/>
        <w:tc>
          <w:tcPr>
            <w:tcW w:w="1001"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76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Operating Lease Liabilities</w:t>
            </w:r>
            <w:r>
              <w:rPr>
                <w:color w:val="000000"/>
              </w:rPr>
              <w:t xml:space="preserve"> </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Finance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Lease Liabilities</w:t>
            </w:r>
          </w:p>
        </w:tc>
      </w:tr>
      <w:tr>
        <w:trPr/>
        <w:tc>
          <w:tcPr>
            <w:tcW w:w="27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44,279 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3,028 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47,307 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92,724 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98,741 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86,567 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92,278 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84,112 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5,247 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79,064 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5,233 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84,297 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73,687 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5,744 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79,431 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262,561 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356,311 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722,994 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124,730 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847,724 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representing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(166,659)</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(71,829)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(238,488)</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556,335 </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52,901 </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609,236 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 xml:space="preserve">Includes leases with related parties. See Note </w:t>
      </w:r>
      <w:r>
        <w:rPr>
          <w:rFonts w:ascii="Times New Roman;serif" w:hAnsi="Times New Roman;serif"/>
          <w:b w:val="false"/>
          <w:color w:val="000000"/>
          <w:sz w:val="16"/>
          <w:shd w:fill="FFFFFF" w:val="clear"/>
        </w:rPr>
        <w:t>10</w:t>
      </w:r>
      <w:r>
        <w:rPr>
          <w:color w:val="000000"/>
        </w:rPr>
        <w:t xml:space="preserve"> </w:t>
      </w:r>
      <w:r>
        <w:rPr>
          <w:color w:val="000000"/>
          <w:shd w:fill="FFFFFF" w:val="clear"/>
        </w:rPr>
        <w:t>—</w:t>
      </w:r>
      <w:r>
        <w:rPr>
          <w:color w:val="000000"/>
        </w:rPr>
        <w:t xml:space="preserve"> </w:t>
      </w:r>
      <w:r>
        <w:rPr>
          <w:rFonts w:ascii="Times New Roman;serif" w:hAnsi="Times New Roman;serif"/>
          <w:b w:val="false"/>
          <w:i/>
          <w:color w:val="000000"/>
          <w:sz w:val="16"/>
        </w:rPr>
        <w:t>Related Party Transactions</w:t>
      </w:r>
      <w:r>
        <w:rPr>
          <w:color w:val="000000"/>
        </w:rPr>
        <w:t xml:space="preserve"> </w:t>
      </w:r>
      <w:r>
        <w:rPr>
          <w:rFonts w:ascii="Times New Roman;serif" w:hAnsi="Times New Roman;serif"/>
          <w:b w:val="false"/>
          <w:color w:val="000000"/>
          <w:sz w:val="16"/>
        </w:rPr>
        <w:t>for amounts leased from related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At June 30, 2026, the Company has entered into leases for Showrooms and equipment which have not yet commenced with expected lease terms ranging from 10 to 16 years. The aggregate minimum rental payments over the term of the leases of approximately $193.5 million are not included in the above table.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leases is as follows (amounts in thousands):</w:t>
      </w:r>
    </w:p>
    <w:tbl>
      <w:tblPr>
        <w:tblW w:w="8841" w:type="dxa"/>
        <w:jc w:val="left"/>
        <w:tblInd w:w="0" w:type="dxa"/>
        <w:tblLayout w:type="fixed"/>
        <w:tblCellMar>
          <w:top w:w="28" w:type="dxa"/>
          <w:left w:w="28" w:type="dxa"/>
          <w:bottom w:w="28" w:type="dxa"/>
          <w:right w:w="28" w:type="dxa"/>
        </w:tblCellMar>
      </w:tblPr>
      <w:tblGrid>
        <w:gridCol w:w="2196"/>
        <w:gridCol w:w="1927"/>
        <w:gridCol w:w="1937"/>
        <w:gridCol w:w="109"/>
        <w:gridCol w:w="109"/>
        <w:gridCol w:w="109"/>
        <w:gridCol w:w="211"/>
        <w:gridCol w:w="721"/>
        <w:gridCol w:w="109"/>
        <w:gridCol w:w="109"/>
        <w:gridCol w:w="109"/>
        <w:gridCol w:w="109"/>
        <w:gridCol w:w="211"/>
        <w:gridCol w:w="721"/>
        <w:gridCol w:w="154"/>
      </w:tblGrid>
      <w:tr>
        <w:trPr/>
        <w:tc>
          <w:tcPr>
            <w:tcW w:w="2196"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6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for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cash 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Right-of-use assets obtained in exchange for lease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 xml:space="preserve">6. Equity Based Compensation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Activity of the Company’s Restricted Stock and their related equity based compensation expense are summarized in the following tables (amounts in thousands, except share and per share data):</w:t>
      </w:r>
    </w:p>
    <w:tbl>
      <w:tblPr>
        <w:tblW w:w="7889" w:type="dxa"/>
        <w:jc w:val="left"/>
        <w:tblInd w:w="0" w:type="dxa"/>
        <w:tblLayout w:type="fixed"/>
        <w:tblCellMar>
          <w:top w:w="28" w:type="dxa"/>
          <w:left w:w="28" w:type="dxa"/>
          <w:bottom w:w="28" w:type="dxa"/>
          <w:right w:w="28" w:type="dxa"/>
        </w:tblCellMar>
      </w:tblPr>
      <w:tblGrid>
        <w:gridCol w:w="977"/>
        <w:gridCol w:w="858"/>
        <w:gridCol w:w="864"/>
        <w:gridCol w:w="396"/>
        <w:gridCol w:w="399"/>
        <w:gridCol w:w="261"/>
        <w:gridCol w:w="153"/>
        <w:gridCol w:w="153"/>
        <w:gridCol w:w="153"/>
        <w:gridCol w:w="790"/>
        <w:gridCol w:w="2309"/>
        <w:gridCol w:w="576"/>
      </w:tblGrid>
      <w:tr>
        <w:trPr/>
        <w:tc>
          <w:tcPr>
            <w:tcW w:w="97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2309"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Restricted Stock - Class A</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7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64,187 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5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(64,187)</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79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3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729" w:type="dxa"/>
        <w:jc w:val="left"/>
        <w:tblInd w:w="0" w:type="dxa"/>
        <w:tblLayout w:type="fixed"/>
        <w:tblCellMar>
          <w:top w:w="28" w:type="dxa"/>
          <w:left w:w="28" w:type="dxa"/>
          <w:bottom w:w="28" w:type="dxa"/>
          <w:right w:w="28" w:type="dxa"/>
        </w:tblCellMar>
      </w:tblPr>
      <w:tblGrid>
        <w:gridCol w:w="1652"/>
        <w:gridCol w:w="1450"/>
        <w:gridCol w:w="1457"/>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54"/>
      </w:tblGrid>
      <w:tr>
        <w:trPr/>
        <w:tc>
          <w:tcPr>
            <w:tcW w:w="1652"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5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5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based compensation expense - Restricted Stock</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erif" w:hAnsi="Times New Roman;serif"/>
          <w:b w:val="false"/>
          <w:color w:val="000000"/>
          <w:sz w:val="20"/>
          <w:shd w:fill="FFFFFF" w:val="clear"/>
        </w:rPr>
        <w:t xml:space="preserve">The Arhaus, Inc. 2021 Equity Incentive Plan (the “2021 Plan”) was adopted in November 2021. The 2021 Plan authorizes the Company the ability to grant stock options (either incentive or non-qualified), stock appreciation rights (“SARs”), restricted stock, restricted stock units (“RSUs”), performance shares, performance share units (“PSUs”) and other stock-based awards with respect to our Class A common stock to our employees, officers, consultants, advisors and directors. The maximum number of Class A common stock that may be granted under the 2021 Plan is </w:t>
      </w:r>
      <w:r>
        <w:rPr>
          <w:rFonts w:ascii="Times New Roman;serif" w:hAnsi="Times New Roman;serif"/>
          <w:b w:val="false"/>
          <w:color w:val="000000"/>
          <w:sz w:val="20"/>
        </w:rPr>
        <w:t>11,205,100</w:t>
      </w:r>
      <w:r>
        <w:rPr>
          <w:color w:val="000000"/>
          <w:shd w:fill="FFFFFF" w:val="clear"/>
        </w:rPr>
        <w:t xml:space="preserve"> </w:t>
      </w:r>
      <w:r>
        <w:rPr>
          <w:rFonts w:ascii="Times New Roman;serif" w:hAnsi="Times New Roman;serif"/>
          <w:b w:val="false"/>
          <w:color w:val="000000"/>
          <w:sz w:val="20"/>
          <w:shd w:fill="FFFFFF" w:val="clear"/>
        </w:rPr>
        <w:t>shares.</w:t>
      </w:r>
    </w:p>
    <w:p>
      <w:pPr>
        <w:pStyle w:val="TextBody"/>
        <w:bidi w:val="0"/>
        <w:spacing w:lineRule="auto" w:line="288" w:before="200" w:after="283"/>
        <w:jc w:val="left"/>
        <w:rPr/>
      </w:pPr>
      <w:r>
        <w:rPr>
          <w:rFonts w:ascii="Times New Roman;serif" w:hAnsi="Times New Roman;serif"/>
          <w:b w:val="false"/>
          <w:color w:val="000000"/>
          <w:sz w:val="20"/>
          <w:shd w:fill="FFFFFF" w:val="clear"/>
        </w:rPr>
        <w:t>Per the 2021 Plan, each RSU and PSU represents a contingent right to receive one share of the Company’s Class A common stock upon vesting. The RSUs granted to award recipients will vest over two to five years (depending on the terms of the award) on each anniversary of the grant date, provided that the award recipient continues to serve the Company through the applicable vesting date (“Continuous Service”). If the award recipient’s Continuous Service terminates for any</w:t>
      </w:r>
      <w:r>
        <w:rPr>
          <w:color w:val="000000"/>
        </w:rPr>
        <w:t xml:space="preserve"> </w:t>
      </w:r>
      <w:r>
        <w:rPr>
          <w:rFonts w:ascii="Times New Roman;serif" w:hAnsi="Times New Roman;serif"/>
          <w:b w:val="false"/>
          <w:color w:val="000000"/>
          <w:sz w:val="20"/>
        </w:rPr>
        <w:t xml:space="preserve">reason other than death, disability or in connection with a change in control (as such terms are defined in the 2021 Plan), unless the Compensation Committee of the Board of Directors determines otherwise, all RSUs that are unvested at the time of such termination shall be forfeited and cancelled immediately without consideration. RSU and PSU awards contain forfeitable rights to dividend equivalents. Dividend equivalents for outstanding awards are accrued when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dividends are declared on the Company’s common stock but are not paid until the awards vest, and dividend equivalents accrued for awards that ultimately do not vest are forfeited. Dividend equivalents are settled in the form of cash or Class A common stock based on the award agreement. The RSUs issued to certain members of the Board of Directors will generally vest on the one-year anniversary of the grant date. The fair value of RSUs is determined based on the market value of the Company’s Class A common stock on the grant date.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number of PSUs earned will be based on the Company’s financial performance as measured against pre-established target performance goals over the applicable performance period. For PSUs granted in fiscal year 2024, the performance goals are cumulative demand revenue and cumulative adjusted EBITDA. In April 2025, the Company granted PSUs with the aforementioned performance goals and a new performance goal for relative Total Shareholder Return (“TSR”). The fair value of PSUs is determined based on the market value of the Company’s Class A common stock on the grant date. The fair value of the portion of PSUs related to relative TSR is derived from a Monte Carlo valuation model that estimates fair value as of the grant date. The Monte Carlo valuation model uses multiple simulations to evaluate our probability of achieving various stock price levels to determine the Company’s expected TSR ranking relative to a custom peer group. For PSUs granted in fiscal year 2026, the performance goals are cumulative comparable written sales, cumulative adjusted EBITDA and relative TSR. PSUs will vest as of the end of the applicable performance period subject to the award recipient’s Continuous Service, but will not settle and payout until the number of PSUs earned is determined by the Compensation Committee. The award recipient may earn between 0% and 200% of the PSU target award based on the Company’s achievement of the applicable performance goals, with each goal weighted equally. The Company accounts for forfeitures as they occur.</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Activity of the Company’s PSU and RSU awards and their related equity based compensation expense are summarized in the following tables (amounts in thousands, except share and per share data):</w:t>
      </w:r>
    </w:p>
    <w:tbl>
      <w:tblPr>
        <w:tblW w:w="10205" w:type="dxa"/>
        <w:jc w:val="left"/>
        <w:tblInd w:w="0" w:type="dxa"/>
        <w:tblLayout w:type="fixed"/>
        <w:tblCellMar>
          <w:top w:w="28" w:type="dxa"/>
          <w:left w:w="28" w:type="dxa"/>
          <w:bottom w:w="28" w:type="dxa"/>
          <w:right w:w="28" w:type="dxa"/>
        </w:tblCellMar>
      </w:tblPr>
      <w:tblGrid>
        <w:gridCol w:w="687"/>
        <w:gridCol w:w="603"/>
        <w:gridCol w:w="608"/>
        <w:gridCol w:w="488"/>
        <w:gridCol w:w="488"/>
        <w:gridCol w:w="261"/>
        <w:gridCol w:w="109"/>
        <w:gridCol w:w="109"/>
        <w:gridCol w:w="109"/>
        <w:gridCol w:w="608"/>
        <w:gridCol w:w="1476"/>
        <w:gridCol w:w="317"/>
        <w:gridCol w:w="109"/>
        <w:gridCol w:w="109"/>
        <w:gridCol w:w="109"/>
        <w:gridCol w:w="488"/>
        <w:gridCol w:w="488"/>
        <w:gridCol w:w="261"/>
        <w:gridCol w:w="109"/>
        <w:gridCol w:w="109"/>
        <w:gridCol w:w="109"/>
        <w:gridCol w:w="588"/>
        <w:gridCol w:w="1426"/>
        <w:gridCol w:w="437"/>
      </w:tblGrid>
      <w:tr>
        <w:trPr/>
        <w:tc>
          <w:tcPr>
            <w:tcW w:w="687"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PSU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 Awards</w:t>
            </w:r>
          </w:p>
        </w:tc>
      </w:tr>
      <w:tr>
        <w:trPr/>
        <w:tc>
          <w:tcPr>
            <w:tcW w:w="18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Weighted Average Grant Date Fair Value</w:t>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December 31, 2025</w:t>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605,039 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9.78 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2,320,867 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791,262 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1,321,504 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(19,709)</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8.52 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(43,306)</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4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(788,334)</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9.02 </w:t>
            </w:r>
          </w:p>
        </w:tc>
        <w:tc>
          <w:tcPr>
            <w:tcW w:w="4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at June 30, 2026</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1,376,592 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2,810,731 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7.82 </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610" w:type="dxa"/>
        <w:jc w:val="left"/>
        <w:tblInd w:w="0" w:type="dxa"/>
        <w:tblLayout w:type="fixed"/>
        <w:tblCellMar>
          <w:top w:w="28" w:type="dxa"/>
          <w:left w:w="28" w:type="dxa"/>
          <w:bottom w:w="28" w:type="dxa"/>
          <w:right w:w="28" w:type="dxa"/>
        </w:tblCellMar>
      </w:tblPr>
      <w:tblGrid>
        <w:gridCol w:w="1392"/>
        <w:gridCol w:w="1221"/>
        <w:gridCol w:w="1227"/>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392"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8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based compensation expense - PSUs</w:t>
            </w:r>
            <w:r>
              <w:rPr>
                <w:rFonts w:ascii="Times New Roman;serif" w:hAnsi="Times New Roman;serif"/>
                <w:b w:val="false"/>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Equity based compensation expense - RSUs</w:t>
            </w:r>
            <w:r>
              <w:rPr>
                <w:rFonts w:ascii="Times New Roman;serif" w:hAnsi="Times New Roman;serif"/>
                <w:b w:val="false"/>
                <w:color w:val="000000"/>
                <w:sz w:val="13"/>
              </w:rPr>
              <w:t>(2)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color w:val="000000"/>
          <w:sz w:val="10"/>
        </w:rPr>
        <w:t xml:space="preserve">(1) </w:t>
      </w:r>
      <w:r>
        <w:rPr>
          <w:rFonts w:ascii="Times New Roman;serif" w:hAnsi="Times New Roman;serif"/>
          <w:b w:val="false"/>
          <w:color w:val="000000"/>
          <w:sz w:val="16"/>
        </w:rPr>
        <w:t>Total unrecognized equ</w:t>
      </w:r>
      <w:r>
        <w:rPr>
          <w:rFonts w:ascii="Times New Roman;serif" w:hAnsi="Times New Roman;serif"/>
          <w:b w:val="false"/>
          <w:color w:val="000000"/>
          <w:sz w:val="16"/>
          <w:shd w:fill="FFFFFF" w:val="clear"/>
        </w:rPr>
        <w:t xml:space="preserve">ity based compensation for the PSUs to be recognized in future periods is </w:t>
      </w:r>
      <w:r>
        <w:rPr>
          <w:rFonts w:ascii="Times New Roman;serif" w:hAnsi="Times New Roman;serif"/>
          <w:b w:val="false"/>
          <w:color w:val="000000"/>
          <w:sz w:val="16"/>
        </w:rPr>
        <w:t>$8.9 million</w:t>
      </w:r>
      <w:r>
        <w:rPr>
          <w:color w:val="000000"/>
          <w:shd w:fill="FFFFFF" w:val="clear"/>
        </w:rPr>
        <w:t xml:space="preserve"> </w:t>
      </w:r>
      <w:r>
        <w:rPr>
          <w:rFonts w:ascii="Times New Roman;serif" w:hAnsi="Times New Roman;serif"/>
          <w:b w:val="false"/>
          <w:color w:val="000000"/>
          <w:sz w:val="16"/>
          <w:shd w:fill="FFFFFF" w:val="clear"/>
        </w:rPr>
        <w:t xml:space="preserve">at June 30, 2026, and will be recognized over a weighted average period of </w:t>
      </w:r>
      <w:r>
        <w:rPr>
          <w:rFonts w:ascii="Times New Roman;serif" w:hAnsi="Times New Roman;serif"/>
          <w:b w:val="false"/>
          <w:color w:val="000000"/>
          <w:sz w:val="16"/>
        </w:rPr>
        <w:t>2.20 years</w:t>
      </w:r>
      <w:r>
        <w:rPr>
          <w:rFonts w:ascii="Times New Roman;serif" w:hAnsi="Times New Roman;serif"/>
          <w:b w:val="false"/>
          <w:color w:val="000000"/>
          <w:sz w:val="16"/>
          <w:shd w:fill="FFFFFF" w:val="clear"/>
        </w:rPr>
        <w:t>. Equity based compensation expense is recorded within selling, general and administrative expenses on our condensed consolidated statements of comprehensive income.</w:t>
      </w:r>
    </w:p>
    <w:p>
      <w:pPr>
        <w:pStyle w:val="TextBody"/>
        <w:bidi w:val="0"/>
        <w:spacing w:lineRule="auto" w:line="288" w:before="0" w:after="0"/>
        <w:jc w:val="left"/>
        <w:rPr/>
      </w:pPr>
      <w:r>
        <w:rPr>
          <w:rFonts w:ascii="Times New Roman;serif" w:hAnsi="Times New Roman;serif"/>
          <w:b w:val="false"/>
          <w:color w:val="000000"/>
          <w:sz w:val="10"/>
          <w:shd w:fill="FFFFFF" w:val="clear"/>
        </w:rPr>
        <w:t xml:space="preserve">(2) </w:t>
      </w:r>
      <w:r>
        <w:rPr>
          <w:rFonts w:ascii="Times New Roman;serif" w:hAnsi="Times New Roman;serif"/>
          <w:b w:val="false"/>
          <w:color w:val="000000"/>
          <w:sz w:val="16"/>
          <w:shd w:fill="FFFFFF" w:val="clear"/>
        </w:rPr>
        <w:t xml:space="preserve">Total unrecognized equity based compensation for the RSUs to be recognized in future periods is </w:t>
      </w:r>
      <w:r>
        <w:rPr>
          <w:rFonts w:ascii="Times New Roman;serif" w:hAnsi="Times New Roman;serif"/>
          <w:b w:val="false"/>
          <w:color w:val="000000"/>
          <w:sz w:val="16"/>
        </w:rPr>
        <w:t>$19.2 million</w:t>
      </w:r>
      <w:r>
        <w:rPr>
          <w:color w:val="000000"/>
          <w:shd w:fill="FFFFFF" w:val="clear"/>
        </w:rPr>
        <w:t xml:space="preserve"> </w:t>
      </w:r>
      <w:r>
        <w:rPr>
          <w:rFonts w:ascii="Times New Roman;serif" w:hAnsi="Times New Roman;serif"/>
          <w:b w:val="false"/>
          <w:color w:val="000000"/>
          <w:sz w:val="16"/>
          <w:shd w:fill="FFFFFF" w:val="clear"/>
        </w:rPr>
        <w:t xml:space="preserve">at June 30, 2026, and will be recognized over a weighted average period of </w:t>
      </w:r>
      <w:r>
        <w:rPr>
          <w:rFonts w:ascii="Times New Roman;serif" w:hAnsi="Times New Roman;serif"/>
          <w:b w:val="false"/>
          <w:color w:val="000000"/>
          <w:sz w:val="16"/>
        </w:rPr>
        <w:t>2.55 years</w:t>
      </w:r>
      <w:r>
        <w:rPr>
          <w:rFonts w:ascii="Times New Roman;serif" w:hAnsi="Times New Roman;serif"/>
          <w:b w:val="false"/>
          <w:color w:val="000000"/>
          <w:sz w:val="16"/>
          <w:shd w:fill="FFFFFF" w:val="clear"/>
        </w:rPr>
        <w:t>. Equity based compensation expense is recorded within selling, general and administrative expenses on our condensed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7. Segment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chief operating decision maker (“CODM”) is our Chief Executive Officer (“CEO”), who reviews financial information presented on a consolidated basis for purposes of making decisions, assessing financial performance and allocating resources. We operate our business as one operating segment and therefore we have one reportable segment that offers an assortment of merchandise across a broad range of categories, including furniture, outdoor, bath, lighting, textiles, and décor. The assortment of merchandise can be purchased through our Retail and eCommerce sales channels.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majority of our revenue is generated through sales to clients in the United States. Sales to clients outside of the United States are not significant. Further, no single client represents ten percent or more of our net revenue. There are no inter-segment transactions. Additionally, all property, furniture and equipment are located in the United States.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accounting policies of our single operating segment are the same as those described within our summary of significant accounting policies in the Notes to the Consolidated Financial Statements in our Annual Report on Form 10-K for the year ended December 31, 2025. The CODM assesses performance at the consolidated level and makes business decisions </w:t>
      </w:r>
      <w:r>
        <w:rPr>
          <w:rFonts w:ascii="Times New Roman;serif" w:hAnsi="Times New Roman;serif"/>
          <w:b w:val="false"/>
          <w:color w:val="000000"/>
          <w:sz w:val="20"/>
        </w:rPr>
        <w:t>based on various key performance indicators, primarily net income,</w:t>
      </w:r>
      <w:r>
        <w:rPr>
          <w:color w:val="000000"/>
          <w:shd w:fill="FFFFFF" w:val="clear"/>
        </w:rPr>
        <w:t xml:space="preserve"> </w:t>
      </w:r>
      <w:r>
        <w:rPr>
          <w:rFonts w:ascii="Times New Roman;serif" w:hAnsi="Times New Roman;serif"/>
          <w:b w:val="false"/>
          <w:color w:val="000000"/>
          <w:sz w:val="20"/>
          <w:shd w:fill="FFFFFF" w:val="clear"/>
        </w:rPr>
        <w:t>which is also reported on the condensed consolidated statements of comprehensive income as net and comprehensive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CODM uses net income to determine the allocation of resources for investments in retail Showrooms, information technology and systems infrastructure, as well as supply chain investments. Net income is also used as a method for planning and forecasting overall expected performance and for evaluating, on a quarterly and annual basis, actual results against such expectations.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Asset information is reported on the condensed consolidated balance sheets as total assets. However, asset information is not used for purposes of making decisions, assessing financial performance or allocating resources.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Refer to the condensed consolidated statements of cash flow for property, furniture and equipment expenditures, related depreciation and amortization and other significant noncash items.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shows revenue by merchandise sales channel and segment expenses (amounts in thousands):</w:t>
      </w:r>
    </w:p>
    <w:tbl>
      <w:tblPr>
        <w:tblW w:w="9045" w:type="dxa"/>
        <w:jc w:val="left"/>
        <w:tblInd w:w="0" w:type="dxa"/>
        <w:tblLayout w:type="fixed"/>
        <w:tblCellMar>
          <w:top w:w="28" w:type="dxa"/>
          <w:left w:w="28" w:type="dxa"/>
          <w:bottom w:w="28" w:type="dxa"/>
          <w:right w:w="28" w:type="dxa"/>
        </w:tblCellMar>
      </w:tblPr>
      <w:tblGrid>
        <w:gridCol w:w="1243"/>
        <w:gridCol w:w="1089"/>
        <w:gridCol w:w="1103"/>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24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298,186 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eCommerce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0"/>
              </w:rPr>
              <w:t>Total net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Less costs and expenses</w:t>
            </w:r>
            <w:r>
              <w:rPr>
                <w:rFonts w:ascii="Times New Roman;serif" w:hAnsi="Times New Roman;serif"/>
                <w:b w:val="false"/>
                <w:color w:val="000000"/>
                <w:sz w:val="13"/>
              </w:rPr>
              <w:t>(1)</w:t>
            </w:r>
            <w:r>
              <w:rPr>
                <w:rFonts w:ascii="Times New Roman;serif" w:hAnsi="Times New Roman;serif"/>
                <w:b w:val="false"/>
                <w:color w:val="000000"/>
                <w:sz w:val="20"/>
              </w:rPr>
              <w: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pPr>
            <w:r>
              <w:rPr>
                <w:rFonts w:ascii="Times New Roman;serif" w:hAnsi="Times New Roman;serif"/>
                <w:b w:val="false"/>
                <w:color w:val="000000"/>
                <w:sz w:val="20"/>
              </w:rPr>
              <w:t>Corporate and administrative expenses</w:t>
            </w:r>
            <w:r>
              <w:rPr>
                <w:rFonts w:ascii="Times New Roman;serif" w:hAnsi="Times New Roman;serif"/>
                <w:b w:val="false"/>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37,952 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Marketing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0"/>
              </w:rPr>
              <w:t>Income before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color w:val="000000"/>
              </w:rPr>
            </w:pPr>
            <w:r>
              <w:rPr>
                <w:color w:val="000000"/>
              </w:rPr>
              <w:t>     </w:t>
            </w:r>
            <w:r>
              <w:rPr>
                <w:rFonts w:ascii="Times New Roman;serif" w:hAnsi="Times New Roman;serif"/>
                <w:b w:val="false"/>
                <w:color w:val="000000"/>
                <w:sz w:val="20"/>
              </w:rPr>
              <w:t>Net and comprehensive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41,869 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39,948 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39,646 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231F20"/>
                <w:sz w:val="20"/>
              </w:rPr>
            </w:pPr>
            <w:r>
              <w:rPr>
                <w:rFonts w:ascii="Times New Roman;serif" w:hAnsi="Times New Roman;serif"/>
                <w:b w:val="false"/>
                <w:color w:val="231F2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231F20"/>
                <w:sz w:val="20"/>
              </w:rPr>
            </w:pPr>
            <w:r>
              <w:rPr>
                <w:rFonts w:ascii="Times New Roman;serif" w:hAnsi="Times New Roman;serif"/>
                <w:b w:val="false"/>
                <w:color w:val="231F20"/>
                <w:sz w:val="20"/>
              </w:rPr>
              <w:t>35,066 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Significant costs and expenses include cost of goods sold, corporate and administrative expenses, selling expenses and marketing expenses.</w:t>
      </w:r>
    </w:p>
    <w:p>
      <w:pPr>
        <w:pStyle w:val="TextBody"/>
        <w:bidi w:val="0"/>
        <w:spacing w:lineRule="auto" w:line="288" w:before="0" w:after="0"/>
        <w:jc w:val="left"/>
        <w:rPr/>
      </w:pPr>
      <w:r>
        <w:rPr>
          <w:rFonts w:ascii="Times New Roman;serif" w:hAnsi="Times New Roman;serif"/>
          <w:b w:val="false"/>
          <w:color w:val="000000"/>
          <w:sz w:val="10"/>
        </w:rPr>
        <w:t xml:space="preserve">(2) </w:t>
      </w:r>
      <w:r>
        <w:rPr>
          <w:rFonts w:ascii="Times New Roman;serif" w:hAnsi="Times New Roman;serif"/>
          <w:b w:val="false"/>
          <w:color w:val="000000"/>
          <w:sz w:val="16"/>
        </w:rPr>
        <w:t>Corporate and administrative expenses primarily include warehouse expenses, equity based compensation costs, information technology, human resources and legal costs, insurance expenses, accounting fees and corporate sustainability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8. Net and Comprehensive Income per Share</w:t>
      </w:r>
    </w:p>
    <w:p>
      <w:pPr>
        <w:pStyle w:val="TextBody"/>
        <w:bidi w:val="0"/>
        <w:spacing w:lineRule="auto" w:line="288" w:before="200" w:after="283"/>
        <w:jc w:val="left"/>
        <w:rPr/>
      </w:pPr>
      <w:r>
        <w:rPr>
          <w:rFonts w:ascii="Times New Roman;serif" w:hAnsi="Times New Roman;serif"/>
          <w:b w:val="false"/>
          <w:color w:val="000000"/>
          <w:sz w:val="20"/>
          <w:shd w:fill="FFFFFF" w:val="clear"/>
        </w:rPr>
        <w:t>Basic and diluted net and comprehensive income per share were calculated by dividing net and comprehensive income by the number of basic and diluted weighted-average common shares outstan</w:t>
      </w:r>
      <w:r>
        <w:rPr>
          <w:rFonts w:ascii="Times New Roman;serif" w:hAnsi="Times New Roman;serif"/>
          <w:b w:val="false"/>
          <w:color w:val="000000"/>
          <w:sz w:val="20"/>
        </w:rPr>
        <w:t>ding. The Company has elected to not adjust net and comprehensive income for forfeitable dividend equivalents, when declared, related to unvested equity awards. The Company will recognize dividends paid on common shares when the dividend equivalents are no longer forfeitable, such as if the contingency is met or the share-based payment awards vest into common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and comprehensive income per share are as follows (amounts in thousands, except per share data):</w:t>
      </w:r>
    </w:p>
    <w:tbl>
      <w:tblPr>
        <w:tblW w:w="10205" w:type="dxa"/>
        <w:jc w:val="left"/>
        <w:tblInd w:w="0" w:type="dxa"/>
        <w:tblLayout w:type="fixed"/>
        <w:tblCellMar>
          <w:top w:w="28" w:type="dxa"/>
          <w:left w:w="28" w:type="dxa"/>
          <w:bottom w:w="28" w:type="dxa"/>
          <w:right w:w="28" w:type="dxa"/>
        </w:tblCellMar>
      </w:tblPr>
      <w:tblGrid>
        <w:gridCol w:w="1508"/>
        <w:gridCol w:w="1239"/>
        <w:gridCol w:w="1250"/>
        <w:gridCol w:w="268"/>
        <w:gridCol w:w="918"/>
        <w:gridCol w:w="109"/>
        <w:gridCol w:w="109"/>
        <w:gridCol w:w="109"/>
        <w:gridCol w:w="109"/>
        <w:gridCol w:w="268"/>
        <w:gridCol w:w="918"/>
        <w:gridCol w:w="109"/>
        <w:gridCol w:w="109"/>
        <w:gridCol w:w="109"/>
        <w:gridCol w:w="109"/>
        <w:gridCol w:w="268"/>
        <w:gridCol w:w="918"/>
        <w:gridCol w:w="109"/>
        <w:gridCol w:w="109"/>
        <w:gridCol w:w="109"/>
        <w:gridCol w:w="109"/>
        <w:gridCol w:w="268"/>
        <w:gridCol w:w="918"/>
        <w:gridCol w:w="156"/>
      </w:tblGrid>
      <w:tr>
        <w:trPr/>
        <w:tc>
          <w:tcPr>
            <w:tcW w:w="1508"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Denominator—Weighted Average Shares Outstanding</w:t>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basic</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141,218,014 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140,536,663 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141,466,361 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140,709,814 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Effect of dilutive restricted stock </w:t>
            </w:r>
            <w:r>
              <w:rPr>
                <w:rFonts w:ascii="Times New Roman;serif" w:hAnsi="Times New Roman;serif"/>
                <w:b w:val="false"/>
                <w:color w:val="000000"/>
                <w:sz w:val="13"/>
              </w:rPr>
              <w:t>(1) (2)</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452,496 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common shares outstanding, diluted</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141,776,353 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141,126,879 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141,808,253 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141,162,310 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and Comprehensive Income Per Share</w:t>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per share, basic</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per share, diluted</w:t>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6"/>
        </w:rPr>
        <w:t>During the six and three months ended June 30, 2026, 625,453 and 1,044,137 shares of unvested RSUs and dividend equivalents were excluded from the computation of diluted earnings per share because their effect would have been anti-dilutive. During the six and three months ended June 30, 2025, 708,491 and 1,006,601 shares of unvested restricted stock and RSUs were excluded from the computation of diluted earnings per share because their effect would have been anti-dilutive.</w:t>
      </w:r>
    </w:p>
    <w:p>
      <w:pPr>
        <w:pStyle w:val="TextBody"/>
        <w:bidi w:val="0"/>
        <w:spacing w:lineRule="auto" w:line="28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6"/>
        </w:rPr>
        <w:t>During the six and three months ended June 30, 2026, 920,293 PSUs were excluded from the calculation of the effect of dilutive restricted stock because they did not meet the required performance criteria. During the six and three months ended June 30, 2025, 579,489 PSUs were excluded from the calculation of the effect of dilutive restricted stock because they did not meet the required performance criteria.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9. Commitments and Contingencies</w:t>
      </w:r>
    </w:p>
    <w:p>
      <w:pPr>
        <w:pStyle w:val="TextBody"/>
        <w:bidi w:val="0"/>
        <w:spacing w:lineRule="auto" w:line="288" w:before="200" w:after="283"/>
        <w:jc w:val="left"/>
        <w:rPr/>
      </w:pPr>
      <w:r>
        <w:rPr>
          <w:rFonts w:ascii="Times New Roman;serif" w:hAnsi="Times New Roman;serif"/>
          <w:b w:val="false"/>
          <w:color w:val="000000"/>
          <w:sz w:val="20"/>
        </w:rPr>
        <w:t xml:space="preserve">The Company is involved in litigation and claims that are incidental to its business. Although the outcome of these matters cannot be determined at the present time, management of the Company believes that the ultimate resolution of these matters will not have a material adverse effect on the Company’s consolidated financial position, results of operations or cash flows. As of June 30, 2026 and December 31, 2025, the Company has accrued legal costs of $6.8 million and $6.5 million, respectively, that are included in accrued other expenses within our </w:t>
      </w:r>
      <w:r>
        <w:rPr>
          <w:rFonts w:ascii="Times New Roman;serif" w:hAnsi="Times New Roman;serif"/>
          <w:b w:val="false"/>
          <w:color w:val="000000"/>
          <w:sz w:val="20"/>
          <w:shd w:fill="FFFFFF" w:val="clear"/>
        </w:rPr>
        <w:t>condensed consolidated balance sheets</w:t>
      </w:r>
      <w:r>
        <w:rPr>
          <w:rFonts w:ascii="Times New Roman;serif" w:hAnsi="Times New Roman;serif"/>
          <w:b w:val="false"/>
          <w:color w:val="000000"/>
          <w:sz w:val="20"/>
        </w:rPr>
        <w: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has received inquiries from a number of state and local taxing agencies with respect to the remittance of sales, use, telecommunications, excise, and income taxes. Several jurisdictions are currently conducting tax audits of the Company's records. The Company collects, or has accrued for, taxes that it believes are required to be remitted. The amounts that have been remitted have historically been within the accruals established by the Company. The Company adjusts its accrual when facts relating to specific exposures warrant such adjustment. As of June 30, 2026 and December 31, 2025, we recorded liabilities of $0.3 million and $0.3 million, respectively, in accrued other expenses within the condensed consolidated balance sheets for non-income tax matters that were probable and reasonably estimable.</w:t>
      </w:r>
    </w:p>
    <w:p>
      <w:pPr>
        <w:pStyle w:val="TextBody"/>
        <w:bidi w:val="0"/>
        <w:spacing w:lineRule="auto" w:line="288" w:before="200" w:after="283"/>
        <w:jc w:val="left"/>
        <w:rPr/>
      </w:pPr>
      <w:r>
        <w:rPr>
          <w:rFonts w:ascii="Times New Roman;serif" w:hAnsi="Times New Roman;serif"/>
          <w:b w:val="false"/>
          <w:color w:val="000000"/>
          <w:sz w:val="20"/>
        </w:rPr>
        <w:t xml:space="preserve">The Company has entered into an irrevocable standby letter of credit arrangement for purposes of protecting a lessor against default on lease payments. As of June 30, 2026, these lease payments are included within the Company’s </w:t>
      </w:r>
      <w:r>
        <w:rPr>
          <w:rFonts w:ascii="Times New Roman;serif" w:hAnsi="Times New Roman;serif"/>
          <w:b w:val="false"/>
          <w:color w:val="000000"/>
          <w:sz w:val="20"/>
          <w:shd w:fill="FFFFFF" w:val="clear"/>
        </w:rPr>
        <w:t>condensed consolidated balance sheets</w:t>
      </w:r>
      <w:r>
        <w:rPr>
          <w:color w:val="000000"/>
        </w:rPr>
        <w:t xml:space="preserve"> </w:t>
      </w:r>
      <w:r>
        <w:rPr>
          <w:rFonts w:ascii="Times New Roman;serif" w:hAnsi="Times New Roman;serif"/>
          <w:b w:val="false"/>
          <w:color w:val="000000"/>
          <w:sz w:val="20"/>
        </w:rPr>
        <w:t>in operating lease liabilities. As of June 30, 2026, the Company had a maximum financial exposure from the irrevocable standby letter of credit totaling approximately $5.1 million, all of which is applied to reduce capacity under the Company's revolving credit facility. The Company has no history of default claims, nor is it aware of circumstances that would require it to perform under this credit arrangement and believes that the resolution of any claims that might arise in the future, either individually or in the aggregate, would not materially affect the Company's condensed consolidated financial statements. Accordingly, no liability has been recorded with respect to this credit arrangement as of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tbl>
      <w:tblPr>
        <w:tblW w:w="4770" w:type="dxa"/>
        <w:jc w:val="left"/>
        <w:tblInd w:w="0" w:type="dxa"/>
        <w:tblLayout w:type="fixed"/>
        <w:tblCellMar>
          <w:top w:w="28" w:type="dxa"/>
          <w:left w:w="28" w:type="dxa"/>
          <w:bottom w:w="28" w:type="dxa"/>
          <w:right w:w="28" w:type="dxa"/>
        </w:tblCellMar>
      </w:tblPr>
      <w:tblGrid>
        <w:gridCol w:w="1525"/>
        <w:gridCol w:w="1342"/>
        <w:gridCol w:w="1903"/>
      </w:tblGrid>
      <w:tr>
        <w:trPr/>
        <w:tc>
          <w:tcPr>
            <w:tcW w:w="1525"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Arhaus, Inc. and Subsidiaries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c>
      </w:tr>
      <w:tr>
        <w:trPr/>
        <w:tc>
          <w:tcPr>
            <w:tcW w:w="4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February 29, 2024, the Board of Directors of the Company declared a special cash dividend on the Company’s Class A and Class B common stock of $0.50 per share, payable April 4, 2024, to shareholders of record at the close of business on March 21, 2024 (the “2024 Record Date”). The Company paid $0.1 million and $0.3 million of the aforementioned special cash dividend on its Class A common stock related to dividend equivalents on equity awards that vested during the six months ended June 30, 2026 and June 30, 2025,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February 17, 2026, the Board of Directors of the Company declared a special cash dividend on the Company’s Class A and Class B common stock of $0.35 per share, payable March 31, 2026, to shareholders of record at the close of business on March 18, 2026 (the “Record Date”). The Company paid $49.5 million of the aforementioned dividend on its Class A and Class B common stock to shareholders as of the Record Date during the six months ended June 30, 2026.</w:t>
      </w:r>
    </w:p>
    <w:p>
      <w:pPr>
        <w:pStyle w:val="TextBody"/>
        <w:bidi w:val="0"/>
        <w:spacing w:lineRule="auto" w:line="288" w:before="200" w:after="283"/>
        <w:jc w:val="left"/>
        <w:rPr/>
      </w:pPr>
      <w:r>
        <w:rPr>
          <w:rFonts w:ascii="Times New Roman;serif" w:hAnsi="Times New Roman;serif"/>
          <w:b w:val="false"/>
          <w:color w:val="000000"/>
          <w:sz w:val="20"/>
        </w:rPr>
        <w:t xml:space="preserve">As of June 30, 2026, dividends payable of $0.1 million are included in accrued other expenses. As of June 30, 2026, $0.7 million is included in additional paid-in capital for dividend equivalents. As of December 31, 2025, dividends payable of $0.1 million was included in accrued other expenses and there was no additional paid-in capital balance related to dividend equivalents. The remaining liability and equity balances recorded within our </w:t>
      </w:r>
      <w:r>
        <w:rPr>
          <w:rFonts w:ascii="Times New Roman;serif" w:hAnsi="Times New Roman;serif"/>
          <w:b w:val="false"/>
          <w:color w:val="000000"/>
          <w:sz w:val="20"/>
          <w:shd w:fill="FFFFFF" w:val="clear"/>
        </w:rPr>
        <w:t>condensed consolidated balance sheets</w:t>
      </w:r>
      <w:r>
        <w:rPr>
          <w:color w:val="000000"/>
        </w:rPr>
        <w:t xml:space="preserve"> </w:t>
      </w:r>
      <w:r>
        <w:rPr>
          <w:rFonts w:ascii="Times New Roman;serif" w:hAnsi="Times New Roman;serif"/>
          <w:b w:val="false"/>
          <w:color w:val="000000"/>
          <w:sz w:val="20"/>
        </w:rPr>
        <w:t>relate to dividend equivalents on outstanding equity awards under the Company’s equity incentive plan that were unvested as of the applicable record date.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10. Related Party Transactions</w:t>
      </w:r>
    </w:p>
    <w:p>
      <w:pPr>
        <w:pStyle w:val="TextBody"/>
        <w:bidi w:val="0"/>
        <w:spacing w:lineRule="auto" w:line="288" w:before="200" w:after="283"/>
        <w:jc w:val="left"/>
        <w:rPr/>
      </w:pPr>
      <w:r>
        <w:rPr>
          <w:rFonts w:ascii="Times New Roman;serif" w:hAnsi="Times New Roman;serif"/>
          <w:b w:val="false"/>
          <w:i/>
          <w:color w:val="000000"/>
          <w:sz w:val="20"/>
          <w:shd w:fill="FFFFFF" w:val="clear"/>
        </w:rPr>
        <w:t>L</w:t>
      </w:r>
      <w:r>
        <w:rPr>
          <w:rFonts w:ascii="Times New Roman;serif" w:hAnsi="Times New Roman;serif"/>
          <w:b w:val="false"/>
          <w:i/>
          <w:color w:val="000000"/>
          <w:sz w:val="20"/>
        </w:rPr>
        <w:t>easing transactions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I</w:t>
      </w:r>
      <w:r>
        <w:rPr>
          <w:rFonts w:ascii="Times New Roman;serif" w:hAnsi="Times New Roman;serif"/>
          <w:b w:val="false"/>
          <w:color w:val="000000"/>
          <w:sz w:val="20"/>
          <w:shd w:fill="FFFFFF" w:val="clear"/>
        </w:rPr>
        <w:t>n November 2000, the Company entered into a lease agreement with Pagoda Partners, LLC, a company of which John Reed, our CEO, indir</w:t>
      </w:r>
      <w:r>
        <w:rPr>
          <w:rFonts w:ascii="Times New Roman;serif" w:hAnsi="Times New Roman;serif"/>
          <w:b w:val="false"/>
          <w:color w:val="000000"/>
          <w:sz w:val="20"/>
        </w:rPr>
        <w:t>ectly owns 50%, for our warehouse in Walton Hills, Ohio. The base lease term was 17 years with a 5-year renewal option. In August 2020, the Company amended the lease agreement to extend the lease term to April 2024. The monthly rental payments were $0.1 million. In July 2023, the Company amended the lease agreement to extend the lease term to April 2034 with one additional 5-year renewal option. The monthly rental payments range from $0.1 million to $0.2 million. Rent expense was $0.9 million and $0.9 million for the six months ended June 30, 2026 and June 30, 2025, respectively. Rent expense was $0.4 million and $0.5 million for the three months ended June 30, 2026 and June 30,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July 2010, the Company entered into a lease agreement with Brooklyn Arhaus, a company of which our CEO and Mr. Beargie, a former Director of the Company, own 85% and 15%, respectively, for our Loft in Brooklyn, Ohio. The base lease term was 15 years with no lease renewal options. The monthly rental payments were $20 thousand. In April 2025, the Company amended the lease agreement, effective in October 2025, to extend the lease term to September 2040 with no lease renewal options. The monthly rental payments range from $29 thousand to $39 thousand. Rent expense was $0.2 million and $0.2 million for the six months ended June 30, 2026 and June 30, 2025, respectively. Rent expense was $0.1 million and $0.1 million for the three months ended June 30, 2026 and June 30, 2025,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March 2021, the Company entered into a lease agreement with Premier Conover, LLC, a company of which our CEO indirectly owns 40%, for a distribution center and manufacturing building. The base lease term is for 12 years, with a 10-year renewal option and two additional 5-year renewal options at the higher of the minimum base rent or the fair market rent at the time of renewal execution. The monthly rental payments range from $0.2 million to $0.3 million during the 12-year base lease term and from $0.4 million to $0.5 million during the 10-year renewal period. Rent expense was $2.0 million and $1.9 million for the six months ended June 30, 2026 and June 30, 2025, respectively. Rent expense was $1.0 million and $0.9 million for the three months ended June 30, 2026 and June 30,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11. 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expenses were $16.9 million and $13.8 million in the six months ended June 30, 2026 and June 30, 2025, respectively. Income tax expenses were $15.7 million and $12.6 million in the three months ended June 30, 2026 and June 30, 2025, respectively. The effective tax rate was 28.8% and 25.7% for the six months ended June 30, 2026 and June 30, 2025, respectively. The effective tax rate was 28.4% and 26.4% for the three months ended June 30, 2026 and June 30, 2025, respectively. The increase in the effective tax rate was primarily driven by the section 162(m) limitation on the deductibility of certain employee compensation that has a disproportionate impact on the quarterly tax rate.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You should read the following discussion and analysis of our financial condition and results of operations together with our condensed consolidated financial statements and the related notes included elsewhere in this Quarterly Report on Form 10-Q for the three months ended June 30, 2026 (“Form 10-Q”) and our Annual Report on Form 10-K for the year ended December 31, 2025. This Form 10-Q contains forward-looking statements that involve risks and uncertainties, as well as assumptions that, if they do not fully materialize or are proven incorrect, could cause our business and results of operations to differ materially from those expressed or implied by such forward-looking statements. Forward-looking statements can generally be identified by the use of forward-looking terminology, including, but not limited to, “may,” “could,” “seek,” “guidance,” “predict,” “potential,” “likely,” “believe,” “will,” “expect,” “anticipate,” “estimate,” “plan,” “intend,” “forecast,” or variations of these terms and similar expressions, or the negative of these terms or similar expressions. Past performance is not a guarantee of future results or returns and no representation or warranty is made regarding future performance. Such forward-looking statements involve known and unknown risks, uncertainties and other important factors beyond our control that could cause our actual results, performance or achievements to be materially different from the expected results, performance or achievements expressed or implied by such forward-looking statements. Such factors include, but are not limited to, the following:</w:t>
      </w:r>
    </w:p>
    <w:p>
      <w:pPr>
        <w:pStyle w:val="TextBody"/>
        <w:bidi w:val="0"/>
        <w:spacing w:lineRule="auto" w:line="288" w:before="200" w:after="283"/>
        <w:ind w:left="0" w:right="0" w:hanging="360"/>
        <w:jc w:val="left"/>
        <w:rPr/>
      </w:pPr>
      <w:r>
        <w:rPr>
          <w:color w:val="000000"/>
          <w:shd w:fill="FFFFFF" w:val="clear"/>
        </w:rPr>
        <w:t>•</w:t>
      </w:r>
      <w:r>
        <w:rPr>
          <w:rFonts w:ascii="Times New Roman;serif" w:hAnsi="Times New Roman;serif"/>
          <w:b w:val="false"/>
          <w:i/>
          <w:color w:val="000000"/>
          <w:sz w:val="20"/>
        </w:rPr>
        <w:t>Our ability to manage and maintain the growth rate of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ability to obtain quality merchandise in sufficient quantities;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Challenges with the planning or implementation of our technology upgrades, including a new enterprise resource planning system;</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Disruption in our receiving and distribution system, including delays in the integration of our distribution centers and the possibility that we may not realize the anticipated benefits of multiple distribution centers;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Effects of new or proposed tariffs and changes to international trade policies and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The possibility of cyberattacks and our ability to maintain adequate cybersecurity systems and procedures;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Loss, corruption and misappropriation of data and information relating to clients and employees;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Changes in and compliance with applicable data privacy rules and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as a result of constraints in our supply chain or disruptions due to geopolitical events such as acts of war and/or terrorism or other hostilities;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A failure of our vendors to meet our quality standards;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Declines in general economic conditions that affect consumer confidence and consumer spending that could adversely affect our revenue;</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ability to anticipate changes in consumer preferences;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Risks related to maintaining and increasing Showroom traffic and sales;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ability to compete in our market;</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ability to adequately protect our intellectual property;</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Compliance with applicable governmental regulations;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 xml:space="preserve">Effectively managing our eCommerce sales channel and digital marketing efforts; </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Our reliance on third-party transportation carriers and risks associated with freight and transportation costs;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i/>
          <w:color w:val="000000"/>
          <w:sz w:val="20"/>
        </w:rPr>
        <w:t>Compliance with SEC rules and regulations as a public reporting company.</w:t>
      </w:r>
    </w:p>
    <w:p>
      <w:pPr>
        <w:pStyle w:val="TextBody"/>
        <w:bidi w:val="0"/>
        <w:spacing w:lineRule="auto" w:line="288" w:before="200" w:after="283"/>
        <w:jc w:val="left"/>
        <w:rPr/>
      </w:pPr>
      <w:r>
        <w:rPr>
          <w:rFonts w:ascii="Times New Roman;serif" w:hAnsi="Times New Roman;serif"/>
          <w:b w:val="false"/>
          <w:i/>
          <w:color w:val="000000"/>
          <w:sz w:val="20"/>
          <w:shd w:fill="FFFFFF" w:val="clear"/>
        </w:rPr>
        <w:t>The risks, uncertainties and assumptions referred to above that could cause our results to differ materially from the results expressed or implied by such forward-looking statements include, but are not limited to, those discussed under Item 1A. Risk Factors, Item 7. Management</w:t>
      </w:r>
      <w:r>
        <w:rPr>
          <w:color w:val="000000"/>
        </w:rPr>
        <w:t>’</w:t>
      </w:r>
      <w:r>
        <w:rPr>
          <w:rFonts w:ascii="Times New Roman;serif" w:hAnsi="Times New Roman;serif"/>
          <w:b w:val="false"/>
          <w:i/>
          <w:color w:val="000000"/>
          <w:sz w:val="20"/>
          <w:shd w:fill="FFFFFF" w:val="clear"/>
        </w:rPr>
        <w:t>s Discussion and Analysis of Financial Condition and Results of Operations, and elsewhere in our Annual Report on Form 10-K for the year ended December 31, 2025. All forward-looking statements included in this document are based on information available to us as of the date hereof, and we assume no obligation to update these forward-looking statements. These statements are based on information available to us as of the date of this Form 10-Q.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The following discussion contains references to the three months ended June 30, 2026 and </w:t>
      </w:r>
      <w:r>
        <w:rPr>
          <w:rFonts w:ascii="Times New Roman;serif" w:hAnsi="Times New Roman;serif"/>
          <w:b w:val="false"/>
          <w:i/>
          <w:color w:val="000000"/>
          <w:sz w:val="20"/>
        </w:rPr>
        <w:t>June 30, 2025</w:t>
      </w:r>
      <w:r>
        <w:rPr>
          <w:rFonts w:ascii="Times New Roman;serif" w:hAnsi="Times New Roman;serif"/>
          <w:b w:val="false"/>
          <w:i/>
          <w:color w:val="000000"/>
          <w:sz w:val="20"/>
          <w:shd w:fill="FFFFFF" w:val="clear"/>
        </w:rPr>
        <w:t xml:space="preserve">, which represents the condensed consolidated financial results of Arhaus, Inc. and subsidiaries for the three months ended June 30, 2026 and </w:t>
      </w:r>
      <w:r>
        <w:rPr>
          <w:rFonts w:ascii="Times New Roman;serif" w:hAnsi="Times New Roman;serif"/>
          <w:b w:val="false"/>
          <w:i/>
          <w:color w:val="000000"/>
          <w:sz w:val="20"/>
        </w:rPr>
        <w:t>June 30, 2025</w:t>
      </w:r>
      <w:r>
        <w:rPr>
          <w:rFonts w:ascii="Times New Roman;serif" w:hAnsi="Times New Roman;serif"/>
          <w:b w:val="false"/>
          <w:i/>
          <w:color w:val="000000"/>
          <w:sz w:val="20"/>
          <w:shd w:fill="FFFFFF" w:val="clear"/>
        </w:rPr>
        <w:t>,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Overview</w:t>
      </w:r>
    </w:p>
    <w:p>
      <w:pPr>
        <w:pStyle w:val="TextBody"/>
        <w:bidi w:val="0"/>
        <w:spacing w:lineRule="auto" w:line="288" w:before="200" w:after="283"/>
        <w:jc w:val="left"/>
        <w:rPr/>
      </w:pPr>
      <w:r>
        <w:rPr>
          <w:rFonts w:ascii="Times New Roman;serif" w:hAnsi="Times New Roman;serif"/>
          <w:b w:val="false"/>
          <w:color w:val="000000"/>
          <w:sz w:val="20"/>
        </w:rPr>
        <w:t>Founded in 1986 by John Reed, our CE</w:t>
      </w:r>
      <w:r>
        <w:rPr>
          <w:rFonts w:ascii="Times New Roman;serif" w:hAnsi="Times New Roman;serif"/>
          <w:b w:val="false"/>
          <w:color w:val="000000"/>
          <w:sz w:val="20"/>
          <w:shd w:fill="FFFFFF" w:val="clear"/>
        </w:rPr>
        <w:t xml:space="preserve">O, and his father, Arhaus </w:t>
      </w:r>
      <w:r>
        <w:rPr>
          <w:rFonts w:ascii="Times New Roman;serif" w:hAnsi="Times New Roman;serif"/>
          <w:b w:val="false"/>
          <w:color w:val="000000"/>
          <w:sz w:val="20"/>
        </w:rPr>
        <w:t>is a premium home furnishings brand built on a simple idea: furniture and décor should be responsibly sourced, lovingly made, and built to last. We operate a vertically integrated model, designing and sourcing products directly from skilled artisans and carefully selected manufacturing vendors around the world, including domestic upholstery production at our own North Carolina manufacturing facility. This approach enables us to offer a highly exclusive and customizable assortment of heirloom-quality furniture and décor designed to be used and enjoyed for generations. Design is at the core of everything Arhaus does. With more than 100 Showroom locations across the United States, our integrated omni-channel model connects every client touchpoint, from Showroom and interior design to eCommerce and catalog, allowing us to meet clients wherever and however they choose to shop while delivering a highly personalized client-first experience from discovery through delivery.</w:t>
      </w:r>
      <w:r>
        <w:rPr>
          <w:color w:val="000000"/>
          <w:shd w:fill="FFFFFF" w:val="clear"/>
        </w:rPr>
        <w:t xml:space="preserve">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vertically integrated model, inclusive of design and product development teams, upholstery manufacturing capabilities, direct vendor sourcing, direct-to-consumer and direct-to-trade selling, allows Arhaus to maintain greater control over product quality, design integrity, and value. We offer merchandise across a broad range of categories, including furniture, outdoor, bath, lighting, textiles and décor. Our curated assortments are presented across our sales channels in sophisticated, family-friendly and lifestyle-oriented settings.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Based on third-party reports, publicly available data, and our internal research, we believe the United States premium home furnishings market is approximately </w:t>
      </w:r>
      <w:r>
        <w:rPr>
          <w:rFonts w:ascii="Times New Roman;serif" w:hAnsi="Times New Roman;serif"/>
          <w:b w:val="false"/>
          <w:color w:val="000000"/>
          <w:sz w:val="20"/>
        </w:rPr>
        <w:t>$100 billion.</w:t>
      </w:r>
      <w:r>
        <w:rPr>
          <w:color w:val="000000"/>
          <w:shd w:fill="FFFFFF" w:val="clear"/>
        </w:rPr>
        <w:t xml:space="preserve"> </w:t>
      </w:r>
      <w:r>
        <w:rPr>
          <w:rFonts w:ascii="Times New Roman;serif" w:hAnsi="Times New Roman;serif"/>
          <w:b w:val="false"/>
          <w:color w:val="000000"/>
          <w:sz w:val="20"/>
        </w:rPr>
        <w:t>This highly fragmented market is served by a large number of independent retailers, which we believe provides us a meaningful opportunity to increase market share over time. We believe that we are well positioned to grow market share through our differentiated brand positioning, scale, and strong resonance with affluent clients who value quality, craftsmanship, and design.</w:t>
      </w:r>
    </w:p>
    <w:p>
      <w:pPr>
        <w:pStyle w:val="TextBody"/>
        <w:bidi w:val="0"/>
        <w:spacing w:lineRule="auto" w:line="288" w:before="200" w:after="283"/>
        <w:jc w:val="left"/>
        <w:rPr/>
      </w:pPr>
      <w:r>
        <w:rPr>
          <w:rFonts w:ascii="Times New Roman;serif" w:hAnsi="Times New Roman;serif"/>
          <w:b w:val="false"/>
          <w:color w:val="000000"/>
          <w:sz w:val="20"/>
        </w:rPr>
        <w:t>Products are designed for use throughout the home and are sourced directly from a global network of nearly 400 vendors</w:t>
      </w:r>
      <w:r>
        <w:rPr>
          <w:rFonts w:ascii="Times New Roman;serif" w:hAnsi="Times New Roman;serif"/>
          <w:b w:val="false"/>
          <w:color w:val="000000"/>
          <w:sz w:val="20"/>
          <w:shd w:fill="FFFFFF" w:val="clear"/>
        </w:rPr>
        <w:t>. Through close collaboration with Arhaus product development teams and sourcing relationships, and supported by our vertically integrated model, we believe we are able to deliver high-quality products at a compelling value.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shd w:fill="FFFFFF" w:val="clear"/>
        </w:rPr>
        <w:t xml:space="preserve">Arhaus strives to deliver a welcoming and inspirational experience across both Showrooms and eCommerce, guided by our belief that retail is theater. </w:t>
      </w:r>
      <w:r>
        <w:rPr>
          <w:rFonts w:ascii="Times New Roman;serif" w:hAnsi="Times New Roman;serif"/>
          <w:b w:val="false"/>
          <w:color w:val="000000"/>
          <w:sz w:val="20"/>
        </w:rPr>
        <w:t>Showrooms are immersive, design-forward spaces that serve as an important driver of brand awareness and client engagement</w:t>
      </w:r>
      <w:r>
        <w:rPr>
          <w:rFonts w:ascii="Times New Roman;serif" w:hAnsi="Times New Roman;serif"/>
          <w:b w:val="false"/>
          <w:color w:val="000000"/>
          <w:sz w:val="20"/>
          <w:shd w:fill="FFFFFF" w:val="clear"/>
        </w:rPr>
        <w:t xml:space="preserve">, while our eCommerce channel functions as a seamless extension of the physical Showroom experience. </w:t>
      </w:r>
      <w:r>
        <w:rPr>
          <w:rFonts w:ascii="Times New Roman;serif" w:hAnsi="Times New Roman;serif"/>
          <w:b w:val="false"/>
          <w:color w:val="000000"/>
          <w:sz w:val="20"/>
        </w:rPr>
        <w:t>Our experienced design consultants and interior designers provide expert guidance and personalized service, supporting clients throughout their shopping journey.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table below represents the composition of our Showrooms by format and operating footprint as of each period presented: </w:t>
      </w:r>
    </w:p>
    <w:tbl>
      <w:tblPr>
        <w:tblW w:w="5976" w:type="dxa"/>
        <w:jc w:val="left"/>
        <w:tblInd w:w="0" w:type="dxa"/>
        <w:tblLayout w:type="fixed"/>
        <w:tblCellMar>
          <w:top w:w="28" w:type="dxa"/>
          <w:left w:w="28" w:type="dxa"/>
          <w:bottom w:w="28" w:type="dxa"/>
          <w:right w:w="28" w:type="dxa"/>
        </w:tblCellMar>
      </w:tblPr>
      <w:tblGrid>
        <w:gridCol w:w="1249"/>
        <w:gridCol w:w="1097"/>
        <w:gridCol w:w="1104"/>
        <w:gridCol w:w="355"/>
        <w:gridCol w:w="269"/>
        <w:gridCol w:w="271"/>
        <w:gridCol w:w="109"/>
        <w:gridCol w:w="109"/>
        <w:gridCol w:w="109"/>
        <w:gridCol w:w="381"/>
        <w:gridCol w:w="381"/>
        <w:gridCol w:w="542"/>
      </w:tblGrid>
      <w:tr>
        <w:trPr/>
        <w:tc>
          <w:tcPr>
            <w:tcW w:w="1249"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231F20"/>
                <w:sz w:val="20"/>
              </w:rPr>
            </w:pPr>
            <w:r>
              <w:rPr>
                <w:rFonts w:ascii="Times New Roman;serif" w:hAnsi="Times New Roman;serif"/>
                <w:b/>
                <w:color w:val="231F20"/>
                <w:sz w:val="20"/>
              </w:rPr>
              <w:t>December 31,</w:t>
              <w:br/>
              <w:t>2025</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Traditional Showrooms</w:t>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Design Studios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59" w:before="0" w:after="283"/>
              <w:jc w:val="left"/>
              <w:rPr>
                <w:rFonts w:ascii="Times New Roman;serif" w:hAnsi="Times New Roman;serif"/>
                <w:b w:val="false"/>
                <w:color w:val="000000"/>
                <w:sz w:val="20"/>
              </w:rPr>
            </w:pPr>
            <w:r>
              <w:rPr>
                <w:rFonts w:ascii="Times New Roman;serif" w:hAnsi="Times New Roman;serif"/>
                <w:b w:val="false"/>
                <w:color w:val="000000"/>
                <w:sz w:val="20"/>
              </w:rPr>
              <w:t>Lofts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Showrooms</w:t>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square footage (in thousands)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Showrooms with interior designers</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interior designers</w:t>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States where we operate</w:t>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we generated $699.2 million of net revenue, $286.5 million of gross margin and $41.9 million of net and comprehensive income. For the three months ended June 30, 2026, we generated $384.9 million of net revenue, $172.1 million of gross margin, and $39.6 million of net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How We Assess the Performance of Our Business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addition to U.S. GAAP results, this Form 10-Q contains references to the non-GAAP financial measures below. We use these non-GAAP measures to help assess the performance of our business, identify trends affecting our business, formulate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business plans and make strategic decisions. In addition to our results determined in accordance with U.S. GAAP, we believe that providing these non-GAAP financial measures is useful to our investors as they present an informative supplemental view of our results from period-to-period by removing the effect of non-recurring items.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non-GAAP financial measures presented herein are specific to us and may not be comparable to similar measures disclosed by other companies because of differing methods used by other companies in calculating them. These measures are also not intended to be measures of free cash flow for management’s discretionary use, as they do not reflect tax payments, debt service requirements and certain other cash costs that may recur in the future, including, among other things, cash requirements for working capital needs. Management compensates for these limitations by relying on our U.S. GAAP results in addition to using these non-GAAP financial measures. The non-GAAP financial measures should not be construed as an inference that our future results will be unaffected by unusual or non-recurring items. We consider the following financial and operating measures that affect our results of operations:</w:t>
      </w:r>
    </w:p>
    <w:p>
      <w:pPr>
        <w:pStyle w:val="TextBody"/>
        <w:bidi w:val="0"/>
        <w:spacing w:lineRule="auto" w:line="288" w:before="200" w:after="283"/>
        <w:jc w:val="left"/>
        <w:rPr/>
      </w:pPr>
      <w:r>
        <w:rPr>
          <w:rFonts w:ascii="Times New Roman;serif" w:hAnsi="Times New Roman;serif"/>
          <w:b w:val="false"/>
          <w:i/>
          <w:color w:val="000000"/>
          <w:sz w:val="20"/>
          <w:shd w:fill="FFFFFF" w:val="clear"/>
        </w:rPr>
        <w:t>Net Revenue and Written Sales (Formerly “Demand”)</w:t>
      </w:r>
      <w:r>
        <w:rPr>
          <w:rFonts w:ascii="Times New Roman;serif" w:hAnsi="Times New Roman;serif"/>
          <w:b w:val="false"/>
          <w:color w:val="000000"/>
          <w:sz w:val="20"/>
          <w:shd w:fill="FFFFFF" w:val="clear"/>
        </w:rPr>
        <w:t>. Net revenue is recognized when a client obtains control of the merchandise. We also track written sales in our business which is a key performance indicator linked to the level of client orders placed. Written sales is an operating metric that we use to measure the dollar value of orders (based on purchase price) at the time the order is placed, net of the dollar value of cancellations and returns (based on unpaid purchase price and amount credited to client). These orders are recognized as net revenue when a client obtains control of the merchandise. Because written sales is measured net of cancellations, all written sales will eventually become net revenue, with appropriate reserves, when delivered to the client.</w:t>
      </w:r>
    </w:p>
    <w:p>
      <w:pPr>
        <w:pStyle w:val="TextBody"/>
        <w:bidi w:val="0"/>
        <w:spacing w:lineRule="auto" w:line="288" w:before="200" w:after="283"/>
        <w:jc w:val="left"/>
        <w:rPr/>
      </w:pPr>
      <w:r>
        <w:rPr>
          <w:rFonts w:ascii="Times New Roman;serif" w:hAnsi="Times New Roman;serif"/>
          <w:b w:val="false"/>
          <w:i/>
          <w:color w:val="000000"/>
          <w:sz w:val="20"/>
          <w:shd w:fill="FFFFFF" w:val="clear"/>
        </w:rPr>
        <w:t>Comparable Delivered Sales (Formerly “Comparable Growth”)</w:t>
      </w:r>
      <w:r>
        <w:rPr>
          <w:rFonts w:ascii="Times New Roman;serif" w:hAnsi="Times New Roman;serif"/>
          <w:b w:val="false"/>
          <w:color w:val="000000"/>
          <w:sz w:val="20"/>
          <w:shd w:fill="FFFFFF" w:val="clear"/>
        </w:rPr>
        <w:t>. Comparable Delivered Sales is the year-over-year percentage change of the dollar value of orders delivered (based on purchase price), net of the dollar value of returns (based on amount credited to client), from comparable Showrooms and eCommerce, including through our catalogs and other mailings. This metric is a key performance indicator used by management to evaluate Showroom performance for locations that have been opened for at least 15 consecutive months, which enables management to view the performance of those Showrooms without the dollar value of orders delivered for new Showrooms being included. Comparable Showrooms are defined as permanent Showrooms open for at least 15 consecutive months, including relocations in the same market. Showrooms record written sales immediately upon opening, while orders delivered take additional time because product must be delivered to the client. The dollar value of orders delivered for Loft comparable locations is included.</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Comparable Delivered Sales provides management </w:t>
      </w:r>
      <w:r>
        <w:rPr>
          <w:rFonts w:ascii="Times New Roman;serif" w:hAnsi="Times New Roman;serif"/>
          <w:b w:val="false"/>
          <w:color w:val="000000"/>
          <w:sz w:val="20"/>
        </w:rPr>
        <w:t>insight into business performance for a particular period by comparing the dollar value of orders delivered (based on purchase price) in a period compared to the prior comparable period. Since delivery generally coincides with recognition of net revenue, with appropriate reserves, Comparable Delivered Sales trends will more closely track trends in reported net revenue than Comparable Written Sales.</w:t>
      </w:r>
    </w:p>
    <w:p>
      <w:pPr>
        <w:pStyle w:val="TextBody"/>
        <w:bidi w:val="0"/>
        <w:spacing w:lineRule="auto" w:line="288" w:before="200" w:after="283"/>
        <w:jc w:val="left"/>
        <w:rPr/>
      </w:pPr>
      <w:r>
        <w:rPr>
          <w:rFonts w:ascii="Times New Roman;serif" w:hAnsi="Times New Roman;serif"/>
          <w:b w:val="false"/>
          <w:i/>
          <w:color w:val="000000"/>
          <w:sz w:val="20"/>
          <w:shd w:fill="FFFFFF" w:val="clear"/>
        </w:rPr>
        <w:t>Comparable Written Sales (Formerly “Demand Comparable Growth”)</w:t>
      </w:r>
      <w:r>
        <w:rPr>
          <w:rFonts w:ascii="Times New Roman;serif" w:hAnsi="Times New Roman;serif"/>
          <w:b w:val="false"/>
          <w:color w:val="000000"/>
          <w:sz w:val="20"/>
          <w:shd w:fill="FFFFFF" w:val="clear"/>
        </w:rPr>
        <w:t xml:space="preserve">. Comparable Written Sales is the year-over-year percentage change in written sales from our comparable Showrooms and eCommerce, including through our catalogs and other mailings. This metric is a key performance indicator used by management to evaluate Showroom performance for locations that have been opened for at least 13 consecutive months, which enables management to view the performance of those Showrooms without new Showroom written sales. For Comparable Written Sales, comparable Showrooms are defined as permanent Showrooms open for at least 13 consecutive months, including relocations in the same market. The dollar value of orders written for Loft comparable locations is included. </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Comparable Written Sales provides insight into business performance in a particular period by comparing the dollar value of orders (based on purchase price) placed in that period to the prior comparable period. Although these orders do not result in net revenue until the order is delivered at a later point in time, management utilizes this metric to evaluate core performance. </w:t>
      </w:r>
      <w:r>
        <w:rPr>
          <w:rFonts w:ascii="Times New Roman;serif" w:hAnsi="Times New Roman;serif"/>
          <w:b w:val="false"/>
          <w:color w:val="000000"/>
          <w:sz w:val="20"/>
        </w:rPr>
        <w:t>While the underlying written sales that support this metric will generally translate into delivered sales over time, the Comparable Written Sales and Comparable Delivered Sales measures may not correlate in any specific period partially due the lag effects in both the numerator and denominator that occur between order placement and delivery, which tend to vary based on natural variations in the supply chain. Notwithstanding these limitations, management considers it useful to evaluate both measures together to assess overall performance trends and believes investors may find them useful when reviewed alongside reported results and other key metrics.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shd w:fill="FFFFFF" w:val="clear"/>
        </w:rPr>
        <w:t xml:space="preserve">Gross Margin. </w:t>
      </w:r>
      <w:r>
        <w:rPr>
          <w:rFonts w:ascii="Times New Roman;serif" w:hAnsi="Times New Roman;serif"/>
          <w:b w:val="false"/>
          <w:color w:val="000000"/>
          <w:sz w:val="20"/>
        </w:rPr>
        <w:t xml:space="preserve">Gross margin is equal to our net revenue less cost of goods sold. Cost of goods sold includes the direct cost of purchased merchandise, inventory reserves, inbound freight, all freight costs to get merchandise to our Showrooms, credit card fees, design, buying and allocation costs, our supply chain, such as product development and sourcing, occupancy costs related to Showroom operations, such as rent and common area maintenance for our leases, depreciation and amortization of leasehold improvements, equipment and other assets in our Showrooms. In addition, cost of goods sold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includes all logistics costs associated with shipping product to our clients, partially offset by delivery fees collected from clients (recorded in net revenue on the condensed consolidated statements of comprehensive income).</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i/>
          <w:color w:val="000000"/>
          <w:sz w:val="20"/>
        </w:rPr>
        <w:t xml:space="preserve">Selling, General and Administrative Expenses. </w:t>
      </w:r>
      <w:r>
        <w:rPr>
          <w:rFonts w:ascii="Times New Roman;serif" w:hAnsi="Times New Roman;serif"/>
          <w:b w:val="false"/>
          <w:color w:val="000000"/>
          <w:sz w:val="20"/>
        </w:rPr>
        <w:t>Selling, general and administrative (“SG&amp;A”) expenses include all operating costs not included in cost of goods sold. These expenses include payroll and payroll related expenses, Showroom expenses other than occupancy and expenses related to many of our operations at our distribution centers and corporate headquarters, including marketing, information technology, legal, human resources, utilities and depreciation and amortization expense. Payroll includes both fixed compensation and variable compensation. Variable compensation includes Showroom commissions and Showroom bonus compensation related to written sales, likely before the client obtains control of the merchandise. Variable compensation is not significant in our eCommerce sales channel. All new Showroom opening expenses, other than occupancy, are included in SG&amp;A expenses and are expensed as incurred. We expect certain of these expenses to continue to increase as we open new Showrooms, develop new product categories and otherwise pursue our current business initiatives. SG&amp;A expenses as a percentage of net revenue are usually higher in lower-volume quarters and lower in higher-volume quarters because a significant portion of the costs are fixed.</w:t>
      </w:r>
    </w:p>
    <w:p>
      <w:pPr>
        <w:pStyle w:val="TextBody"/>
        <w:bidi w:val="0"/>
        <w:spacing w:lineRule="auto" w:line="288" w:before="200" w:after="283"/>
        <w:jc w:val="left"/>
        <w:rPr/>
      </w:pPr>
      <w:r>
        <w:rPr>
          <w:rFonts w:ascii="Times New Roman;serif" w:hAnsi="Times New Roman;serif"/>
          <w:b w:val="false"/>
          <w:i/>
          <w:color w:val="000000"/>
          <w:sz w:val="20"/>
        </w:rPr>
        <w:t xml:space="preserve">EBITDA. </w:t>
      </w:r>
      <w:r>
        <w:rPr>
          <w:rFonts w:ascii="Times New Roman;serif" w:hAnsi="Times New Roman;serif"/>
          <w:b w:val="false"/>
          <w:color w:val="000000"/>
          <w:sz w:val="20"/>
        </w:rPr>
        <w:t>We define EBITDA as consolidated net income before depreciation and amortization, interest income, net and income tax expense.</w:t>
      </w:r>
    </w:p>
    <w:p>
      <w:pPr>
        <w:pStyle w:val="TextBody"/>
        <w:bidi w:val="0"/>
        <w:spacing w:lineRule="auto" w:line="288" w:before="200" w:after="283"/>
        <w:jc w:val="left"/>
        <w:rPr/>
      </w:pPr>
      <w:r>
        <w:rPr>
          <w:rFonts w:ascii="Times New Roman;serif" w:hAnsi="Times New Roman;serif"/>
          <w:b w:val="false"/>
          <w:i/>
          <w:color w:val="000000"/>
          <w:sz w:val="20"/>
        </w:rPr>
        <w:t xml:space="preserve">Adjusted EBITDA. </w:t>
      </w:r>
      <w:r>
        <w:rPr>
          <w:rFonts w:ascii="Times New Roman;serif" w:hAnsi="Times New Roman;serif"/>
          <w:b w:val="false"/>
          <w:color w:val="000000"/>
          <w:sz w:val="20"/>
        </w:rPr>
        <w:t>We believe that adjusted EBITDA is a useful measure of operating performance as the adjustments eliminate items that we believe are not reflective of underlying operating performance in a particular period. Adjusted EBITDA facilitates a comparison of our operating performance on a consistent basis from period-to-period and provides for a more complete understanding of factors and trends affecting our business. Because adjusted EBITDA omits certain non-cash items and items that we believe are not reflective of underlying operating performance in a particular period, we feel that it is less susceptible to variances in actual performance resulting from depreciation, amortization and other non-cash charges and can be more reflective of our operating performance in a particular period. We also use adjusted EBITDA as a method for planning and forecasting overall expected performance and for evaluating, on a quarterly and annual basis, actual results against such expectations.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is a reconciliation of our net and comprehensive income to EBITDA and adjusted EBITDA for the periods presented (in thousands):</w:t>
      </w:r>
    </w:p>
    <w:tbl>
      <w:tblPr>
        <w:tblW w:w="8187" w:type="dxa"/>
        <w:jc w:val="left"/>
        <w:tblInd w:w="0" w:type="dxa"/>
        <w:tblLayout w:type="fixed"/>
        <w:tblCellMar>
          <w:top w:w="28" w:type="dxa"/>
          <w:left w:w="28" w:type="dxa"/>
          <w:bottom w:w="28" w:type="dxa"/>
          <w:right w:w="28" w:type="dxa"/>
        </w:tblCellMar>
      </w:tblPr>
      <w:tblGrid>
        <w:gridCol w:w="966"/>
        <w:gridCol w:w="850"/>
        <w:gridCol w:w="854"/>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6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EBITDA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58,512 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Equity 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326" w:before="0" w:after="0"/>
              <w:jc w:val="left"/>
              <w:rPr/>
            </w:pPr>
            <w:r>
              <w:rPr>
                <w:rFonts w:ascii="Times New Roman;serif" w:hAnsi="Times New Roman;serif"/>
                <w:b w:val="false"/>
                <w:color w:val="000000"/>
                <w:sz w:val="20"/>
              </w:rPr>
              <w:t>Other expenses</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0"/>
        </w:rPr>
        <w:t>(1)</w:t>
      </w:r>
      <w:r>
        <w:rPr>
          <w:rFonts w:ascii="Times New Roman;serif" w:hAnsi="Times New Roman;serif"/>
          <w:b w:val="false"/>
          <w:color w:val="000000"/>
          <w:sz w:val="16"/>
        </w:rPr>
        <w:t xml:space="preserve">Other expenses represent costs and investments not indicative of ongoing business performance, such as loss on disposal of assets. </w:t>
      </w:r>
    </w:p>
    <w:p>
      <w:pPr>
        <w:pStyle w:val="TextBody"/>
        <w:bidi w:val="0"/>
        <w:spacing w:lineRule="auto" w:line="288" w:before="200" w:after="283"/>
        <w:jc w:val="both"/>
        <w:rPr/>
      </w:pPr>
      <w:r>
        <w:rPr>
          <w:rFonts w:ascii="Times New Roman;serif" w:hAnsi="Times New Roman;serif"/>
          <w:b w:val="false"/>
          <w:i/>
          <w:color w:val="000000"/>
          <w:sz w:val="20"/>
        </w:rPr>
        <w:t>Free Cash Flow</w:t>
      </w:r>
      <w:r>
        <w:rPr>
          <w:rFonts w:ascii="Times New Roman;serif" w:hAnsi="Times New Roman;serif"/>
          <w:b w:val="false"/>
          <w:color w:val="000000"/>
          <w:sz w:val="20"/>
        </w:rPr>
        <w:t>. We define Free Cash Flow as net cash provided by operating activities less net cash used in investing activities. We believe that Free Cash Flow is a useful measure that is helpful in understanding the strength of our liquidity and how our business generates cash. Management uses Free Cash Flow to evaluate our overall liquidity needs and determine appropriate capital allocation strategies. Free Cash Flow should not be considered in isolation or as an alternative to net cash from operating activities calculated in accordance with U.S. GAAP and should be viewed together with our other U.S. GAAP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Factors Affecting the Comparability of our 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Our results over the past two years have been affected by the following events, which must be understood in order to assess the comparability of our period-to-period financial performance and condition.</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Tariffs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2026, the U.S. Supreme Court issued a ruling invalidating certain tariffs previously imposed under the IEEPA. Subsequently, the U.S. Court of International Trade ruled that tariffs paid under the IEEPA must be refunded in accordance with the law. As a result, the U.S. Customs and Border Protection Agency launched a special tariff refund program to facilitate such refunds.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The Company has requested refunds of $37.8 million</w:t>
      </w:r>
      <w:r>
        <w:rPr>
          <w:color w:val="000000"/>
        </w:rPr>
        <w:t xml:space="preserve"> </w:t>
      </w:r>
      <w:r>
        <w:rPr>
          <w:rFonts w:ascii="Times New Roman;serif" w:hAnsi="Times New Roman;serif"/>
          <w:b w:val="false"/>
          <w:color w:val="000000"/>
          <w:sz w:val="20"/>
        </w:rPr>
        <w:t>for IEEPA tariffs previously paid and believes recovery is probable. As of June 30, 2026, the Company recognized a receivable of $32.7 million, which is included in prepaid and other current assets within the condensed consolidated balance sheets. As of June 30, 2026, the Company received $5.1 million in cash for the refunds.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six and three months ended June 30, 2026, the Company recognized a benefit of $23.8 million for the recovery of IEEPA tariffs paid, of which $15.5 million related to inventory sold prior to April 2026 and $8.3 million related to inventory sold during the quarter, in cost of goods sold within the condensed consolidated statements of comprehensive income.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the Company recorded $14.0 million primarily related to the reductions in inventory costs in merchandise inventory, net within the condensed consolidated balance sheets.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August 6, 2026, the Company has received $37.8 million in tariff refunds and $1.3 million in interest.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Showroom Openings and Closings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New Showrooms contribute incremental expense, new Showroom opening expense and net revenue to the Company. Our recent Showroom growth from January 1, 2025 to June 30, 2026 is summarized in the following table:</w:t>
      </w:r>
    </w:p>
    <w:p>
      <w:pPr>
        <w:pStyle w:val="TextBody"/>
        <w:bidi w:val="0"/>
        <w:spacing w:before="0" w:after="0"/>
        <w:jc w:val="left"/>
        <w:rPr/>
      </w:pPr>
      <w:r>
        <w:rPr/>
      </w:r>
    </w:p>
    <w:tbl>
      <w:tblPr>
        <w:tblW w:w="6141" w:type="dxa"/>
        <w:jc w:val="left"/>
        <w:tblInd w:w="0" w:type="dxa"/>
        <w:tblLayout w:type="fixed"/>
        <w:tblCellMar>
          <w:top w:w="28" w:type="dxa"/>
          <w:left w:w="28" w:type="dxa"/>
          <w:bottom w:w="28" w:type="dxa"/>
          <w:right w:w="28" w:type="dxa"/>
        </w:tblCellMar>
      </w:tblPr>
      <w:tblGrid>
        <w:gridCol w:w="1222"/>
        <w:gridCol w:w="1073"/>
        <w:gridCol w:w="1079"/>
        <w:gridCol w:w="109"/>
        <w:gridCol w:w="109"/>
        <w:gridCol w:w="109"/>
        <w:gridCol w:w="269"/>
        <w:gridCol w:w="269"/>
        <w:gridCol w:w="271"/>
        <w:gridCol w:w="109"/>
        <w:gridCol w:w="109"/>
        <w:gridCol w:w="109"/>
        <w:gridCol w:w="381"/>
        <w:gridCol w:w="381"/>
        <w:gridCol w:w="542"/>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Showrooms open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Showrooms opened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Showrooms closed for relocations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5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Showrooms closed permanently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Showrooms open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5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Showrooms opened during the respective periods includes both new and relocated Showrooms.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tables summarize key components of our results of operations for the periods indicated and should be read together with our condensed consolidated financial statements and related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Condensed Consolidated Statements of Comprehensive Income Data (in thousands):</w:t>
      </w:r>
    </w:p>
    <w:tbl>
      <w:tblPr>
        <w:tblW w:w="9672" w:type="dxa"/>
        <w:jc w:val="left"/>
        <w:tblInd w:w="0" w:type="dxa"/>
        <w:tblLayout w:type="fixed"/>
        <w:tblCellMar>
          <w:top w:w="28" w:type="dxa"/>
          <w:left w:w="28" w:type="dxa"/>
          <w:bottom w:w="28" w:type="dxa"/>
          <w:right w:w="28" w:type="dxa"/>
        </w:tblCellMar>
      </w:tblPr>
      <w:tblGrid>
        <w:gridCol w:w="1351"/>
        <w:gridCol w:w="1191"/>
        <w:gridCol w:w="1193"/>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1351"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412,665 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286,508 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148,227 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on disposal of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47,659 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Other Operational Data (dollars in thousands):</w:t>
      </w:r>
    </w:p>
    <w:tbl>
      <w:tblPr>
        <w:tblW w:w="10205" w:type="dxa"/>
        <w:jc w:val="left"/>
        <w:tblInd w:w="0" w:type="dxa"/>
        <w:tblLayout w:type="fixed"/>
        <w:tblCellMar>
          <w:top w:w="28" w:type="dxa"/>
          <w:left w:w="28" w:type="dxa"/>
          <w:bottom w:w="28" w:type="dxa"/>
          <w:right w:w="28" w:type="dxa"/>
        </w:tblCellMar>
      </w:tblPr>
      <w:tblGrid>
        <w:gridCol w:w="1662"/>
        <w:gridCol w:w="1413"/>
        <w:gridCol w:w="1429"/>
        <w:gridCol w:w="109"/>
        <w:gridCol w:w="109"/>
        <w:gridCol w:w="109"/>
        <w:gridCol w:w="247"/>
        <w:gridCol w:w="264"/>
        <w:gridCol w:w="557"/>
        <w:gridCol w:w="112"/>
        <w:gridCol w:w="112"/>
        <w:gridCol w:w="112"/>
        <w:gridCol w:w="247"/>
        <w:gridCol w:w="264"/>
        <w:gridCol w:w="557"/>
        <w:gridCol w:w="109"/>
        <w:gridCol w:w="109"/>
        <w:gridCol w:w="109"/>
        <w:gridCol w:w="250"/>
        <w:gridCol w:w="264"/>
        <w:gridCol w:w="557"/>
        <w:gridCol w:w="125"/>
        <w:gridCol w:w="125"/>
        <w:gridCol w:w="125"/>
        <w:gridCol w:w="255"/>
        <w:gridCol w:w="256"/>
        <w:gridCol w:w="618"/>
      </w:tblGrid>
      <w:tr>
        <w:trPr/>
        <w:tc>
          <w:tcPr>
            <w:tcW w:w="1662"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1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699,173</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669,807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384,897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358,435</w:t>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delivered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Comparable written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 as a %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as a % of net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5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28.3 </w:t>
            </w:r>
          </w:p>
        </w:tc>
        <w:tc>
          <w:tcPr>
            <w:tcW w:w="6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64" w:before="0" w:after="283"/>
              <w:jc w:val="left"/>
              <w:rPr>
                <w:rFonts w:ascii="Times New Roman;serif" w:hAnsi="Times New Roman;serif"/>
                <w:b w:val="false"/>
                <w:color w:val="000000"/>
                <w:sz w:val="20"/>
              </w:rPr>
            </w:pPr>
            <w:r>
              <w:rPr>
                <w:rFonts w:ascii="Times New Roman;serif" w:hAnsi="Times New Roman;serif"/>
                <w:b w:val="false"/>
                <w:color w:val="000000"/>
                <w:sz w:val="20"/>
              </w:rPr>
              <w:t>Income from operations as a %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41,869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35,066</w:t>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as a %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88" w:before="13" w:after="283"/>
              <w:jc w:val="left"/>
              <w:rPr/>
            </w:pPr>
            <w:r>
              <w:rPr>
                <w:rFonts w:ascii="Times New Roman;serif" w:hAnsi="Times New Roman;serif"/>
                <w:b w:val="false"/>
                <w:color w:val="000000"/>
                <w:sz w:val="20"/>
              </w:rPr>
              <w:t>Adjusted EBITDA</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88,466</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70,468</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60,307</w:t>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 as a % of net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5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50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Showrooms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109</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erif" w:hAnsi="Times New Roman;serif"/>
                <w:b w:val="false"/>
                <w:color w:val="000000"/>
                <w:sz w:val="20"/>
              </w:rPr>
            </w:pPr>
            <w:r>
              <w:rPr>
                <w:rFonts w:ascii="Times New Roman;serif" w:hAnsi="Times New Roman;serif"/>
                <w:b w:val="false"/>
                <w:color w:val="000000"/>
                <w:sz w:val="20"/>
              </w:rPr>
              <w:t>103</w:t>
            </w:r>
          </w:p>
        </w:tc>
      </w:tr>
      <w:tr>
        <w:trPr/>
        <w:tc>
          <w:tcPr>
            <w:tcW w:w="4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erif" w:hAnsi="Times New Roman;serif"/>
          <w:b w:val="false"/>
          <w:color w:val="000000"/>
          <w:sz w:val="10"/>
        </w:rPr>
        <w:t xml:space="preserve">(1) </w:t>
      </w:r>
      <w:r>
        <w:rPr>
          <w:rFonts w:ascii="Times New Roman;serif" w:hAnsi="Times New Roman;serif"/>
          <w:b w:val="false"/>
          <w:color w:val="000000"/>
          <w:sz w:val="16"/>
        </w:rPr>
        <w:t>See “How We Assess the Performance of Our Business,” for a definition of adjusted EBITDA and a reconciliation of adjusted EBITDA to net and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Comparison of the six months ended June 30, 2026 and </w:t>
      </w:r>
      <w:r>
        <w:rPr>
          <w:rFonts w:ascii="Times New Roman;serif" w:hAnsi="Times New Roman;serif"/>
          <w:b/>
          <w:color w:val="000000"/>
          <w:sz w:val="20"/>
          <w:shd w:fill="FFFFFF" w:val="clear"/>
        </w:rPr>
        <w:t>June 30, 2025</w:t>
      </w:r>
      <w:r>
        <w:rPr>
          <w:color w:val="000000"/>
          <w:shd w:fill="FFFFFF" w:val="clear"/>
        </w:rPr>
        <w:t xml:space="preserv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Revenue</w:t>
      </w:r>
    </w:p>
    <w:p>
      <w:pPr>
        <w:pStyle w:val="TextBody"/>
        <w:bidi w:val="0"/>
        <w:spacing w:lineRule="auto" w:line="288" w:before="200" w:after="283"/>
        <w:jc w:val="left"/>
        <w:rPr/>
      </w:pPr>
      <w:r>
        <w:rPr>
          <w:rFonts w:ascii="Times New Roman;serif" w:hAnsi="Times New Roman;serif"/>
          <w:b w:val="false"/>
          <w:color w:val="000000"/>
          <w:sz w:val="20"/>
        </w:rPr>
        <w:t>Net revenue increased $29.4 million, or 4.4%, to $699.2 million in the six months ended June 30, 2026 compared to $669.8 million</w:t>
      </w:r>
      <w:r>
        <w:rPr>
          <w:color w:val="000000"/>
          <w:shd w:fill="FFFFFF" w:val="clear"/>
        </w:rPr>
        <w:t xml:space="preserve"> </w:t>
      </w:r>
      <w:r>
        <w:rPr>
          <w:rFonts w:ascii="Times New Roman;serif" w:hAnsi="Times New Roman;serif"/>
          <w:b w:val="false"/>
          <w:color w:val="000000"/>
          <w:sz w:val="20"/>
          <w:shd w:fill="FFFFFF" w:val="clear"/>
        </w:rPr>
        <w:t xml:space="preserve">in the </w:t>
      </w:r>
      <w:r>
        <w:rPr>
          <w:rFonts w:ascii="Times New Roman;serif" w:hAnsi="Times New Roman;serif"/>
          <w:b w:val="false"/>
          <w:color w:val="000000"/>
          <w:sz w:val="20"/>
        </w:rPr>
        <w:t>six months ended June 30, 2025. The increase was driven primarily by $20.2 million of revenue growth related to new Showrooms opened in 2026 and 2025, with the remainder due to increased demand for our products.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Gross Margin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Gross margin increased $22.7 million, or 8.6%, to $286.5 million in the six months ended June 30, 2026 compared to $263.8 million in the six months ended June 30, 2025. The increase was primarily driven by higher net revenue and the benefit related to recoveries of IEEPA tariffs of $23.8 million, partially offset by increased product costs of $20.5 million, higher Showroom occupancy costs of $5.3 million, higher fuel costs of $3.9 million, and higher credit card fees of $1.6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As a percentage of net revenue</w:t>
      </w:r>
      <w:r>
        <w:rPr>
          <w:rFonts w:ascii="Times New Roman;serif" w:hAnsi="Times New Roman;serif"/>
          <w:b w:val="false"/>
          <w:color w:val="000000"/>
          <w:sz w:val="20"/>
        </w:rPr>
        <w:t xml:space="preserve">, gross margin increased 160 basis points to 41.0% </w:t>
      </w:r>
      <w:r>
        <w:rPr>
          <w:rFonts w:ascii="Times New Roman;serif" w:hAnsi="Times New Roman;serif"/>
          <w:b w:val="false"/>
          <w:color w:val="000000"/>
          <w:sz w:val="20"/>
          <w:shd w:fill="FFFFFF" w:val="clear"/>
        </w:rPr>
        <w:t xml:space="preserve">of net revenue in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compared to 39.4% of net revenue in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The gross margin </w:t>
      </w:r>
      <w:r>
        <w:rPr>
          <w:rFonts w:ascii="Times New Roman;serif" w:hAnsi="Times New Roman;serif"/>
          <w:b w:val="false"/>
          <w:color w:val="000000"/>
          <w:sz w:val="20"/>
        </w:rPr>
        <w:t>increase was primarily driven by the benefit related to recoveries of IEEPA tariffs, which contributed 340 basis points, partially offset by higher product costs, which increased by 140 basis points, higher fuel costs, which increased by 50 basis points, Showroom occupancy costs, which increased by 40 basis points, and credit card fees, which increased by 10 basis points.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00" w:after="283"/>
        <w:jc w:val="left"/>
        <w:rPr/>
      </w:pPr>
      <w:r>
        <w:rPr>
          <w:rFonts w:ascii="Times New Roman;serif" w:hAnsi="Times New Roman;serif"/>
          <w:b w:val="false"/>
          <w:color w:val="000000"/>
          <w:sz w:val="20"/>
        </w:rPr>
        <w:t>SG&amp;A expenses increased $18.5 million, or 8.7%, to $230.0 million in the six months ended June 30, 2026 compared to $211.5 million in the six months ended June 30, 2025. The increase was primarily due to a $10.3 million increase in general and administrative costs related to strategic investments to support and drive the growth of the business, including technology improvements, and other corporate expenses and a $8.2 million increase in selling expenses primarily related to new Showrooms and increased demand for our products.</w:t>
      </w:r>
      <w:r>
        <w:rPr>
          <w:color w:val="000000"/>
        </w:rPr>
        <w:t xml:space="preserve"> </w:t>
      </w:r>
    </w:p>
    <w:p>
      <w:pPr>
        <w:pStyle w:val="TextBody"/>
        <w:bidi w:val="0"/>
        <w:spacing w:lineRule="auto" w:line="288" w:before="200" w:after="283"/>
        <w:jc w:val="left"/>
        <w:rPr/>
      </w:pPr>
      <w:r>
        <w:rPr>
          <w:rFonts w:ascii="Times New Roman;serif" w:hAnsi="Times New Roman;serif"/>
          <w:b w:val="false"/>
          <w:color w:val="000000"/>
          <w:sz w:val="20"/>
          <w:shd w:fill="FFFFFF" w:val="clear"/>
        </w:rPr>
        <w:t>As a percentage of net revenue, SG&amp;A expense</w:t>
      </w:r>
      <w:r>
        <w:rPr>
          <w:rFonts w:ascii="Times New Roman;serif" w:hAnsi="Times New Roman;serif"/>
          <w:b w:val="false"/>
          <w:color w:val="000000"/>
          <w:sz w:val="20"/>
        </w:rPr>
        <w:t xml:space="preserve">s increased 130 basis points to 32.9% of </w:t>
      </w:r>
      <w:r>
        <w:rPr>
          <w:rFonts w:ascii="Times New Roman;serif" w:hAnsi="Times New Roman;serif"/>
          <w:b w:val="false"/>
          <w:color w:val="000000"/>
          <w:sz w:val="20"/>
          <w:shd w:fill="FFFFFF" w:val="clear"/>
        </w:rPr>
        <w:t xml:space="preserve">net revenue in the </w:t>
      </w:r>
      <w:r>
        <w:rPr>
          <w:rFonts w:ascii="Times New Roman;serif" w:hAnsi="Times New Roman;serif"/>
          <w:b w:val="false"/>
          <w:color w:val="000000"/>
          <w:sz w:val="20"/>
        </w:rPr>
        <w:t>six months ended June 30, 2026</w:t>
      </w:r>
      <w:r>
        <w:rPr>
          <w:color w:val="000000"/>
          <w:shd w:fill="FFFFFF" w:val="clear"/>
        </w:rPr>
        <w:t xml:space="preserve"> </w:t>
      </w:r>
      <w:r>
        <w:rPr>
          <w:rFonts w:ascii="Times New Roman;serif" w:hAnsi="Times New Roman;serif"/>
          <w:b w:val="false"/>
          <w:color w:val="000000"/>
          <w:sz w:val="20"/>
          <w:shd w:fill="FFFFFF" w:val="clear"/>
        </w:rPr>
        <w:t xml:space="preserve">compared to 31.6% of net revenue in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Interest Income, net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net increased to $1.5 million, of which $1.0 million related to interest earned on IEEPA refunds, in the six months ended June 30, 2026 compared to $1.3 million in the six months ended June 30, 2025.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was $16.9 million in the six months ended June 30, 2026 compared to $13.8 million in the six months ended June 30, 2025. Our effective tax rate was 28.8% and 25.7% for the six months ended June 30, 2026 and June 30, 2025, respectively. The increase in the effective tax rate was primarily driven by the section 162(m) limitation on the deductibility of certain employee compensation that has a disproportionate impact on the quarterly tax rate.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and Comprehensive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increased $2.0 million to $41.9 million in the six months ended June 30, 2026 compared to $39.9 million in the six months ended June 30, 2025. The increase was driven by the factors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pPr>
      <w:r>
        <w:rPr>
          <w:rFonts w:ascii="Times New Roman;serif" w:hAnsi="Times New Roman;serif"/>
          <w:b/>
          <w:color w:val="000000"/>
          <w:sz w:val="20"/>
        </w:rPr>
        <w:t xml:space="preserve">Comparison of the three months ended June 30, 2026 and </w:t>
      </w:r>
      <w:r>
        <w:rPr>
          <w:rFonts w:ascii="Times New Roman;serif" w:hAnsi="Times New Roman;serif"/>
          <w:b/>
          <w:color w:val="000000"/>
          <w:sz w:val="20"/>
          <w:shd w:fill="FFFFFF" w:val="clear"/>
        </w:rPr>
        <w:t>June 30,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Revenue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revenue increased $26.5 million, or 7.4%, to $384.9 million in the three months ended June 30, 2026 compared to $358.4 million in the three months ended June 30, 2025. The increase was driven primarily by increased demand for our products and $10.7 million of revenue growth related to new Showrooms opened in 2026 and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Gross Margin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Gross margin increased $23.9 million, or 16.1%, to $172.1 million in the three months ended June 30, 2026 compared to $148.2 million in the three months ended June 30, 2025. The increase was primarily due to higher net revenue, the benefit related to recoveries of IEEPA tariffs of $23.8 million, partially offset by increased product costs of $16.4 million, higher Showroom occupancy costs of $3.8 million, and higher fuel costs of $2.8 million.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net revenue, gross margin increased 330 basis points to 44.7% of net revenue in the three months ended June 30, 2026 compared to 41.4% of net revenue in the three months ended June 30, 2025. The gross margin increase as a percentage of net revenue was primarily driven by the benefit related to recoveries of IEEPA tariffs, which contributed 620 basis points, partially offset by higher product costs, which increased 190 basis points, higher fuel costs, which increased by 70 basis points, and Showroom occupancy costs, which increased 40 basis points.</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Selling, General and Administrative Expenses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SG&amp;A expenses increased $16.3 million, or 16.1%, to $117.8 million in the three months ended June 30, 2026 compared to $101.5 million in the three months ended June 30, 2025. The increase was primarily due to an $8.4 million increase in general and administrative costs, primarily related to strategic investments to support and drive the growth of the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including technology improvements, and other corporate expenses, and a $7.9 million increase in selling expenses primarily related to new Showrooms and increased demand for our products.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As a percentage of net revenue, SG&amp;A expenses increased 230 basis points to 30.6% of net revenue in the three months ended June 30, 2026 compared to 28.3% of net revenue in the three months ended June 30, 2025.</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Interest Income, net</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net increased to $1.1 million, of which $1.0 million related to interest earned on IEEPA refunds, in the three months ended June 30, 2026 compared to $0.7 million in the three months ended June 30, 2025. </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Income taxes were $15.7 million in the three months ended June 30, 2026 compared to $12.6 million in the three months ended June 30, 2025. Our effective tax rate was 28.4% and 26.4% for the three months ended June 30, 2026 and June 30, 2025, respectively.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and Comprehensive Income</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Net and comprehensive income increased $4.5 million to $39.6 million in the three months ended June 30, 2026 compared to $35.1 million in the three months ended June 30, 2025. The increase was driven by the factors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Liquidity and Capital Resources</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Liquidity Outlook</w:t>
      </w:r>
    </w:p>
    <w:p>
      <w:pPr>
        <w:pStyle w:val="TextBody"/>
        <w:bidi w:val="0"/>
        <w:spacing w:lineRule="auto" w:line="288" w:before="200" w:after="283"/>
        <w:jc w:val="left"/>
        <w:rPr/>
      </w:pPr>
      <w:r>
        <w:rPr>
          <w:rFonts w:ascii="Times New Roman;serif" w:hAnsi="Times New Roman;serif"/>
          <w:b w:val="false"/>
          <w:color w:val="000000"/>
          <w:sz w:val="20"/>
          <w:shd w:fill="FFFFFF" w:val="clear"/>
        </w:rPr>
        <w:t>Our primary cash needs have historically been for merchandise inventories, payroll, marketing, Showroom rent, capital expenditures associated with opening new Showrooms and renovating existing Showrooms, as well as the development of our infrastructure and information technology. We seek out and evaluate opportunities for effectively managing and deploying capital in ways that improve working capital and support and enhance our business initiatives and strategies.</w:t>
      </w:r>
      <w:r>
        <w:rPr>
          <w:color w:val="000000"/>
        </w:rPr>
        <w:t xml:space="preserve"> </w:t>
      </w:r>
      <w:r>
        <w:rPr>
          <w:rFonts w:ascii="Times New Roman;serif" w:hAnsi="Times New Roman;serif"/>
          <w:b w:val="false"/>
          <w:color w:val="000000"/>
          <w:sz w:val="20"/>
          <w:shd w:fill="FFFFFF" w:val="clear"/>
        </w:rPr>
        <w:t xml:space="preserve">As of June 30, 2026, we had cash and cash equivalents </w:t>
      </w:r>
      <w:r>
        <w:rPr>
          <w:rFonts w:ascii="Times New Roman;serif" w:hAnsi="Times New Roman;serif"/>
          <w:b w:val="false"/>
          <w:color w:val="000000"/>
          <w:sz w:val="20"/>
        </w:rPr>
        <w:t>of $226.4 million.</w:t>
      </w:r>
      <w:r>
        <w:rPr>
          <w:color w:val="000000"/>
          <w:shd w:fill="FFFFFF" w:val="clear"/>
        </w:rPr>
        <w:t xml:space="preserve">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principal sources of liquidity are primarily cash flows from operations. We believe our operating cash flows will be sufficient to meet working capital requirements and fulfill other capital needs for at least the next 12 months, although we may enter into borrowing arrangements in the future.</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While we do not require debt to fund our operations, our goal continues to be to position the Company to take advantage of the many opportunities that we may identify in connection with our business and operations. We have pursued in the past, and may pursue in the future, additional strategies to generate capital to pursue opportunities and investments, including new debt financing arrangements. In addition to funding the normal operations of our business, we have used our liquidity to fund investments and strategies related to growth initiatives, including supply chain and technology improvements. Our needs and uses of capital may change in the future due to changes in our business or new opportunities that we choose to pursue. As of June 30, 2026, we have no material off-balance sheet arrangements.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February 29, 2024, the Board of Directors of the Company declared a special cash dividend on the Company’s Class A and Class B common stock of $0.50 per share, payable April 4, 2024, to shareholders of record at the close of business on March 21, 2024. The Company paid $0.1 million and $0.3 million of the aforementioned special cash dividend on its Class A common stock related to dividend equivalents on equity awards that vested during the six months ended June 30, 2026 and June 30, 2025, respectively.</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On February 17, 2026, the Board of Directors of the Company declared a special cash dividend on the Company’s Class A and Class B common stock of $0.35 per share, payable March 31, 2026, to shareholders of record at the close of business on March 18, 2026. The Company paid $49.5 million of the aforementioned dividend on its Class A and Class B common stock to shareholders as of the Record Date during the six months ended June 30, 2026.</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begun a multi-year transformation that will replace certain of our existing systems with a modern and integrated platform encompassing a new enterprise resource planning system (“ERP”), an order management system, a transportation management system and a point of sale system. The total incremental investment in connection with these technology upgrades is expected to be approximately $50 million, including implementation and project staffing costs as well as licensing fees through 2030. Cash outflows were approximately $5 million during the six months ended June 30, 2026,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anticipate approximately $20 million in 2026 and $12 million in 2027, with cash outflows tapering in early 2028 as we transition to annual licensing and maintenance costs of approximately $6 million per year through 2030.</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Credit Facility</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 November 2021, the Company entered into a revolving credit facility (the “2021 Credit Facility”). The 2021 Credit Facility provides for, among other things, (1) a revolving credit facility in an aggregate amount not to exceed at any time outstanding the amount of such lender’s commitment, (2) a letter of credit commitment in an amount equal to the lesser of (a) $10.0 million, and (b) the amount of the revolving credit facility as of such date, and (3) a swingline loan in an amount equal to the lesser of (a) $5.0 million, and (b) the amount of the revolving credit facility as of such date. The aggregate amount of all commitments of all lenders under the 2021 Credit Facility was initially $50.0 million. The 2021 Credit Facility contains restrictive covenants and has certain financial covenants, including a maximum rent-adjusted total leverage ratio and a minimum fixed charge ratio. The 2021 Credit Facility initially bore variable interest rates at the prevailing Bloomberg Short-Term Bank Yield index rate plus the applicable margin, whereas the applicable margin is adjusted quarterly based on the Company’s consolidated rent-adjusted total leverage ratio.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2022, the Company amended the 2021 Credit Facility to increase the revolving credit commitment thereunder by $25.0 million. After giving effect to such increase, the aggregate amount of all commitments under the 2021 Credit Facility was $75.0 million. </w:t>
      </w:r>
    </w:p>
    <w:p>
      <w:pPr>
        <w:pStyle w:val="TextBody"/>
        <w:bidi w:val="0"/>
        <w:spacing w:lineRule="auto" w:line="288" w:before="200" w:after="283"/>
        <w:jc w:val="left"/>
        <w:rPr/>
      </w:pPr>
      <w:r>
        <w:rPr>
          <w:rFonts w:ascii="Times New Roman;serif" w:hAnsi="Times New Roman;serif"/>
          <w:b w:val="false"/>
          <w:color w:val="000000"/>
          <w:sz w:val="20"/>
        </w:rPr>
        <w:t xml:space="preserve">In August 2024, the Company amended the 2021 Credit Facility to adjust the index rate from the Bloomberg Short-Term Bank Yield Index to Term Secured Overnight Financing Rate. The 2021 Credit Facility bears variable interest rates at the prevailing Term Secured Overnight Financing Rate plus the applicable margin (1.75% at </w:t>
      </w:r>
      <w:r>
        <w:rPr>
          <w:rFonts w:ascii="Times New Roman;serif" w:hAnsi="Times New Roman;serif"/>
          <w:b w:val="false"/>
          <w:color w:val="000000"/>
          <w:sz w:val="20"/>
          <w:shd w:fill="FFFFFF" w:val="clear"/>
        </w:rPr>
        <w:t>June 30, 2025</w:t>
      </w:r>
      <w:r>
        <w:rPr>
          <w:rFonts w:ascii="Times New Roman;serif" w:hAnsi="Times New Roman;serif"/>
          <w:b w:val="false"/>
          <w:color w:val="000000"/>
          <w:sz w:val="2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May 2025, the Company issued an irrevocable standby letter of credit under the 2021 Credit Facility in the amount of $5.1 million in connection with a lease, which remained outstanding at June 30, 2026.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October 2025, the Company entered into the Third Amendment to Credit Agreement and Amendment to Security and Pledge Agreement (the “Amendment”). The Amendment further amends the 2021 Credit Facility to, among other things, (1) extend the maturity date of the revolving credit facility from November 8, 2026 to October 17, 2030, and (2) increase the letter of credit commitment to an amount equal to the lesser of (a) $15 million, and (b) the amount of the revolving credit facility as of such date. After giving effect to the Amendment, the aggregate amount of revolving credit commitments under the Credit Agreement remains $75 million. The Company has the option to increase the revolving credit commitment thereunder by an additional $25 million. In connection with the Amendment, the Company has incurred approximately $0.2 million in debt issuance costs. The 2021 Credit Facility bears variable interest rates at the prevailing Term Secured Overnight Financing Rate plus the applicable margin (1.75% at June 30, 2026). At June 30, 2026 and December 31, 2025, we had no borrowings on the 2021 Credit Facility and the available borrowing capacity was $69.9 million and $69.9 million, respectively.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Refer to Note 4 —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to our condensed consolidated financial statements for further information on our 2021 Credit Facility.</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Cash Flow Analysis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summary of our cash provided by operating, investing and financing activities (amounts in thousands):</w:t>
      </w:r>
    </w:p>
    <w:tbl>
      <w:tblPr>
        <w:tblW w:w="8421" w:type="dxa"/>
        <w:jc w:val="left"/>
        <w:tblInd w:w="0" w:type="dxa"/>
        <w:tblLayout w:type="fixed"/>
        <w:tblCellMar>
          <w:top w:w="28" w:type="dxa"/>
          <w:left w:w="28" w:type="dxa"/>
          <w:bottom w:w="28" w:type="dxa"/>
          <w:right w:w="28" w:type="dxa"/>
        </w:tblCellMar>
      </w:tblPr>
      <w:tblGrid>
        <w:gridCol w:w="2014"/>
        <w:gridCol w:w="1773"/>
        <w:gridCol w:w="1778"/>
        <w:gridCol w:w="109"/>
        <w:gridCol w:w="109"/>
        <w:gridCol w:w="109"/>
        <w:gridCol w:w="211"/>
        <w:gridCol w:w="796"/>
        <w:gridCol w:w="109"/>
        <w:gridCol w:w="109"/>
        <w:gridCol w:w="109"/>
        <w:gridCol w:w="109"/>
        <w:gridCol w:w="211"/>
        <w:gridCol w:w="721"/>
        <w:gridCol w:w="154"/>
      </w:tblGrid>
      <w:tr>
        <w:trPr/>
        <w:tc>
          <w:tcPr>
            <w:tcW w:w="2014"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5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(41,622)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(28,795)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37,490 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cash provided by operating activities</w:t>
      </w:r>
    </w:p>
    <w:p>
      <w:pPr>
        <w:pStyle w:val="TextBody"/>
        <w:bidi w:val="0"/>
        <w:spacing w:lineRule="auto" w:line="288" w:before="200" w:after="283"/>
        <w:jc w:val="left"/>
        <w:rPr/>
      </w:pPr>
      <w:r>
        <w:rPr>
          <w:rFonts w:ascii="Times New Roman;serif" w:hAnsi="Times New Roman;serif"/>
          <w:b w:val="false"/>
          <w:i/>
          <w:color w:val="000000"/>
          <w:sz w:val="20"/>
        </w:rPr>
        <w:t xml:space="preserve">Comparison of the six months ended June 30, 2026 and </w:t>
      </w:r>
      <w:r>
        <w:rPr>
          <w:rFonts w:ascii="Times New Roman;serif" w:hAnsi="Times New Roman;serif"/>
          <w:b w:val="false"/>
          <w:i/>
          <w:color w:val="000000"/>
          <w:sz w:val="20"/>
          <w:shd w:fill="FFFFFF" w:val="clear"/>
        </w:rPr>
        <w:t>June 30,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 consist primarily of net income adjusted for non-cash items including depreciation and amortization, operating lease amortization, deferred income taxes, equity based compensation and the effect of changes in working capital and other activities.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provided by operating activities was $59.8 million and consisted of net income of $41.9 million adjusted for non-cash items of $76.6 million, which were partially offset by a decrease in working capital and other activities of $58.7 million. The use of cash from working capital was primarily driven by an increase in prepaid and other current assets of $38.2 million primarily due to the IEEPA tariff receivable, a decrease in operating lease liabilities of $35.2 million primarily due to payments made under the related lease agreements, an increase in merchandise inventory of $14.7 million, and a decrease in accounts payable $8.3 million, which was partially offset by an increase in client deposits of $27.8 million and a increase in accrued expenses of $8.1 million in the six months ended June 30, 2026.</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2025, n</w:t>
      </w:r>
      <w:r>
        <w:rPr>
          <w:rFonts w:ascii="Times New Roman;serif" w:hAnsi="Times New Roman;serif"/>
          <w:b w:val="false"/>
          <w:color w:val="000000"/>
          <w:sz w:val="20"/>
          <w:shd w:fill="FFFFFF" w:val="clear"/>
        </w:rPr>
        <w:t>et cash provided by operating activities was $81.4 million and consisted of net income of $39.9 million adjusted for non-cash items of $60.3 million, which were partially offset by a change in working capital and other activities of $18.8 million. The use of cash from working capital was primarily driven by a decrease in operating lease liabilities of $28.0 million primarily due to payments made under the related lease agreements and an increase in merchandise inventory of $14.1 million, which was partially offset by an increase in client deposits of $12.2 million, an increase in accrued expenses of $4.7 million, a decrease in prepaid and other assets of $4.4 million and an increase in</w:t>
      </w:r>
      <w:r>
        <w:rPr>
          <w:color w:val="000000"/>
        </w:rPr>
        <w:t xml:space="preserve"> </w:t>
      </w:r>
      <w:r>
        <w:rPr>
          <w:rFonts w:ascii="Times New Roman;serif" w:hAnsi="Times New Roman;serif"/>
          <w:b w:val="false"/>
          <w:color w:val="000000"/>
          <w:sz w:val="20"/>
          <w:shd w:fill="FFFFFF" w:val="clear"/>
        </w:rPr>
        <w:t xml:space="preserve">accounts payable of $1.8 million in the </w:t>
      </w:r>
      <w:r>
        <w:rPr>
          <w:rFonts w:ascii="Times New Roman;serif" w:hAnsi="Times New Roman;serif"/>
          <w:b w:val="false"/>
          <w:color w:val="000000"/>
          <w:sz w:val="20"/>
        </w:rPr>
        <w:t>six months ended June 30, 2025.</w:t>
      </w:r>
    </w:p>
    <w:p>
      <w:pPr>
        <w:pStyle w:val="TextBody"/>
        <w:bidi w:val="0"/>
        <w:spacing w:lineRule="auto" w:line="288" w:before="200" w:after="283"/>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Net cash used in investing activities</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Comparison of the six months ended June 30, 2026 and June 30, 2025</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 consist primarily of capital expenditures related to investments in Showrooms, vehicles, information technology and systems infrastructure, as well as supply chain investments.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For the six months ended June 30, 2026, net cash used in investing activities was $36.9 million primarily due to investments in Showrooms, investments in our supply chain, and information technology and systems infrastructure, which was partially offset by insurance proceeds for property, furniture, and equipment.</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2025</w:t>
      </w:r>
      <w:r>
        <w:rPr>
          <w:rFonts w:ascii="Times New Roman;serif" w:hAnsi="Times New Roman;serif"/>
          <w:b w:val="false"/>
          <w:color w:val="000000"/>
          <w:sz w:val="20"/>
          <w:shd w:fill="FFFFFF" w:val="clear"/>
        </w:rPr>
        <w:t xml:space="preserve">, net cash used in investing activities was $41.6 million </w:t>
      </w:r>
      <w:r>
        <w:rPr>
          <w:rFonts w:ascii="Times New Roman;serif" w:hAnsi="Times New Roman;serif"/>
          <w:b w:val="false"/>
          <w:color w:val="000000"/>
          <w:sz w:val="20"/>
        </w:rPr>
        <w:t>primarily due to investments in Showrooms, vehicles, investments in our supply chain, and information technology and systems infrastructure.</w:t>
      </w:r>
    </w:p>
    <w:p>
      <w:pPr>
        <w:pStyle w:val="TextBody"/>
        <w:bidi w:val="0"/>
        <w:spacing w:lineRule="auto" w:line="288" w:before="200" w:after="283"/>
        <w:jc w:val="left"/>
        <w:rPr>
          <w:rFonts w:ascii="Times New Roman;serif" w:hAnsi="Times New Roman;serif"/>
          <w:b w:val="false"/>
          <w:i/>
          <w:color w:val="000000"/>
          <w:sz w:val="20"/>
        </w:rPr>
      </w:pPr>
      <w:r>
        <w:rPr>
          <w:rFonts w:ascii="Times New Roman;serif" w:hAnsi="Times New Roman;serif"/>
          <w:b w:val="false"/>
          <w:i/>
          <w:color w:val="000000"/>
          <w:sz w:val="20"/>
        </w:rPr>
        <w:t>Capital Expenditures</w:t>
      </w:r>
    </w:p>
    <w:p>
      <w:pPr>
        <w:pStyle w:val="TextBody"/>
        <w:bidi w:val="0"/>
        <w:spacing w:lineRule="auto" w:line="288" w:before="200" w:after="283"/>
        <w:jc w:val="left"/>
        <w:rPr/>
      </w:pPr>
      <w:r>
        <w:rPr>
          <w:rFonts w:ascii="Times New Roman;serif" w:hAnsi="Times New Roman;serif"/>
          <w:b w:val="false"/>
          <w:color w:val="000000"/>
          <w:sz w:val="20"/>
        </w:rPr>
        <w:t>His</w:t>
      </w:r>
      <w:r>
        <w:rPr>
          <w:rFonts w:ascii="Times New Roman;serif" w:hAnsi="Times New Roman;serif"/>
          <w:b w:val="false"/>
          <w:color w:val="000000"/>
          <w:sz w:val="20"/>
          <w:shd w:fill="FFFFFF" w:val="clear"/>
        </w:rPr>
        <w:t>torically, we have invested significant capital expenditures in opening new Showrooms. These capital expenditures have increased in the past and may continue to increase in future periods as we open additional Showrooms. Our capital expenditures include expenditures related to investing activities and outflows of capital related to construction activities to design and build leasehold improvement assets. Certain lease arrangements require the landlord to fund a portion of the construction related costs through tenant improvement allowance payments directly to us. New Showrooms may require different levels of company-funded capital investment in the future.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 capital expenditures are summarized as follows (amounts in thousands):</w:t>
      </w:r>
    </w:p>
    <w:tbl>
      <w:tblPr>
        <w:tblW w:w="7461" w:type="dxa"/>
        <w:jc w:val="left"/>
        <w:tblInd w:w="0" w:type="dxa"/>
        <w:tblLayout w:type="fixed"/>
        <w:tblCellMar>
          <w:top w:w="28" w:type="dxa"/>
          <w:left w:w="28" w:type="dxa"/>
          <w:bottom w:w="28" w:type="dxa"/>
          <w:right w:w="28" w:type="dxa"/>
        </w:tblCellMar>
      </w:tblPr>
      <w:tblGrid>
        <w:gridCol w:w="1696"/>
        <w:gridCol w:w="1490"/>
        <w:gridCol w:w="1494"/>
        <w:gridCol w:w="109"/>
        <w:gridCol w:w="109"/>
        <w:gridCol w:w="109"/>
        <w:gridCol w:w="211"/>
        <w:gridCol w:w="721"/>
        <w:gridCol w:w="109"/>
        <w:gridCol w:w="109"/>
        <w:gridCol w:w="109"/>
        <w:gridCol w:w="109"/>
        <w:gridCol w:w="211"/>
        <w:gridCol w:w="721"/>
        <w:gridCol w:w="154"/>
      </w:tblGrid>
      <w:tr>
        <w:trPr/>
        <w:tc>
          <w:tcPr>
            <w:tcW w:w="1696"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68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36,900 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41,622 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Less: Landlord contributions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Total capital expenditures, net of landlord contributions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29,041 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pPr>
      <w:r>
        <w:rPr>
          <w:rFonts w:ascii="Times New Roman;serif" w:hAnsi="Times New Roman;serif"/>
          <w:b w:val="false"/>
          <w:color w:val="000000"/>
          <w:sz w:val="20"/>
          <w:shd w:fill="FFFFFF" w:val="clear"/>
        </w:rPr>
        <w:t>Total capital expenditures, net of landlord contributions</w:t>
      </w:r>
      <w:r>
        <w:rPr>
          <w:color w:val="000000"/>
        </w:rPr>
        <w:t xml:space="preserve"> </w:t>
      </w:r>
      <w:r>
        <w:rPr>
          <w:rFonts w:ascii="Times New Roman;serif" w:hAnsi="Times New Roman;serif"/>
          <w:b w:val="false"/>
          <w:color w:val="000000"/>
          <w:sz w:val="20"/>
        </w:rPr>
        <w:t>decreased by $1.4 million in the six months ended June 30, 2026 compared to the six months ended June 30, 2025.</w:t>
      </w:r>
    </w:p>
    <w:p>
      <w:pPr>
        <w:pStyle w:val="TextBody"/>
        <w:bidi w:val="0"/>
        <w:spacing w:lineRule="auto" w:line="288" w:before="200" w:after="283"/>
        <w:jc w:val="left"/>
        <w:rPr/>
      </w:pPr>
      <w:r>
        <w:rPr>
          <w:rFonts w:ascii="Times New Roman;serif" w:hAnsi="Times New Roman;serif"/>
          <w:b w:val="false"/>
          <w:color w:val="000000"/>
          <w:sz w:val="20"/>
        </w:rPr>
        <w:t>We anticipate our total capital expenditures, net of landlord contributions to be between $70 million and $90 million</w:t>
      </w:r>
      <w:r>
        <w:rPr>
          <w:color w:val="000000"/>
        </w:rPr>
        <w:t xml:space="preserve"> </w:t>
      </w:r>
      <w:r>
        <w:rPr>
          <w:rFonts w:ascii="Times New Roman;serif" w:hAnsi="Times New Roman;serif"/>
          <w:b w:val="false"/>
          <w:color w:val="000000"/>
          <w:sz w:val="20"/>
        </w:rPr>
        <w:t>in fiscal year 2026, primarily related to new Showrooms and information technology and systems infrastructure.</w:t>
      </w:r>
    </w:p>
    <w:p>
      <w:pPr>
        <w:pStyle w:val="TextBody"/>
        <w:bidi w:val="0"/>
        <w:spacing w:lineRule="auto" w:line="288" w:before="200" w:after="283"/>
        <w:jc w:val="left"/>
        <w:rPr>
          <w:rFonts w:ascii="Times New Roman;serif" w:hAnsi="Times New Roman;serif"/>
          <w:b/>
          <w:i/>
          <w:color w:val="000000"/>
          <w:sz w:val="20"/>
        </w:rPr>
      </w:pPr>
      <w:r>
        <w:rPr>
          <w:rFonts w:ascii="Times New Roman;serif" w:hAnsi="Times New Roman;serif"/>
          <w:b/>
          <w:i/>
          <w:color w:val="000000"/>
          <w:sz w:val="20"/>
        </w:rPr>
        <w:t>Net cash used in financing activities</w:t>
      </w:r>
    </w:p>
    <w:p>
      <w:pPr>
        <w:pStyle w:val="TextBody"/>
        <w:bidi w:val="0"/>
        <w:spacing w:lineRule="auto" w:line="288" w:before="200" w:after="283"/>
        <w:jc w:val="left"/>
        <w:rPr/>
      </w:pPr>
      <w:r>
        <w:rPr>
          <w:rFonts w:ascii="Times New Roman;serif" w:hAnsi="Times New Roman;serif"/>
          <w:b w:val="false"/>
          <w:i/>
          <w:color w:val="000000"/>
          <w:sz w:val="20"/>
          <w:shd w:fill="FFFFFF" w:val="clear"/>
        </w:rPr>
        <w:t xml:space="preserve">Comparison of the </w:t>
      </w:r>
      <w:r>
        <w:rPr>
          <w:rFonts w:ascii="Times New Roman;serif" w:hAnsi="Times New Roman;serif"/>
          <w:b w:val="false"/>
          <w:i/>
          <w:color w:val="000000"/>
          <w:sz w:val="20"/>
        </w:rPr>
        <w:t xml:space="preserve">six months ended June 30, 2026 and </w:t>
      </w:r>
      <w:r>
        <w:rPr>
          <w:rFonts w:ascii="Times New Roman;serif" w:hAnsi="Times New Roman;serif"/>
          <w:b w:val="false"/>
          <w:i/>
          <w:color w:val="000000"/>
          <w:sz w:val="20"/>
          <w:shd w:fill="FFFFFF" w:val="clear"/>
        </w:rPr>
        <w:t>June 30, 2025</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For the </w:t>
      </w:r>
      <w:r>
        <w:rPr>
          <w:rFonts w:ascii="Times New Roman;serif" w:hAnsi="Times New Roman;serif"/>
          <w:b w:val="false"/>
          <w:color w:val="000000"/>
          <w:sz w:val="20"/>
        </w:rPr>
        <w:t>six months ended June 30, 2026</w:t>
      </w:r>
      <w:r>
        <w:rPr>
          <w:rFonts w:ascii="Times New Roman;serif" w:hAnsi="Times New Roman;serif"/>
          <w:b w:val="false"/>
          <w:color w:val="000000"/>
          <w:sz w:val="20"/>
          <w:shd w:fill="FFFFFF" w:val="clear"/>
        </w:rPr>
        <w:t>, net cash used in financing activities wa</w:t>
      </w:r>
      <w:r>
        <w:rPr>
          <w:rFonts w:ascii="Times New Roman;serif" w:hAnsi="Times New Roman;serif"/>
          <w:b w:val="false"/>
          <w:color w:val="000000"/>
          <w:sz w:val="20"/>
        </w:rPr>
        <w:t>s $51.7 million primarily due to the payment of the special dividend on our Class A and Class B common stock.</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For the six months ended June 30, 2025, net cash used in financing activities was $2.3 million primarily due to the repurchase of shares for payment of withholding taxes for equity based compensation</w:t>
      </w:r>
      <w:r>
        <w:rPr>
          <w:rFonts w:ascii="Times New Roman;serif" w:hAnsi="Times New Roman;serif"/>
          <w:b w:val="false"/>
          <w:color w:val="000000"/>
          <w:sz w:val="20"/>
          <w:shd w:fill="FFFFFF" w:val="clear"/>
        </w:rPr>
        <w:t>. These shares were not repurchased in connection with any publicly announced share repurchase programs.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Estimates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Accounting policies and estimates are considered critical when they require management to make subjective and complex judgments, estimates and assumptions about matters that have a material impact on the presentation of our financial statements and accompanying notes. For a description of our critical accounting policies and estimates, see Part II, Item 7 “Management’s Discussion and Analysis of Financial Condition and Results of Operations — Critical Accounting Policies and Estimates”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See Note </w:t>
      </w:r>
      <w:r>
        <w:rPr>
          <w:rFonts w:ascii="Times New Roman;serif" w:hAnsi="Times New Roman;serif"/>
          <w:b w:val="false"/>
          <w:color w:val="000000"/>
          <w:sz w:val="20"/>
        </w:rPr>
        <w:t>2</w:t>
      </w:r>
      <w:r>
        <w:rPr>
          <w:color w:val="000000"/>
          <w:shd w:fill="FFFFFF" w:val="clear"/>
        </w:rPr>
        <w:t xml:space="preserve"> — </w:t>
      </w:r>
      <w:r>
        <w:rPr>
          <w:rFonts w:ascii="Times New Roman;serif" w:hAnsi="Times New Roman;serif"/>
          <w:b w:val="false"/>
          <w:i/>
          <w:color w:val="000000"/>
          <w:sz w:val="20"/>
          <w:shd w:fill="FFFFFF" w:val="clear"/>
        </w:rPr>
        <w:t xml:space="preserve">Recently Issued Accounting Standards </w:t>
      </w:r>
      <w:r>
        <w:rPr>
          <w:rFonts w:ascii="Times New Roman;serif" w:hAnsi="Times New Roman;serif"/>
          <w:b w:val="false"/>
          <w:color w:val="000000"/>
          <w:sz w:val="20"/>
          <w:shd w:fill="FFFFFF" w:val="clear"/>
        </w:rPr>
        <w:t>to our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Quantitative and Qualitative Disclosures About Market Risk</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are exposed to market risks, which include changes in United States interest rates, foreign currency exchange rate fluctuations and the effects of economic uncertainty, which may affect the prices we pay our vendors in the foreign countries in which we do business. We do not engage in financial transactions for trading or speculative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Foreign Currency Exchange Risk</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We believe foreign currency exchange rate fluctuations do not contain significant market risk to us due to the nature of our relationships with our vendors outside of the United States. We purchase the majority of our inventory from vendors outside of the United States in transactions that are primarily denominated in U.S. dollars and, as such, any foreign currency impact related to these international purchase transactions was not significant to us for the </w:t>
      </w:r>
      <w:r>
        <w:rPr>
          <w:rFonts w:ascii="Times New Roman;serif" w:hAnsi="Times New Roman;serif"/>
          <w:b w:val="false"/>
          <w:color w:val="000000"/>
          <w:sz w:val="20"/>
        </w:rPr>
        <w:t>six and</w:t>
      </w:r>
      <w:r>
        <w:rPr>
          <w:color w:val="000000"/>
          <w:shd w:fill="FFFFFF" w:val="clear"/>
        </w:rPr>
        <w:t xml:space="preserve"> </w:t>
      </w:r>
      <w:r>
        <w:rPr>
          <w:rFonts w:ascii="Times New Roman;serif" w:hAnsi="Times New Roman;serif"/>
          <w:b w:val="false"/>
          <w:color w:val="000000"/>
          <w:sz w:val="20"/>
          <w:shd w:fill="FFFFFF" w:val="clear"/>
        </w:rPr>
        <w:t>three months ended June 30, 2026 and June 30, 2025, respectively. However, since we pay for the majority of our international purchases in U.S. dollars, a decline in the U.S. dollar relative to other foreign currencies would subject us to risks associated with increased purchasing costs from our vendors. We cannot predict with certainty the effect these increased costs may have on our financial statements or results of operations. We currently do not use derivative instruments to manage this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Interest Rate Risk</w:t>
      </w:r>
    </w:p>
    <w:p>
      <w:pPr>
        <w:pStyle w:val="TextBody"/>
        <w:bidi w:val="0"/>
        <w:spacing w:lineRule="auto" w:line="288" w:before="200" w:after="283"/>
        <w:jc w:val="left"/>
        <w:rPr/>
      </w:pPr>
      <w:r>
        <w:rPr>
          <w:rFonts w:ascii="Times New Roman;serif" w:hAnsi="Times New Roman;serif"/>
          <w:b w:val="false"/>
          <w:color w:val="000000"/>
          <w:sz w:val="20"/>
        </w:rPr>
        <w:t xml:space="preserve">We are primarily exposed to interest rate risk with respect to borrowing under our 2021 Credit Facility. Except for the $5.1 million irrevocable standby letter of credit issued in May 2025 as discussed in Note 4 — </w:t>
      </w:r>
      <w:r>
        <w:rPr>
          <w:rFonts w:ascii="Times New Roman;serif" w:hAnsi="Times New Roman;serif"/>
          <w:b w:val="false"/>
          <w:i/>
          <w:color w:val="000000"/>
          <w:sz w:val="20"/>
        </w:rPr>
        <w:t>Debt</w:t>
      </w:r>
      <w:r>
        <w:rPr>
          <w:color w:val="000000"/>
        </w:rPr>
        <w:t xml:space="preserve"> </w:t>
      </w:r>
      <w:r>
        <w:rPr>
          <w:rFonts w:ascii="Times New Roman;serif" w:hAnsi="Times New Roman;serif"/>
          <w:b w:val="false"/>
          <w:color w:val="000000"/>
          <w:sz w:val="20"/>
        </w:rPr>
        <w:t>to our condensed consolidated financial statements, we have no borrowings under the 2021 Credit Facility as of June 30, 2026.</w:t>
      </w:r>
      <w:r>
        <w:rPr>
          <w:color w:val="000000"/>
          <w:shd w:fill="FFFFFF" w:val="clear"/>
        </w:rPr>
        <w:t xml:space="preserve"> </w:t>
      </w:r>
      <w:r>
        <w:rPr>
          <w:rFonts w:ascii="Times New Roman;serif" w:hAnsi="Times New Roman;serif"/>
          <w:b w:val="false"/>
          <w:color w:val="000000"/>
          <w:sz w:val="20"/>
          <w:shd w:fill="FFFFFF" w:val="clear"/>
        </w:rPr>
        <w:t>Based on the interest rate in the 2021 Credit Facility and to the extent borrowings were outstanding, we do not believe a 100 basis point change in interest rates would have a material impact on our financial condition or results of operations for the periods presented. We currently do not use derivative instruments to manage this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Impact of Inflation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Inflation generally affects us by increasing our cost of labor, material, transportation, and our general costs. We have historically been able to recover these cost increases through price increases. However, we cannot reasonably estimate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12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ability to successfully recover any impact of inflation through price increases in the future. We currently do not use derivative instruments to manage this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Management, with the participation of our CEO and Chief Financial Officer (“CFO”), evaluated the effectiveness of the design and operation of our disclosure controls and procedures (as defined in Rules 13a-15(e) and 15d-15(e) of the Securities Exchange Act of 1934 (“Exchange Act”)) as of June 30, 2026. Based upon that evaluation as of June 30, 2026, our CEO and CFO have concluded that our disclosure controls and procedures were not effective at the reasonable assurance level because of the material weaknesses in our internal control over financial reporting described below.</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Despite these material weaknesses, our CEO and CFO concluded the financial statements were prepared in accordance with U.S. GAAP.</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Material Weaknesses in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A material weakness is a deficiency, or a combination of deficiencies, in internal control over financial reporting (“ICFR”), such that there is a reasonable possibility that a material misstatement of a company’s annual or interim financial statements will not be prevented or detected on a timely basis. We identified the following material weaknesses in our ICFR.</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We did not design and maintain an effective control environment due to a lack of an appropriate level of experience and training related to internal control over financial reporting. Additionally, the lack of experience and training resulted in an inability to consistently establish appropriate authorities and responsibilities in pursuit of our financial reporting objectives, as demonstrated by, amongst other things, insufficient segregation of duties across our significant business processes. This material weakness contributed to the following additional material weakness.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We did not design and maintain sufficient accounting policies, procedures and controls, or maintain adequate documentary evidence of existing control activities over significant accounts and disclosures to achieve complete, accurate and timely financial accounting, reporting and disclosures, including adequate controls over the period-end financial reporting process and the preparation and review of journal entries, including assessing the reliability of reports and spreadsheets used in controls.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These material weaknesses resulted in a restatement of our previously issued annual consolidated financial statements as of and for the years ended December 31, 2020 and 2019 principally related to selling, general and administrative expenses and other long-term liabilities, and misclassifications in the balance sheets and statements of comprehensive income. These material weaknesses also resulted in immaterial adjustments recorded prior to the issuance of the consolidated financial statements as of and for the year ended December 31, 2021 principally related to property, furniture and equipment, net; selling, general and administrative expenses and misclassifications in the balance sheet and statement of cash flows. </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In preparation of the December 31, 2023 consolidated financial statements and in preparation of the March 31, 2024 condensed consolidated financial statements, these material weaknesses resulted in restatements as of and for the interim period ended September 30, 2023 and revisions as of and for the annual periods ended December 31, 2023, 2022 and 2021, and as of and for the interim periods ended June 30, 2023, March 31, 2023, December 31, 2022, September 30, 2022, June 30, 2022 and March 31, 2022, principally related to prepaid and other current assets, property, furniture and equipment, net and operating lease liabilities, which resulted in misclassifications in the balance sheets and statements of cash flows and the timely recording of liabilities, operating right-of-use assets and operating lease liabilities. There were also immaterial misstatements. Additionally, each of the material weaknesses could result in misstatements to substantially all of our accounts or disclosures, that would result in a material misstatement to the annual or interim consolidated financial statements that would not be prevented or detected.</w:t>
      </w:r>
    </w:p>
    <w:p>
      <w:pPr>
        <w:pStyle w:val="TextBody"/>
        <w:bidi w:val="0"/>
        <w:spacing w:lineRule="auto" w:line="288" w:before="200" w:after="283"/>
        <w:ind w:left="0" w:right="0" w:hanging="360"/>
        <w:jc w:val="left"/>
        <w:rPr/>
      </w:pPr>
      <w:r>
        <w:rPr>
          <w:color w:val="000000"/>
        </w:rPr>
        <w:t>•</w:t>
      </w:r>
      <w:r>
        <w:rPr>
          <w:rFonts w:ascii="Times New Roman;serif" w:hAnsi="Times New Roman;serif"/>
          <w:b w:val="false"/>
          <w:color w:val="000000"/>
          <w:sz w:val="20"/>
        </w:rPr>
        <w:t xml:space="preserve">Lastly, we did not design and maintain effective controls over information technology (“IT”) general controls for information systems that are relevant to the preparation of our financial statements. Specifically, we did not design and maintain: (i) program change management controls for financial systems to ensure that information technology program and data changes affecting financial applications and underlying accounting records are identified, tested, authorized and implemented appropriately; (ii) user access controls to ensure appropriate segregation of duties and that adequately restrict user and privileged access to financial applications, programs, and data to appropriate Company personnel; (iii) computer operations controls to ensure that critical batch jobs are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12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monitored and data backups are authorized and monitored; and (iv) testing and approval controls for program development to ensure that new software development is aligned with business and IT requirements.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These IT deficiencies did not result in material adjustments to our consolidated financial statements, however, the deficiencies, when aggregated, could impact maintaining effective segregation of duties, as well as the effectiveness of IT-dependent controls (such as automated controls that address the risk of material misstatement to one or more assertions, along with the IT controls and underlying data that support the effectiveness of system-generated data and reports) that could result in misstatements potentially impacting all financial statement accounts and disclosures that would not be prevented or detected. Accordingly, management has determined these IT deficiencies in the aggregate constitute a material weakness.</w:t>
      </w: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Remediation Activities</w:t>
      </w:r>
    </w:p>
    <w:p>
      <w:pPr>
        <w:pStyle w:val="TextBody"/>
        <w:bidi w:val="0"/>
        <w:spacing w:lineRule="auto" w:line="288" w:before="200" w:after="200"/>
        <w:jc w:val="left"/>
        <w:rPr/>
      </w:pPr>
      <w:r>
        <w:rPr>
          <w:rFonts w:ascii="Times New Roman;serif" w:hAnsi="Times New Roman;serif"/>
          <w:b w:val="false"/>
          <w:color w:val="000000"/>
          <w:sz w:val="20"/>
        </w:rPr>
        <w:t xml:space="preserve">As of June 30, 2026, </w:t>
      </w:r>
      <w:r>
        <w:rPr>
          <w:rFonts w:ascii="Times New Roman;serif" w:hAnsi="Times New Roman;serif"/>
          <w:b w:val="false"/>
          <w:color w:val="000000"/>
          <w:sz w:val="20"/>
          <w:shd w:fill="FFFFFF" w:val="clear"/>
        </w:rPr>
        <w:t>the previously disclosed material weakness related to not designing and maintaining effective controls to address the identification of and accounting for certain non-routine or complex transactions, including the proper application of U.S. GAAP of such transactions was r</w:t>
      </w:r>
      <w:r>
        <w:rPr>
          <w:rFonts w:ascii="Times New Roman;serif" w:hAnsi="Times New Roman;serif"/>
          <w:b w:val="false"/>
          <w:color w:val="000000"/>
          <w:sz w:val="20"/>
        </w:rPr>
        <w:t>emediated through</w:t>
      </w:r>
      <w:r>
        <w:rPr>
          <w:color w:val="000000"/>
          <w:shd w:fill="FFFFFF" w:val="clear"/>
        </w:rPr>
        <w:t xml:space="preserve"> </w:t>
      </w:r>
      <w:r>
        <w:rPr>
          <w:rFonts w:ascii="Times New Roman;serif" w:hAnsi="Times New Roman;serif"/>
          <w:b w:val="false"/>
          <w:color w:val="000000"/>
          <w:sz w:val="20"/>
          <w:shd w:fill="FFFFFF" w:val="clear"/>
        </w:rPr>
        <w:t>the following</w:t>
      </w:r>
      <w:r>
        <w:rPr>
          <w:rFonts w:ascii="Times New Roman;serif" w:hAnsi="Times New Roman;serif"/>
          <w:b w:val="false"/>
          <w:color w:val="000000"/>
          <w:sz w:val="20"/>
        </w:rPr>
        <w:t>:</w:t>
      </w:r>
    </w:p>
    <w:p>
      <w:pPr>
        <w:pStyle w:val="TextBody"/>
        <w:bidi w:val="0"/>
        <w:spacing w:lineRule="auto" w:line="28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Hired and retained personnel with the knowledge and experience to identify and account for non-routine or </w:t>
      </w:r>
      <w:r>
        <w:rPr>
          <w:rFonts w:ascii="Times New Roman;serif" w:hAnsi="Times New Roman;serif"/>
          <w:b w:val="false"/>
          <w:color w:val="000000"/>
          <w:sz w:val="20"/>
        </w:rPr>
        <w:t>complex transactions, including the proper application of U.S. GAAP to such transactions.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Enhanced company policies related to review of significant contracts prior to execution for critical accounting terms.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Enhanced controls over non-routine or complex transactions to ensure a complete and accurate population of transactions to validate proper application of U.S. GAAP for such transactions.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With the oversight of senior management and our Audit Committee, we continue to assess, implement and redesign our ICFR. Although the material weaknesses existing as of </w:t>
      </w:r>
      <w:r>
        <w:rPr>
          <w:rFonts w:ascii="Times New Roman;serif" w:hAnsi="Times New Roman;serif"/>
          <w:b w:val="false"/>
          <w:color w:val="000000"/>
          <w:sz w:val="20"/>
        </w:rPr>
        <w:t xml:space="preserve">June 30, 2026 cannot be </w:t>
      </w:r>
      <w:r>
        <w:rPr>
          <w:rFonts w:ascii="Times New Roman;serif" w:hAnsi="Times New Roman;serif"/>
          <w:b w:val="false"/>
          <w:color w:val="000000"/>
          <w:sz w:val="20"/>
          <w:shd w:fill="FFFFFF" w:val="clear"/>
        </w:rPr>
        <w:t>considered remediated until the related controls have operated effectively for a sufficient period of time and have been tested, we have made meaningful progress and continue to execute our remediation plan, including:</w:t>
      </w:r>
    </w:p>
    <w:p>
      <w:pPr>
        <w:pStyle w:val="TextBody"/>
        <w:bidi w:val="0"/>
        <w:spacing w:before="200" w:after="283"/>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Established a cross functional taskforce of senior leaders with expertise in designing and implementing internal controls to oversee remediation activities. The taskforce is responsible for the oversight of our remediation plan including development of actions plans for individual control deficiencies.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Established regular meetings between senior management and members of the Audit Committee to discuss and report on remediation progress and objectives. Additionally, progress updates are regularly provided to the Board of Directors.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Outsourced our internal audit department to a third-party service firm and transitioned our former internal audit department to our business process improvement function, which is assisting with control design, implementation, and remediation execution.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Evaluated and enhanced the accounting organization by assessing personnel competency and capacity, hired additional qualified technical accounting, financial reporting, and lease accounting experts (including senior level leaders), and strengthened training, oversight, and the internal review processes to ensure the team possesses the appropriate knowledge and experience to design, execute, and oversee ICFR related activities.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Assessed and continue to evaluate the IT function to ensure that it is adequately staffed with personnel possessing the necessary ICFR related knowledge and competencies. Significant personnel additions have been made within our IT department and across the organization, including executive and senior level hires.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Hired and continue to hire additional personnel to enhance the segregation of duties in the IT department, particularly between IT development and IT operations.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 multi-year company-wide initiative has begun to modernize the Company’s IT infrastructure to be capable of streamlining many of our manual financial reporting processes, enhancing our information technology control environment and mitigating the underlying internal control gaps and limitations that cannot be remediated within current systems.</w:t>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rPr>
        <w:t>Conducting and continuing to conduct trainings for control owners and performers on key ICFR topics including, but not limited to:</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user access review completion;</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 xml:space="preserve">review and conclusions around Systems and Organization Control I (“SOC1”) reports; </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 xml:space="preserve">software used in accounting; </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 xml:space="preserve">validation of the system generated data used in the execution of a control; </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 xml:space="preserve">account reconciliation formats and required support;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12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 xml:space="preserve">journal entry review and support; and </w:t>
      </w:r>
    </w:p>
    <w:p>
      <w:pPr>
        <w:pStyle w:val="TextBody"/>
        <w:bidi w:val="0"/>
        <w:spacing w:lineRule="auto" w:line="259" w:before="0" w:after="0"/>
        <w:ind w:left="0" w:right="0" w:hanging="360"/>
        <w:jc w:val="left"/>
        <w:rPr/>
      </w:pPr>
      <w:r>
        <w:rPr>
          <w:color w:val="000000"/>
        </w:rPr>
        <w:t>–</w:t>
      </w:r>
      <w:r>
        <w:rPr>
          <w:rFonts w:ascii="Times New Roman;serif" w:hAnsi="Times New Roman;serif"/>
          <w:b w:val="false"/>
          <w:color w:val="000000"/>
          <w:sz w:val="20"/>
        </w:rPr>
        <w:t>maintaining evidence of control support.</w:t>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rPr>
        <w:t>Enhanced communications to employees regarding our internal control environment and related expectations. We continue to take steps to ensure personnel both existing and newly hired are adequately trained with the appropriate level of knowledge and understanding of ICFR and its importance.</w:t>
      </w:r>
    </w:p>
    <w:p>
      <w:pPr>
        <w:pStyle w:val="TextBody"/>
        <w:bidi w:val="0"/>
        <w:spacing w:lineRule="auto" w:line="268" w:before="0" w:after="0"/>
        <w:ind w:left="0" w:right="0" w:hanging="360"/>
        <w:jc w:val="left"/>
        <w:rPr/>
      </w:pPr>
      <w:r>
        <w:rPr>
          <w:color w:val="000000"/>
          <w:shd w:fill="FFFFFF" w:val="clear"/>
        </w:rPr>
        <w:t>•</w:t>
      </w:r>
      <w:r>
        <w:rPr>
          <w:rFonts w:ascii="Times New Roman;serif" w:hAnsi="Times New Roman;serif"/>
          <w:b w:val="false"/>
          <w:color w:val="000000"/>
          <w:sz w:val="20"/>
          <w:shd w:fill="FFFFFF" w:val="clear"/>
        </w:rPr>
        <w:t xml:space="preserve">Updated our policies and procedures to establish and maintain effective segregation of duties for our accounting staff in relation to journal entries, reconciliations </w:t>
      </w:r>
      <w:r>
        <w:rPr>
          <w:rFonts w:ascii="Times New Roman;serif" w:hAnsi="Times New Roman;serif"/>
          <w:b w:val="false"/>
          <w:color w:val="000000"/>
          <w:sz w:val="20"/>
        </w:rPr>
        <w:t>and other applicable processes. To supplement existing procedures, management implemented an account reconciliation software tool which increased the reliability around the monthly financial statement close procedures through utilization of period-end closing task checklists and standardized reconciliation processes.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Designed and implemented formal processes, policies and procedures to support our financial close process, including but not limited to:</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formalized procedures over the review of our financial statements;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implemented period-end closing task checklists; and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standardized reconciliation process.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Management will continue to evaluate and refine its financial statement close process to enhance processes around the preparation and review of journal entries, including assessing the reliability of reports and spreadsheets used in controls. Enhanced the design of the control activities over the review of our consolidated balance sheet and statement of cash flows to help ensure that the classification of operating and investing activities is appropriately presented in the statement of cash flows.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Designed and implemented policies and procedures, including but not limited to:</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lease accounting;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revenue recognition;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inventory;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goodwill and other long-lived assets;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fixed assets and software capitalization;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merchandise warranties; and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income taxes.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Continued to enhance the design and operation of user access control activities and procedures to help ensure access to IT applications and data is adequately restricted to appropriate personnel, including the implementation of user and privileged access reviews, password policy enforcement and user provisioning and deprovisioning.</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Continued designing and implementing additional program change management policies and procedures, control activities, and tools to help ensure that changes affecting key financial systems related to IT applications and underlying accounting records are identified, authorized, tested, and implemented appropriately.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Designed and implemented a formal systems development lifecycle methodology and related program development controls to help ensure that significant IT change events are appropriately tested and approved. These controls will need to operate for a period of time and be tested for operating effectiveness.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Continued to enhance the design and operation of control activities and procedures within the computer operations domain to help ensure that key batch jobs and interfaces are monitored, processing failures are adequately resolved, and recovery capability is tested.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Continued to enhance data backup procedures to help ensure that systems are adequately backed up and maintained and recovery of data from backups is tested.</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Continued identifying, evaluating and began testing key IT dependencies including key reports, automated application controls, interfaces and end user computer operations.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have developed and will continue to evaluate our plan, we are in the process of implementing internal controls to remediate the material weaknesses and believe, based on our evaluation to date, that the material weaknesses will be remediated as soon as is practicable, we cannot project a specific timeline on when the plan will be fully implemented. The material weaknesses will not be remediated until the necessary internal controls have been designed, implemented, tested and determined to be operating effectively. In addition, we may need to take additional measures to address the material weaknesses or modify the planned remediation steps, and we cannot be certain that the measures we have taken, and expect to take, to improve our internal controls will be sufficient to address the issues identified, to ensure that our internal controls are effective or to ensure that the identified material weaknesses will not result in a material misstatement of our consolidated financial statements. Moreover, we cannot provide assurance that we will not identify additional material weaknesses in our ICFR in the future. Until we remediate the material weaknesses, our ability to record, process and report financial information accurately, and to prepare our consolidated financial statements within the time periods specified by the rules and forms of the SEC, could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12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There were no changes to our internal control over financial reporting during the three months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12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From time to time, we have and we may become involved in legal proceedings arising in the ordinary course of business, including claims related to our employment practices, claims of intellectual property infringement and claims related to personal injuries and product liability for the products that we sell and in the Showrooms we operate. Any claims could result in litigation against us and could result in regulatory proceedings being brought against us by various federal and state agencies that regulate our business. Defending such litigation is costly and can impose significant burdens on management and employees. Further, we could receive unfavorable preliminary or interim rulings in the course of litigation, and there can be no assurance that favorable final outcomes will be obtained.</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We are currently not a party to any legal proceedings, the outcome of which, if determined adversely to us, would individually or in the aggregate have a material adverse effect on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jc w:val="both"/>
        <w:rPr/>
      </w:pPr>
      <w:r>
        <w:rPr>
          <w:rFonts w:ascii="Times New Roman;serif" w:hAnsi="Times New Roman;serif"/>
          <w:b w:val="false"/>
          <w:color w:val="000000"/>
          <w:sz w:val="20"/>
          <w:shd w:fill="FFFFFF" w:val="clear"/>
        </w:rPr>
        <w:t>There have been no material changes from the risk factors disclosed in Part I, Item 1A “Risk Factors” in our Annual Report on Form 10-K for the year ended December 31, 2025</w:t>
      </w:r>
      <w:r>
        <w:rPr>
          <w:rFonts w:ascii="Times New Roman;serif" w:hAnsi="Times New Roman;serif"/>
          <w:b w:val="false"/>
          <w:color w:val="000000"/>
          <w:sz w:val="20"/>
        </w:rPr>
        <w: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2. Unregistered Sales of Equity Securities and Use of Proceeds</w:t>
      </w:r>
    </w:p>
    <w:p>
      <w:pPr>
        <w:pStyle w:val="TextBody"/>
        <w:bidi w:val="0"/>
        <w:spacing w:lineRule="auto" w:line="288" w:before="200" w:after="283"/>
        <w:jc w:val="left"/>
        <w:rPr/>
      </w:pPr>
      <w:r>
        <w:rPr>
          <w:rFonts w:ascii="Times New Roman;serif" w:hAnsi="Times New Roman;serif"/>
          <w:b w:val="false"/>
          <w:color w:val="000000"/>
          <w:sz w:val="20"/>
          <w:shd w:fill="FFFFFF" w:val="clear"/>
        </w:rPr>
        <w:t xml:space="preserve">The following table contains information with respect to repurchases of shares made by the Company during the </w:t>
      </w:r>
      <w:r>
        <w:rPr>
          <w:rFonts w:ascii="Times New Roman;serif" w:hAnsi="Times New Roman;serif"/>
          <w:b w:val="false"/>
          <w:color w:val="000000"/>
          <w:sz w:val="20"/>
        </w:rPr>
        <w:t>three months ended June 30, 2026</w:t>
      </w:r>
      <w:r>
        <w:rPr>
          <w:rFonts w:ascii="Times New Roman;serif" w:hAnsi="Times New Roman;serif"/>
          <w:b w:val="false"/>
          <w:color w:val="000000"/>
          <w:sz w:val="20"/>
          <w:shd w:fill="FFFFFF" w:val="clear"/>
        </w:rPr>
        <w:t>. The table reflects shares delivered to the Company by employees to satisfy tax withholding obligations due upon the vesting of performance stock units and restricted stock units. These shares were not repurchased in connection with any publicly announced share repurchase programs.</w:t>
      </w:r>
    </w:p>
    <w:tbl>
      <w:tblPr>
        <w:tblW w:w="10205" w:type="dxa"/>
        <w:jc w:val="left"/>
        <w:tblInd w:w="0" w:type="dxa"/>
        <w:tblLayout w:type="fixed"/>
        <w:tblCellMar>
          <w:top w:w="28" w:type="dxa"/>
          <w:left w:w="28" w:type="dxa"/>
          <w:bottom w:w="28" w:type="dxa"/>
          <w:right w:w="28" w:type="dxa"/>
        </w:tblCellMar>
      </w:tblPr>
      <w:tblGrid>
        <w:gridCol w:w="276"/>
        <w:gridCol w:w="243"/>
        <w:gridCol w:w="244"/>
        <w:gridCol w:w="109"/>
        <w:gridCol w:w="109"/>
        <w:gridCol w:w="109"/>
        <w:gridCol w:w="616"/>
        <w:gridCol w:w="481"/>
        <w:gridCol w:w="482"/>
        <w:gridCol w:w="109"/>
        <w:gridCol w:w="109"/>
        <w:gridCol w:w="109"/>
        <w:gridCol w:w="378"/>
        <w:gridCol w:w="917"/>
        <w:gridCol w:w="197"/>
        <w:gridCol w:w="109"/>
        <w:gridCol w:w="109"/>
        <w:gridCol w:w="109"/>
        <w:gridCol w:w="727"/>
        <w:gridCol w:w="727"/>
        <w:gridCol w:w="730"/>
        <w:gridCol w:w="109"/>
        <w:gridCol w:w="109"/>
        <w:gridCol w:w="109"/>
        <w:gridCol w:w="786"/>
        <w:gridCol w:w="1511"/>
        <w:gridCol w:w="582"/>
      </w:tblGrid>
      <w:tr>
        <w:trPr/>
        <w:tc>
          <w:tcPr>
            <w:tcW w:w="27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7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Weighted 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Approximate dollar value of shares that may yet be purchased under publicly announced plans</w:t>
            </w:r>
          </w:p>
        </w:tc>
      </w:tr>
      <w:tr>
        <w:trPr/>
        <w:tc>
          <w:tcPr>
            <w:tcW w:w="7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110,154 </w:t>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6.47 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12,857 </w:t>
            </w:r>
          </w:p>
        </w:tc>
        <w:tc>
          <w:tcPr>
            <w:tcW w:w="4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1,131 </w:t>
            </w:r>
          </w:p>
        </w:tc>
        <w:tc>
          <w:tcPr>
            <w:tcW w:w="4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124,142 </w:t>
            </w:r>
          </w:p>
        </w:tc>
        <w:tc>
          <w:tcPr>
            <w:tcW w:w="4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5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3. Defaults Upon Senior Securities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4. Mine Safety Disclosures</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executive officers adopted, modified or terminated any contract, instruction or written plan for the purchase or sale of our securities that was intended to satisfy the affirmative defense conditions of Rule 10b5-1(c) or any “non-Rule 10b5-1 trading arrangement” as defined in Item 408(c)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bookmarkStart w:id="1" w:name="if2e3cbba529748ca8684c3059e30cbdd_400"/>
      <w:bookmarkEnd w:id="1"/>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85"/>
        <w:gridCol w:w="250"/>
        <w:gridCol w:w="251"/>
        <w:gridCol w:w="109"/>
        <w:gridCol w:w="109"/>
        <w:gridCol w:w="109"/>
        <w:gridCol w:w="1971"/>
        <w:gridCol w:w="1856"/>
        <w:gridCol w:w="1875"/>
        <w:gridCol w:w="109"/>
        <w:gridCol w:w="109"/>
        <w:gridCol w:w="109"/>
        <w:gridCol w:w="894"/>
        <w:gridCol w:w="894"/>
        <w:gridCol w:w="1275"/>
      </w:tblGrid>
      <w:tr>
        <w:trPr/>
        <w:tc>
          <w:tcPr>
            <w:tcW w:w="285"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1"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18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Filings Referenced for Incorporation by Reference</w:t>
            </w:r>
          </w:p>
        </w:tc>
      </w:tr>
      <w:tr>
        <w:trPr/>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Amended and Restated Certificate of Incorporation of Arhaus, Inc.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 3.1 to the Company’s Current Report on Form 8-K filed November 10, 2021.</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Amended and Restated Bylaws of Arhaus,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Exhibit 3.2 to the Company’s Current Report on Form 8-K filed November 10, 2021.</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3" w:type="dxa"/>
            <w:gridSpan w:val="3"/>
            <w:tcBorders/>
            <w:vAlign w:val="center"/>
          </w:tcPr>
          <w:p>
            <w:pPr>
              <w:pStyle w:val="TableContents"/>
              <w:bidi w:val="0"/>
              <w:spacing w:before="0" w:after="283"/>
              <w:jc w:val="left"/>
              <w:rPr>
                <w:sz w:val="4"/>
                <w:szCs w:val="4"/>
              </w:rPr>
            </w:pPr>
            <w:r>
              <w:rPr>
                <w:sz w:val="4"/>
                <w:szCs w:val="4"/>
              </w:rPr>
            </w:r>
          </w:p>
        </w:tc>
      </w:tr>
      <w:tr>
        <w:trPr/>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3" w:type="dxa"/>
            <w:gridSpan w:val="3"/>
            <w:tcBorders/>
            <w:vAlign w:val="center"/>
          </w:tcPr>
          <w:p>
            <w:pPr>
              <w:pStyle w:val="TableContents"/>
              <w:bidi w:val="0"/>
              <w:spacing w:before="0" w:after="283"/>
              <w:jc w:val="left"/>
              <w:rPr>
                <w:sz w:val="4"/>
                <w:szCs w:val="4"/>
              </w:rPr>
            </w:pPr>
            <w:r>
              <w:rPr>
                <w:sz w:val="4"/>
                <w:szCs w:val="4"/>
              </w:rPr>
            </w:r>
          </w:p>
        </w:tc>
      </w:tr>
      <w:tr>
        <w:trPr/>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3" w:type="dxa"/>
            <w:gridSpan w:val="3"/>
            <w:tcBorders/>
            <w:vAlign w:val="center"/>
          </w:tcPr>
          <w:p>
            <w:pPr>
              <w:pStyle w:val="TableContents"/>
              <w:bidi w:val="0"/>
              <w:spacing w:before="0" w:after="283"/>
              <w:jc w:val="left"/>
              <w:rPr>
                <w:sz w:val="4"/>
                <w:szCs w:val="4"/>
              </w:rPr>
            </w:pPr>
            <w:r>
              <w:rPr>
                <w:sz w:val="4"/>
                <w:szCs w:val="4"/>
              </w:rPr>
            </w:r>
          </w:p>
        </w:tc>
      </w:tr>
      <w:tr>
        <w:trPr/>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7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63" w:type="dxa"/>
            <w:gridSpan w:val="3"/>
            <w:tcBorders/>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1-certificateofchiefexe.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Chief Executive Officer Pursuant to Rules 13a-14(a) and 15d-14(a) of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2-certificateofchieffin.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Certificate of Chief Financial Officer Pursuant to Rules 13a-14(a) and 15d-14(a) of the Securities Exchange Act of 1934, as Adopted Pursuant to Section 302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1-certificationsofchief.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of Chief Executive Officer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2-certificationsofchief.htm">
              <w:r>
                <w:rPr>
                  <w:rStyle w:val="InternetLink"/>
                  <w:rFonts w:ascii="Times New Roman;serif" w:hAnsi="Times New Roman;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Certification of Chief Financial Officer Pursuant to 18 U.S.C. Section 1350, as Adopted Pursuant to Section 906 of the Sarbanes-Oxley Act of 2002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Furnished herewith.</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XBRL Instance Document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with Interactive Data File (formatted as Inline XBRL with applicable taxonomy extension information contained in Exhibits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50"/>
        <w:jc w:val="left"/>
        <w:rPr/>
      </w:pPr>
      <w:r>
        <w:rPr/>
      </w:r>
    </w:p>
    <w:p>
      <w:pPr>
        <w:pStyle w:val="TextBody"/>
        <w:bidi w:val="0"/>
        <w:spacing w:lineRule="auto" w:line="288" w:before="0" w:after="0"/>
        <w:ind w:left="0" w:right="0" w:hanging="450"/>
        <w:jc w:val="left"/>
        <w:rPr/>
      </w:pPr>
      <w:r>
        <w:rPr>
          <w:rFonts w:ascii="Times New Roman;serif" w:hAnsi="Times New Roman;serif"/>
          <w:b w:val="false"/>
          <w:i/>
          <w:color w:val="000000"/>
          <w:sz w:val="16"/>
        </w:rPr>
        <w:t>*    </w:t>
      </w:r>
      <w:r>
        <w:rPr>
          <w:rFonts w:ascii="Times New Roman;serif" w:hAnsi="Times New Roman;serif"/>
          <w:b w:val="false"/>
          <w:color w:val="000000"/>
          <w:sz w:val="16"/>
        </w:rPr>
        <w:t>The certifications furnished in Exhibit 32.1 and 32.2 hereto are deemed to accompany this Quarterly Report on Form 10-Q and will not be deemed “filed” for purposes of Section 18 of the Securities Exchange Act of 1934, as amended, except to the extent that the registrant specifically incorporates them by reference.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120"/>
        <w:jc w:val="left"/>
        <w:rPr/>
      </w:pPr>
      <w:hyperlink w:anchor="i9ab886620ddb416c9526cf96febf2f66_7">
        <w:r>
          <w:rPr>
            <w:rStyle w:val="InternetLink"/>
            <w:rFonts w:ascii="Times New Roman;serif" w:hAnsi="Times New Roman;serif"/>
            <w:b/>
            <w:color w:val="0000FF"/>
            <w:sz w:val="20"/>
            <w:u w:val="single"/>
          </w:rPr>
          <w:t>Table of Contents</w:t>
        </w:r>
      </w:hyperlink>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SIGNATURES </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thereunto duly authorized on this 6th day of August, 2026.</w:t>
      </w:r>
    </w:p>
    <w:tbl>
      <w:tblPr>
        <w:tblW w:w="3537"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21"/>
        <w:gridCol w:w="221"/>
        <w:gridCol w:w="221"/>
        <w:gridCol w:w="641"/>
        <w:gridCol w:w="641"/>
        <w:gridCol w:w="92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641"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8"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ARHAUS, INC.</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Lee</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Lee</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Christian Sedor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20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Christian Sedor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2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Accounting Officer</w:t>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0" w:after="283"/>
        <w:jc w:val="center"/>
        <w:rPr/>
      </w:pPr>
      <w:r>
        <w:rPr/>
      </w:r>
    </w:p>
    <w:p>
      <w:pPr>
        <w:pStyle w:val="TextBody"/>
        <w:bidi w:val="0"/>
        <w:spacing w:before="200" w:after="283"/>
        <w:jc w:val="center"/>
        <w:rPr/>
      </w:pPr>
      <w:r>
        <w:rPr/>
      </w:r>
    </w:p>
    <w:p>
      <w:pPr>
        <w:pStyle w:val="TextBody"/>
        <w:bidi w:val="0"/>
        <w:spacing w:before="20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1F4742"/>
          <w:sz w:val="20"/>
        </w:rPr>
      </w:pPr>
      <w:r>
        <w:rPr>
          <w:rFonts w:ascii="Times New Roman;serif" w:hAnsi="Times New Roman;serif"/>
          <w:b/>
          <w:color w:val="1F4742"/>
          <w:sz w:val="20"/>
        </w:rPr>
        <w:t>Exhibit 31.1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PERIODIC REPORT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100" w:after="100"/>
        <w:jc w:val="left"/>
        <w:rPr>
          <w:rFonts w:ascii="Times New Roman;serif" w:hAnsi="Times New Roman;serif"/>
          <w:b w:val="false"/>
          <w:color w:val="000000"/>
          <w:sz w:val="20"/>
        </w:rPr>
      </w:pPr>
      <w:r>
        <w:rPr>
          <w:rFonts w:ascii="Times New Roman;serif" w:hAnsi="Times New Roman;serif"/>
          <w:b w:val="false"/>
          <w:color w:val="000000"/>
          <w:sz w:val="20"/>
        </w:rPr>
        <w:t>I, John Reed, certify that:</w:t>
      </w:r>
    </w:p>
    <w:p>
      <w:pPr>
        <w:pStyle w:val="TextBody"/>
        <w:bidi w:val="0"/>
        <w:spacing w:lineRule="auto" w:line="336" w:before="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Arhaus, Inc.;</w:t>
      </w:r>
    </w:p>
    <w:p>
      <w:pPr>
        <w:pStyle w:val="TextBody"/>
        <w:bidi w:val="0"/>
        <w:spacing w:lineRule="auto" w:line="336" w:before="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6" w:before="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6" w:before="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6" w:before="0" w:after="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490" w:type="dxa"/>
        <w:jc w:val="left"/>
        <w:tblInd w:w="0" w:type="dxa"/>
        <w:tblLayout w:type="fixed"/>
        <w:tblCellMar>
          <w:top w:w="28" w:type="dxa"/>
          <w:left w:w="28" w:type="dxa"/>
          <w:bottom w:w="28" w:type="dxa"/>
          <w:right w:w="28" w:type="dxa"/>
        </w:tblCellMar>
      </w:tblPr>
      <w:tblGrid>
        <w:gridCol w:w="795"/>
        <w:gridCol w:w="700"/>
        <w:gridCol w:w="995"/>
      </w:tblGrid>
      <w:tr>
        <w:trPr/>
        <w:tc>
          <w:tcPr>
            <w:tcW w:w="795"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Reed</w:t>
            </w:r>
          </w:p>
        </w:tc>
      </w:tr>
      <w:tr>
        <w:trPr/>
        <w:tc>
          <w:tcPr>
            <w:tcW w:w="24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Reed</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24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6"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PERIODIC REPORT UNDER SECTION 302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THE SARBANES-OXLEY ACT OF 2002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36" w:before="100" w:after="100"/>
        <w:jc w:val="left"/>
        <w:rPr>
          <w:rFonts w:ascii="Times New Roman;serif" w:hAnsi="Times New Roman;serif"/>
          <w:b w:val="false"/>
          <w:color w:val="000000"/>
          <w:sz w:val="20"/>
        </w:rPr>
      </w:pPr>
      <w:r>
        <w:rPr>
          <w:rFonts w:ascii="Times New Roman;serif" w:hAnsi="Times New Roman;serif"/>
          <w:b w:val="false"/>
          <w:color w:val="000000"/>
          <w:sz w:val="20"/>
        </w:rPr>
        <w:t>I, Michael Lee, certify that:</w:t>
      </w:r>
    </w:p>
    <w:p>
      <w:pPr>
        <w:pStyle w:val="TextBody"/>
        <w:bidi w:val="0"/>
        <w:spacing w:lineRule="auto" w:line="336" w:before="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Arhaus, Inc.;</w:t>
      </w:r>
    </w:p>
    <w:p>
      <w:pPr>
        <w:pStyle w:val="TextBody"/>
        <w:bidi w:val="0"/>
        <w:spacing w:lineRule="auto" w:line="336" w:before="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36" w:before="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36" w:before="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3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36" w:before="0" w:after="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2430" w:type="dxa"/>
        <w:jc w:val="left"/>
        <w:tblInd w:w="0" w:type="dxa"/>
        <w:tblLayout w:type="fixed"/>
        <w:tblCellMar>
          <w:top w:w="28" w:type="dxa"/>
          <w:left w:w="28" w:type="dxa"/>
          <w:bottom w:w="28" w:type="dxa"/>
          <w:right w:w="28" w:type="dxa"/>
        </w:tblCellMar>
      </w:tblPr>
      <w:tblGrid>
        <w:gridCol w:w="776"/>
        <w:gridCol w:w="683"/>
        <w:gridCol w:w="971"/>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Michael Lee</w:t>
            </w:r>
          </w:p>
        </w:tc>
      </w:tr>
      <w:tr>
        <w:trPr/>
        <w:tc>
          <w:tcPr>
            <w:tcW w:w="24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Lee</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Arhaus, Inc. (the “Company”) on Form 10-Q for the quarter ended June 30, 2026 as filed with the Securities and Exchange Commission on the date hereof (the “Report”), I, John Reed, Chief Executive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dates and periods covered by the Report.</w:t>
      </w:r>
    </w:p>
    <w:p>
      <w:pPr>
        <w:pStyle w:val="TextBody"/>
        <w:bidi w:val="0"/>
        <w:spacing w:before="0" w:after="0"/>
        <w:ind w:left="0" w:right="0" w:hanging="360"/>
        <w:jc w:val="both"/>
        <w:rPr/>
      </w:pPr>
      <w:r>
        <w:rPr/>
      </w:r>
    </w:p>
    <w:p>
      <w:pPr>
        <w:pStyle w:val="TextBody"/>
        <w:bidi w:val="0"/>
        <w:spacing w:before="0" w:after="0"/>
        <w:jc w:val="both"/>
        <w:rPr/>
      </w:pPr>
      <w:r>
        <w:rPr/>
      </w:r>
    </w:p>
    <w:tbl>
      <w:tblPr>
        <w:tblW w:w="2816" w:type="dxa"/>
        <w:jc w:val="left"/>
        <w:tblInd w:w="0" w:type="dxa"/>
        <w:tblLayout w:type="fixed"/>
        <w:tblCellMar>
          <w:top w:w="28" w:type="dxa"/>
          <w:left w:w="28" w:type="dxa"/>
          <w:bottom w:w="28" w:type="dxa"/>
          <w:right w:w="28" w:type="dxa"/>
        </w:tblCellMar>
      </w:tblPr>
      <w:tblGrid>
        <w:gridCol w:w="886"/>
        <w:gridCol w:w="777"/>
        <w:gridCol w:w="781"/>
        <w:gridCol w:w="109"/>
        <w:gridCol w:w="109"/>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John Reed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John Reed</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both"/>
        <w:rPr/>
      </w:pPr>
      <w:r>
        <w:rPr/>
      </w:r>
    </w:p>
    <w:p>
      <w:pPr>
        <w:pStyle w:val="TextBody"/>
        <w:bidi w:val="0"/>
        <w:spacing w:before="0" w:after="0"/>
        <w:jc w:val="left"/>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and will be retained by, Arhaus, Inc. and furnished to the Securities and Exchange Commission or its staff upon request.</w:t>
      </w:r>
    </w:p>
    <w:p>
      <w:pPr>
        <w:pStyle w:val="TextBody"/>
        <w:bidi w:val="0"/>
        <w:spacing w:before="0" w:after="2"/>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CERTIFICATION PURSUANT TO 18 U.S.C. SECTION 1350, AS ADOPTED PURSUANT TO SECTION 906 OF THE SARBANES-OXLEY ACT OF 2002</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Arhaus, Inc. (the “Company”) on Form 10-Q for the quarter ended June 30, 2026 as filed with the Securities and Exchange Commission on the date hereof (the “Report”), I, Michael Lee, Chief Financial Officer of the Company, hereby certify, pursuant to 18 U.S.C. Section 1350, as adopted pursuant to Section 906 of the Sarbanes-Oxley Act of 2002, to the best of my knowledge, that:</w:t>
      </w:r>
    </w:p>
    <w:p>
      <w:pPr>
        <w:pStyle w:val="TextBody"/>
        <w:bidi w:val="0"/>
        <w:spacing w:before="0" w:after="0"/>
        <w:jc w:val="left"/>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before="0" w:after="0"/>
        <w:jc w:val="both"/>
        <w:rPr/>
      </w:pPr>
      <w:r>
        <w:rPr/>
      </w:r>
    </w:p>
    <w:p>
      <w:pPr>
        <w:pStyle w:val="TextBody"/>
        <w:bidi w:val="0"/>
        <w:spacing w:lineRule="auto" w:line="240"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for the dates and periods covered by the Report.</w:t>
      </w:r>
    </w:p>
    <w:p>
      <w:pPr>
        <w:pStyle w:val="TextBody"/>
        <w:bidi w:val="0"/>
        <w:spacing w:before="0" w:after="0"/>
        <w:jc w:val="both"/>
        <w:rPr/>
      </w:pPr>
      <w:r>
        <w:rPr/>
      </w:r>
    </w:p>
    <w:p>
      <w:pPr>
        <w:pStyle w:val="TextBody"/>
        <w:bidi w:val="0"/>
        <w:spacing w:before="0" w:after="0"/>
        <w:ind w:left="0" w:right="0" w:hanging="360"/>
        <w:jc w:val="both"/>
        <w:rPr/>
      </w:pPr>
      <w:r>
        <w:rPr/>
      </w:r>
    </w:p>
    <w:tbl>
      <w:tblPr>
        <w:tblW w:w="2756" w:type="dxa"/>
        <w:jc w:val="left"/>
        <w:tblInd w:w="0" w:type="dxa"/>
        <w:tblLayout w:type="fixed"/>
        <w:tblCellMar>
          <w:top w:w="28" w:type="dxa"/>
          <w:left w:w="28" w:type="dxa"/>
          <w:bottom w:w="28" w:type="dxa"/>
          <w:right w:w="28" w:type="dxa"/>
        </w:tblCellMar>
      </w:tblPr>
      <w:tblGrid>
        <w:gridCol w:w="861"/>
        <w:gridCol w:w="759"/>
        <w:gridCol w:w="764"/>
        <w:gridCol w:w="109"/>
        <w:gridCol w:w="109"/>
        <w:gridCol w:w="154"/>
      </w:tblGrid>
      <w:tr>
        <w:trPr/>
        <w:tc>
          <w:tcPr>
            <w:tcW w:w="86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Michael Lee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Lee</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ind w:left="0" w:right="0" w:hanging="360"/>
        <w:jc w:val="both"/>
        <w:rPr>
          <w:color w:val="000000"/>
        </w:rPr>
      </w:pPr>
      <w:r>
        <w:rPr>
          <w:color w:val="000000"/>
        </w:rPr>
        <w:t>                        </w:t>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Date: August 6, 2026</w:t>
      </w:r>
    </w:p>
    <w:p>
      <w:pPr>
        <w:pStyle w:val="TextBody"/>
        <w:bidi w:val="0"/>
        <w:spacing w:before="0" w:after="0"/>
        <w:jc w:val="both"/>
        <w:rPr/>
      </w:pPr>
      <w:r>
        <w:rPr/>
      </w:r>
    </w:p>
    <w:p>
      <w:pPr>
        <w:pStyle w:val="TextBody"/>
        <w:bidi w:val="0"/>
        <w:spacing w:lineRule="auto" w:line="240"/>
        <w:jc w:val="both"/>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has been provided to, and will be retained by, Arhaus,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75444/000187544421000004/exhibit31-arcertificateo.htm" TargetMode="External"/><Relationship Id="rId3" Type="http://schemas.openxmlformats.org/officeDocument/2006/relationships/hyperlink" Target="https://www.sec.gov/Archives/edgar/data/1875444/000187544421000004/exhibit32-arbylawsofarh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19884</Words>
  <Characters>111026</Characters>
  <CharactersWithSpaces>129673</CharactersWithSpaces>
  <Paragraphs>2260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