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9"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1" w:lineRule="exact"/>
        <w:rPr>
          <w:sz w:val="24"/>
          <w:szCs w:val="24"/>
          <w:color w:val="auto"/>
        </w:rPr>
      </w:pPr>
    </w:p>
    <w:p>
      <w:pPr>
        <w:ind w:left="80"/>
        <w:spacing w:after="0" w:line="221" w:lineRule="exact"/>
        <w:rPr>
          <w:sz w:val="20"/>
          <w:szCs w:val="20"/>
          <w:color w:val="auto"/>
        </w:rPr>
      </w:pPr>
      <w:r>
        <w:rPr>
          <w:rFonts w:ascii="MS PGothic" w:cs="MS PGothic" w:eastAsia="MS PGothic" w:hAnsi="MS PGothic"/>
          <w:sz w:val="22"/>
          <w:szCs w:val="22"/>
          <w:color w:val="auto"/>
        </w:rPr>
        <w:t>☐</w:t>
      </w:r>
    </w:p>
    <w:p>
      <w:pPr>
        <w:spacing w:after="0" w:line="118" w:lineRule="exact"/>
        <w:rPr>
          <w:sz w:val="24"/>
          <w:szCs w:val="24"/>
          <w:color w:val="auto"/>
        </w:rPr>
      </w:pPr>
    </w:p>
    <w:p>
      <w:pPr>
        <w:ind w:left="500" w:right="1680" w:hanging="69"/>
        <w:spacing w:after="0" w:line="538"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Arhaus,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87-1729256</w:t>
            </w:r>
          </w:p>
        </w:tc>
        <w:tc>
          <w:tcPr>
            <w:tcW w:w="0" w:type="dxa"/>
            <w:vAlign w:val="bottom"/>
          </w:tcPr>
          <w:p>
            <w:pPr>
              <w:spacing w:after="0"/>
              <w:rPr>
                <w:sz w:val="1"/>
                <w:szCs w:val="1"/>
                <w:color w:val="auto"/>
              </w:rPr>
            </w:pPr>
          </w:p>
        </w:tc>
      </w:tr>
      <w:tr>
        <w:trPr>
          <w:trHeight w:val="283"/>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57"/>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08"/>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3"/>
          </w:tcPr>
          <w:p>
            <w:pPr>
              <w:jc w:val="center"/>
              <w:ind w:right="3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44236</w:t>
            </w:r>
          </w:p>
        </w:tc>
        <w:tc>
          <w:tcPr>
            <w:tcW w:w="6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(440) 439-7700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700" w:type="dxa"/>
            <w:vAlign w:val="bottom"/>
            <w:gridSpan w:val="4"/>
          </w:tcPr>
          <w:p>
            <w:pPr>
              <w:jc w:val="center"/>
              <w:ind w:righ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05"/>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 A common stock, $0.001 par value per</w:t>
            </w:r>
          </w:p>
        </w:tc>
        <w:tc>
          <w:tcPr>
            <w:tcW w:w="360" w:type="dxa"/>
            <w:vAlign w:val="bottom"/>
            <w:shd w:val="clear" w:color="auto" w:fill="CCEEFF"/>
          </w:tcPr>
          <w:p>
            <w:pPr>
              <w:spacing w:after="0"/>
              <w:rPr>
                <w:sz w:val="14"/>
                <w:szCs w:val="14"/>
                <w:color w:val="auto"/>
              </w:rPr>
            </w:pPr>
          </w:p>
        </w:tc>
        <w:tc>
          <w:tcPr>
            <w:tcW w:w="2020" w:type="dxa"/>
            <w:vAlign w:val="bottom"/>
            <w:tcBorders>
              <w:right w:val="single" w:sz="8" w:color="auto"/>
            </w:tcBorders>
            <w:vMerge w:val="restart"/>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ARHS</w:t>
            </w:r>
          </w:p>
        </w:tc>
        <w:tc>
          <w:tcPr>
            <w:tcW w:w="620" w:type="dxa"/>
            <w:vAlign w:val="bottom"/>
            <w:shd w:val="clear" w:color="auto" w:fill="CCEEFF"/>
          </w:tcPr>
          <w:p>
            <w:pPr>
              <w:spacing w:after="0"/>
              <w:rPr>
                <w:sz w:val="14"/>
                <w:szCs w:val="14"/>
                <w:color w:val="auto"/>
              </w:rPr>
            </w:pPr>
          </w:p>
        </w:tc>
        <w:tc>
          <w:tcPr>
            <w:tcW w:w="4700" w:type="dxa"/>
            <w:vAlign w:val="bottom"/>
            <w:tcBorders>
              <w:right w:val="single" w:sz="8" w:color="auto"/>
            </w:tcBorders>
            <w:shd w:val="clear" w:color="auto" w:fill="CCEEFF"/>
          </w:tcPr>
          <w:p>
            <w:pPr>
              <w:jc w:val="center"/>
              <w:ind w:right="550"/>
              <w:spacing w:after="0" w:line="169"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60" w:type="dxa"/>
            <w:vAlign w:val="bottom"/>
            <w:shd w:val="clear" w:color="auto" w:fill="CCEEFF"/>
          </w:tcPr>
          <w:p>
            <w:pPr>
              <w:spacing w:after="0"/>
              <w:rPr>
                <w:sz w:val="12"/>
                <w:szCs w:val="12"/>
                <w:color w:val="auto"/>
              </w:rPr>
            </w:pPr>
          </w:p>
        </w:tc>
        <w:tc>
          <w:tcPr>
            <w:tcW w:w="2020" w:type="dxa"/>
            <w:vAlign w:val="bottom"/>
            <w:tcBorders>
              <w:right w:val="single" w:sz="8" w:color="auto"/>
            </w:tcBorders>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7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20" w:type="dxa"/>
            <w:vAlign w:val="bottom"/>
            <w:tcBorders>
              <w:bottom w:val="single" w:sz="8" w:color="auto"/>
              <w:right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4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2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37" w:lineRule="exact"/>
        <w:rPr>
          <w:sz w:val="24"/>
          <w:szCs w:val="24"/>
          <w:color w:val="auto"/>
        </w:rPr>
      </w:pPr>
    </w:p>
    <w:p>
      <w:pPr>
        <w:jc w:val="both"/>
        <w:ind w:right="32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4"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32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38"/>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288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31" w:lineRule="exact"/>
        <w:rPr>
          <w:sz w:val="24"/>
          <w:szCs w:val="24"/>
          <w:color w:val="auto"/>
        </w:rPr>
      </w:pPr>
    </w:p>
    <w:p>
      <w:pPr>
        <w:ind w:right="18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0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60"/>
          </w:cols>
          <w:pgMar w:left="320" w:top="225"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May 4, 2022 the registrant had 52,947,617 shares of Class A common stock and 87,115,600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80" w:type="dxa"/>
            <w:vAlign w:val="bottom"/>
            <w:tcBorders>
              <w:bottom w:val="single" w:sz="8" w:color="CCEEFF"/>
            </w:tcBorders>
            <w:gridSpan w:val="12"/>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780" w:type="dxa"/>
            <w:vAlign w:val="bottom"/>
            <w:tcBorders>
              <w:top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6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2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04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60" w:type="dxa"/>
            <w:vAlign w:val="bottom"/>
            <w:gridSpan w:val="2"/>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8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of Arhaus, Inc. and Subsidiaries</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4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ind w:left="2780"/>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831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123,777</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inventory, net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208,343</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7"/>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814,189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586,550</w:t>
            </w:r>
          </w:p>
        </w:tc>
      </w:tr>
    </w:tbl>
    <w:p>
      <w:pPr>
        <w:spacing w:after="0" w:line="200" w:lineRule="exact"/>
        <w:rPr>
          <w:sz w:val="20"/>
          <w:szCs w:val="20"/>
          <w:color w:val="auto"/>
        </w:rPr>
      </w:pPr>
    </w:p>
    <w:p>
      <w:pPr>
        <w:sectPr>
          <w:pgSz w:w="11900" w:h="16838" w:orient="portrait"/>
          <w:cols w:equalWidth="0" w:num="1">
            <w:col w:w="11240"/>
          </w:cols>
          <w:pgMar w:left="320" w:top="536"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7"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Accounts payable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rent and lease incentives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60"/>
        <w:spacing w:after="0"/>
        <w:tabs>
          <w:tab w:leader="none" w:pos="7640" w:val="left"/>
        </w:tabs>
        <w:rPr>
          <w:sz w:val="20"/>
          <w:szCs w:val="20"/>
          <w:color w:val="auto"/>
        </w:rPr>
      </w:pPr>
      <w:r>
        <w:rPr>
          <w:rFonts w:ascii="Times New Roman" w:cs="Times New Roman" w:eastAsia="Times New Roman" w:hAnsi="Times New Roman"/>
          <w:sz w:val="18"/>
          <w:szCs w:val="18"/>
          <w:color w:val="auto"/>
        </w:rPr>
        <w:t>Total liabilities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3" w:lineRule="exact"/>
        <w:rPr>
          <w:sz w:val="20"/>
          <w:szCs w:val="20"/>
          <w:color w:val="auto"/>
        </w:rPr>
      </w:pPr>
    </w:p>
    <w:p>
      <w:pPr>
        <w:ind w:left="20" w:right="520"/>
        <w:spacing w:after="0" w:line="226" w:lineRule="auto"/>
        <w:rPr>
          <w:sz w:val="20"/>
          <w:szCs w:val="20"/>
          <w:color w:val="auto"/>
        </w:rPr>
      </w:pPr>
      <w:r>
        <w:rPr>
          <w:rFonts w:ascii="Times New Roman" w:cs="Times New Roman" w:eastAsia="Times New Roman" w:hAnsi="Times New Roman"/>
          <w:sz w:val="18"/>
          <w:szCs w:val="18"/>
          <w:color w:val="auto"/>
        </w:rPr>
        <w:t>Class A shares, par value $0.001 per share (600,000,000 shares authorized, 51,231,602 and 50,427,390 shares issued and outstanding as of March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right="400"/>
        <w:spacing w:after="0" w:line="229" w:lineRule="auto"/>
        <w:rPr>
          <w:sz w:val="20"/>
          <w:szCs w:val="20"/>
          <w:color w:val="auto"/>
        </w:rPr>
      </w:pPr>
      <w:r>
        <w:rPr>
          <w:rFonts w:ascii="Times New Roman" w:cs="Times New Roman" w:eastAsia="Times New Roman" w:hAnsi="Times New Roman"/>
          <w:sz w:val="18"/>
          <w:szCs w:val="18"/>
          <w:color w:val="auto"/>
        </w:rPr>
        <w:t>Class B shares, par value $0.001 per share (100,000,000 shares authorized, 86,519,002 shares issued and outstanding as of March 31, 2022 and December 31, 2021, respectively)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54,249</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12,486</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12,822</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w:t>
            </w:r>
          </w:p>
        </w:tc>
      </w:tr>
      <w:tr>
        <w:trPr>
          <w:trHeight w:val="229"/>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20,946</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61,047</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306,243</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264,929</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37,957</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444,885</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401,231</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227,191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50,342</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50,525</w:t>
            </w:r>
          </w:p>
        </w:tc>
      </w:tr>
      <w:tr>
        <w:trPr>
          <w:trHeight w:val="23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2,513</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63,037</w:t>
            </w:r>
          </w:p>
        </w:tc>
      </w:tr>
      <w:tr>
        <w:trPr>
          <w:trHeight w:val="234"/>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2,714</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36"/>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727,645</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516,785</w:t>
            </w:r>
          </w:p>
        </w:tc>
      </w:tr>
      <w:tr>
        <w:trPr>
          <w:trHeight w:val="844"/>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0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(100,523)</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(116,581)</w:t>
            </w:r>
          </w:p>
        </w:tc>
      </w:tr>
      <w:tr>
        <w:trPr>
          <w:trHeight w:val="232"/>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186,929</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-1257935</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-2149475</wp:posOffset>
            </wp:positionV>
            <wp:extent cx="112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60" w:space="720"/>
            <w:col w:w="2560"/>
          </w:cols>
          <w:pgMar w:left="320" w:top="536"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Arhaus, Inc. stockholders' equity</w:t>
            </w: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86,544</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586,550</w:t>
            </w:r>
          </w:p>
        </w:tc>
      </w:tr>
      <w:tr>
        <w:trPr>
          <w:trHeight w:val="21"/>
        </w:trPr>
        <w:tc>
          <w:tcPr>
            <w:tcW w:w="7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171,314</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100,979</w:t>
            </w:r>
          </w:p>
        </w:tc>
      </w:tr>
      <w:tr>
        <w:trPr>
          <w:trHeight w:val="22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70,335</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59,038</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 basic</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137,482,533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 diluted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138,708,468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34"/>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286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860" w:type="dxa"/>
            <w:vAlign w:val="bottom"/>
            <w:gridSpan w:val="11"/>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0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50,428</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0" w:type="dxa"/>
            <w:vAlign w:val="bottom"/>
          </w:tcPr>
          <w:p>
            <w:pPr>
              <w:spacing w:after="0"/>
              <w:rPr>
                <w:sz w:val="1"/>
                <w:szCs w:val="1"/>
                <w:color w:val="auto"/>
              </w:rPr>
            </w:pPr>
          </w:p>
        </w:tc>
      </w:tr>
      <w:tr>
        <w:trPr>
          <w:trHeight w:val="23"/>
        </w:trPr>
        <w:tc>
          <w:tcPr>
            <w:tcW w:w="1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0" w:type="dxa"/>
            <w:vAlign w:val="bottom"/>
          </w:tcPr>
          <w:p>
            <w:pPr>
              <w:spacing w:after="0"/>
              <w:rPr>
                <w:sz w:val="1"/>
                <w:szCs w:val="1"/>
                <w:color w:val="auto"/>
              </w:rPr>
            </w:pPr>
          </w:p>
        </w:tc>
      </w:tr>
      <w:tr>
        <w:trPr>
          <w:trHeight w:val="16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44"/>
        </w:trPr>
        <w:tc>
          <w:tcPr>
            <w:tcW w:w="15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March</w:t>
            </w: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(100,523)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186,929</w:t>
            </w:r>
          </w:p>
        </w:tc>
        <w:tc>
          <w:tcPr>
            <w:tcW w:w="80" w:type="dxa"/>
            <w:vAlign w:val="bottom"/>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86,544</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286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860" w:type="dxa"/>
            <w:vAlign w:val="bottom"/>
            <w:gridSpan w:val="11"/>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0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(28,422)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1,670</w:t>
            </w:r>
          </w:p>
        </w:tc>
        <w:tc>
          <w:tcPr>
            <w:tcW w:w="8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(7,689)</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(34,441)</w:t>
            </w:r>
          </w:p>
        </w:tc>
        <w:tc>
          <w:tcPr>
            <w:tcW w:w="0" w:type="dxa"/>
            <w:vAlign w:val="bottom"/>
          </w:tcPr>
          <w:p>
            <w:pPr>
              <w:spacing w:after="0"/>
              <w:rPr>
                <w:sz w:val="1"/>
                <w:szCs w:val="1"/>
                <w:color w:val="auto"/>
              </w:rPr>
            </w:pPr>
          </w:p>
        </w:tc>
      </w:tr>
      <w:tr>
        <w:trPr>
          <w:trHeight w:val="23"/>
        </w:trPr>
        <w:tc>
          <w:tcPr>
            <w:tcW w:w="1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w:t>
            </w: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distribution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4"/>
        </w:trPr>
        <w:tc>
          <w:tcPr>
            <w:tcW w:w="15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March</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2"/>
                <w:szCs w:val="12"/>
                <w:color w:val="auto"/>
              </w:rPr>
            </w:pPr>
          </w:p>
        </w:tc>
        <w:tc>
          <w:tcPr>
            <w:tcW w:w="80" w:type="dxa"/>
            <w:vAlign w:val="bottom"/>
            <w:tcBorders>
              <w:top w:val="single" w:sz="8" w:color="auto"/>
            </w:tcBorders>
            <w:vMerge w:val="restart"/>
          </w:tcPr>
          <w:p>
            <w:pPr>
              <w:spacing w:after="0"/>
              <w:rPr>
                <w:sz w:val="12"/>
                <w:szCs w:val="12"/>
                <w:color w:val="auto"/>
              </w:rPr>
            </w:pPr>
          </w:p>
        </w:tc>
        <w:tc>
          <w:tcPr>
            <w:tcW w:w="5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3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(24,527)</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1,746</w:t>
            </w:r>
          </w:p>
        </w:tc>
        <w:tc>
          <w:tcPr>
            <w:tcW w:w="80" w:type="dxa"/>
            <w:vAlign w:val="bottom"/>
          </w:tcPr>
          <w:p>
            <w:pPr>
              <w:spacing w:after="0"/>
              <w:rPr>
                <w:sz w:val="12"/>
                <w:szCs w:val="12"/>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(7,015)</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(29,796)</w:t>
            </w:r>
          </w:p>
        </w:tc>
        <w:tc>
          <w:tcPr>
            <w:tcW w:w="0" w:type="dxa"/>
            <w:vAlign w:val="bottom"/>
          </w:tcPr>
          <w:p>
            <w:pPr>
              <w:spacing w:after="0"/>
              <w:rPr>
                <w:sz w:val="1"/>
                <w:szCs w:val="1"/>
                <w:color w:val="auto"/>
              </w:rPr>
            </w:pPr>
          </w:p>
        </w:tc>
      </w:tr>
      <w:tr>
        <w:trPr>
          <w:trHeight w:val="192"/>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w:t>
            </w:r>
          </w:p>
        </w:tc>
      </w:tr>
      <w:tr>
        <w:trPr>
          <w:trHeight w:val="20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amortization of operating lease right-of-use asset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deferred financing fees and interest on finance lease in excess of principal paid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expense associated with Term Loan exit fee</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11,547</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and write-off of lease incentives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Merchandise inventory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right-of-use assets and liabilities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rent and lease incentives</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Client deposits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56,674</w:t>
            </w: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73,099</w:t>
            </w:r>
          </w:p>
        </w:tc>
      </w:tr>
      <w:tr>
        <w:trPr>
          <w:trHeight w:val="203"/>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w:t>
            </w:r>
          </w:p>
        </w:tc>
      </w:tr>
      <w:tr>
        <w:trPr>
          <w:trHeight w:val="203"/>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related party notes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under capital leases</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under finance leases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w:t>
            </w:r>
          </w:p>
        </w:tc>
      </w:tr>
      <w:tr>
        <w:trPr>
          <w:trHeight w:val="223"/>
        </w:trPr>
        <w:tc>
          <w:tcPr>
            <w:tcW w:w="81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60,379</w:t>
            </w:r>
          </w:p>
        </w:tc>
      </w:tr>
      <w:tr>
        <w:trPr>
          <w:trHeight w:val="20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64,002</w:t>
            </w: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Lease incentives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w:t>
            </w:r>
          </w:p>
        </w:tc>
      </w:tr>
      <w:tr>
        <w:trPr>
          <w:trHeight w:val="20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Purchase of property, furniture and equipment in 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0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Derecognition of build-to-suit assets as a result of ASC 842 adoption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(31,017)</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Capital contributions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7600" w:firstLine="8"/>
        <w:spacing w:after="0" w:line="46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 Nature of Business</w:t>
      </w:r>
    </w:p>
    <w:p>
      <w:pPr>
        <w:ind w:right="140"/>
        <w:spacing w:after="0" w:line="258" w:lineRule="auto"/>
        <w:rPr>
          <w:sz w:val="20"/>
          <w:szCs w:val="20"/>
          <w:color w:val="auto"/>
        </w:rPr>
      </w:pPr>
      <w:r>
        <w:rPr>
          <w:rFonts w:ascii="Times New Roman" w:cs="Times New Roman" w:eastAsia="Times New Roman" w:hAnsi="Times New Roman"/>
          <w:sz w:val="18"/>
          <w:szCs w:val="18"/>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78 Showrooms at March 31, 2022.</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reorganized its ownership structure from a limited liability company to a corporation.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condensed consolidated financial statements for periods prior to the Reorganization have been adjusted to retrospectively combine the previously separate entities for presentation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balance sheets at March 31, 2022 and December 31, 2021, the condensed consolidated statements of comprehensive income, cash flows and changes in stockholders’equity (deficit) for the three months ended March 31, 2022 and 2021, and the related interim condensed consolidated disclosures are unaudited and have been prepared pursuant to the rules and regulations of the Securities and Exchange Commission for interim financial information. Accordingly, they do not include all of the information and footnotes required by U.S. GAAP for complete financial statements.</w:t>
      </w:r>
    </w:p>
    <w:p>
      <w:pPr>
        <w:spacing w:after="0" w:line="14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management’s opinion, the accompanying condensed consolidated financial statements contain all adjustments, consisting of only normal recurring adjustments, necessary for a fair statement of the Company’s financial position at March 31, 2022; the results of operations, cash flows and changes in stockholders’equity (deficit) for the three months ended March 31, 2022 and 2021. The condensed consolidated balance sheet as of December 31, 2021 included herein was derived from audited financial statements, but does not include all disclosures required by U.S. GAAP.</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March 31, 2022 and 2021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2021.</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The accounting estimates and other matters included within our condensed consolidated financial statements and notes to the condensed consolidated financial statements are revenue recognition, including a reserve for merchandise returns, goodwill and fair value of financial instruments which include, but are not limited to, accounts receivable, payables, lease obligations, equity based compensation and a derivative instrument.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Deposits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March 31, 2022 will be recognized as net revenue within the next 12 months as the performance obligations are satisfied.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of $0.9 million and $0.9 million at March 31, 2022 and December 31, 2021, respectively, is recorded in the accrued other expenses line item of the condensed consolidated balance sheets. The Company recognizes income associated with breakage proportional to actual gift card redemptions.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primary financial instruments are accounts receivable, payables, lease obligations, derivatives and equity based compensation instruments. Due to the short-term maturities of accounts receivable and payables, the Company believes the fair values of these instruments approximate their respective carrying values at March 31, 2022 and December 31, 2021. See Note 4 for discussion of our derivative, Note 5 for discussion of our lease obligations and Note 6 for discussion of our equity based compensation instruments.</w:t>
      </w:r>
    </w:p>
    <w:p>
      <w:pPr>
        <w:spacing w:after="0" w:line="13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1620" w:right="18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unrestricted assets and liabilities that the reporting entity has the ability to access at the measurement date.</w:t>
      </w:r>
    </w:p>
    <w:p>
      <w:pPr>
        <w:spacing w:after="0" w:line="135" w:lineRule="exact"/>
        <w:rPr>
          <w:sz w:val="20"/>
          <w:szCs w:val="20"/>
          <w:color w:val="auto"/>
        </w:rPr>
      </w:pPr>
    </w:p>
    <w:p>
      <w:pPr>
        <w:ind w:left="1620" w:right="36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21" w:lineRule="exact"/>
        <w:rPr>
          <w:sz w:val="20"/>
          <w:szCs w:val="20"/>
          <w:color w:val="auto"/>
        </w:rPr>
      </w:pPr>
    </w:p>
    <w:p>
      <w:pPr>
        <w:ind w:left="1620" w:right="1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60" w:firstLine="8"/>
        <w:spacing w:after="0" w:line="46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New Accounting Standards Adopted</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adopted ASC 842 as of January 1, 2022, using the modified retrospective approach by applying the transition provisions at the beginning of the period of adoption. Comparative periods will continue to be presented in accordance with ASC 840. The Company elected the package of practical expedients permitted under the transition guidance, which allowed the Company to carryforward the historical lease classification, lease identification and initial direct costs. The Company did not elect the “Land Easements” or “Hindsight” practical expedients. Additionally, the Company made the following accounting policy elections in connection with the adoption:</w:t>
      </w:r>
    </w:p>
    <w:p>
      <w:pPr>
        <w:spacing w:after="0" w:line="1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short-term leases from our consolidated balance sheets;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both the lease and non-lease components as a single component and account for it as a lease.</w:t>
      </w:r>
    </w:p>
    <w:p>
      <w:pPr>
        <w:spacing w:after="0" w:line="16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As a result, the Company measured the right-of-use asset and lease liability for operating and finance leases as of January 1, 2022, using the remaining portion of the lease term that was determined under ASC 840. The adoption resulted in $242.0 million recognized as total right-of-use assets and $326.5 million recognized as total lease liabilities on our consolidated balance sheets as of January 1, 2022. For certain previous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 See Note 5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adopted the standard in the current period. The adoption of this standard did not have a material impact on our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Merchandise Warranties</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16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140" w:type="dxa"/>
            <w:vAlign w:val="bottom"/>
            <w:shd w:val="clear" w:color="auto" w:fill="CCEEFF"/>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4,724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8"/>
              </w:rPr>
              <w:t>3,326</w:t>
            </w: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2140" w:type="dxa"/>
            <w:vAlign w:val="bottom"/>
          </w:tcPr>
          <w:p>
            <w:pPr>
              <w:spacing w:after="0"/>
              <w:rPr>
                <w:sz w:val="19"/>
                <w:szCs w:val="19"/>
                <w:color w:val="auto"/>
              </w:rPr>
            </w:pPr>
          </w:p>
        </w:tc>
        <w:tc>
          <w:tcPr>
            <w:tcW w:w="1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2,196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8"/>
              </w:rPr>
              <w:t>1,592</w:t>
            </w:r>
          </w:p>
        </w:tc>
      </w:tr>
      <w:tr>
        <w:trPr>
          <w:trHeight w:val="22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2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8"/>
              </w:rPr>
              <w:t>(1,341)</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end of the period (1)</w:t>
            </w:r>
          </w:p>
        </w:tc>
        <w:tc>
          <w:tcPr>
            <w:tcW w:w="2140" w:type="dxa"/>
            <w:vAlign w:val="bottom"/>
            <w:tcBorders>
              <w:bottom w:val="single" w:sz="8" w:color="auto"/>
            </w:tcBorders>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4,963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w w:val="98"/>
              </w:rPr>
              <w:t>3,577</w:t>
            </w:r>
          </w:p>
        </w:tc>
      </w:tr>
      <w:tr>
        <w:trPr>
          <w:trHeight w:val="21"/>
        </w:trPr>
        <w:tc>
          <w:tcPr>
            <w:tcW w:w="40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144" w:lineRule="exact"/>
        <w:rPr>
          <w:sz w:val="20"/>
          <w:szCs w:val="20"/>
          <w:color w:val="auto"/>
        </w:rPr>
      </w:pPr>
    </w:p>
    <w:p>
      <w:pPr>
        <w:ind w:right="50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and $2.7 million were recorded in accrued other expenses at March 31, 2022 and December 31, 2021, respectively. The remainder is recorded in other long-term liabilities on our condensed consolidated balance sheets.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limited merchandise warranties issued during the respective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25, 2020, the Company entered into a credit agreement (“Revolver”), which included a revolving credit facility of $30.0 million with availability limited pursuant to a borrowing base formula based on specified percentages of eligible inventory, net of reserves. The Company’s borrowings under the Revolver bore variable interest rates at the LIBOR index rate (“LIBOR”) plus the applicable margin (5.5% at March 31, 2021). In the event LIBOR ceased to be available during the term of the Revolver, the Revolver provided procedures to determine an Alternate Base Rate. The Revolver was to expire on June 25, 2023.</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Loan costs related to the Revolver of $1.5 million were recorded in other noncurrent assets and were amortized over the term of the debt on a straight-line basis, which approximated the effective interest method. Amortization expense was $0.1 million for three months ended March 31, 2021, and was included in interest expense within the condensed consolidated statements of comprehensive income. On November 4, 2021, the Company terminated the Revolver of which there were no borrowings drawn.</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(1.50% at March 31, 2022), whereas the applicable margin is adjusted quarterly based on the Company’s consolidated rent-adjusted total leverage ratio. The 2021 Credit Facility expires on November 8, 2026.</w:t>
      </w:r>
    </w:p>
    <w:p>
      <w:pPr>
        <w:spacing w:after="0" w:line="16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At March 31, 2022, we had no borrowings on the 2021 Credit Facility. Deferred financing costs related to the 2021 Credit Facility of $0.3 million are recorded in other noncurrent assets on the consolidated balance sheets and will be amortized over the term of the debt on a straight-line basis, which approximates the effective interest method.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Company entering into the Revolver and 2021 Credit Facility, the debt structure (“Prior Credit Facilities”) included a revolving credit facility (the “Prior Revolver”) and a term loan (the “Term Loan”). The Prior Revolver was terminated on June 25, 2020 and Term Loan was paid in full on December 28, 2020.</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substantially all assets of the Company. In connection with the repayment of the Term Loan on December 28, 2020, the holder informed the Company they would decline the option to receive the $3.0 million and elect to receive a payout equivalent to 4.0% of the equity value of the Company. The exit fee was treated as a derivative and adjusted to fair value each reporting period. The Company recorded derivative expense of $11.5 million for the three months ended March 31, 2021, which was included in selling, general and administrative expense within the condensed consolidated statements of comprehensive income. The Company used a portion of the net proceeds from the IPO to pay the derivative liability on November 8, 2021.</w:t>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used a discounted cash flow method and guideline public company method to determine the fair value of equity which was used to calculate the fair value of the exit fee. The key assumptions used within the Black-Scholes OPM as of March 31, 2021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2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1.70%</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assumed volatility assumption is based on that of an identified group of comparable public companies. The fair value of the exit fee has been determined utilizing unobservable inputs and therefore is a Level 3 measurement under the fair value hierarchy.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debt covenants at March 31, 2022 and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8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costs. Depending on particular Showroom leases, the Company can also owe a percentage rent payment if particular Showrooms meet certain sales figures.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recognized in our condensed consolidated balance sheets related to leases as of March 31, 2022 (amounts in thousands):</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Classification</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720" w:type="dxa"/>
            <w:vAlign w:val="bottom"/>
          </w:tcPr>
          <w:p>
            <w:pPr>
              <w:spacing w:after="0"/>
              <w:rPr>
                <w:sz w:val="20"/>
                <w:szCs w:val="20"/>
                <w:color w:val="auto"/>
              </w:rPr>
            </w:pPr>
          </w:p>
        </w:tc>
      </w:tr>
      <w:tr>
        <w:trPr>
          <w:trHeight w:val="88"/>
        </w:trPr>
        <w:tc>
          <w:tcPr>
            <w:tcW w:w="3460" w:type="dxa"/>
            <w:vAlign w:val="bottom"/>
          </w:tcPr>
          <w:p>
            <w:pPr>
              <w:spacing w:after="0"/>
              <w:rPr>
                <w:sz w:val="7"/>
                <w:szCs w:val="7"/>
                <w:color w:val="auto"/>
              </w:rPr>
            </w:pPr>
          </w:p>
        </w:tc>
        <w:tc>
          <w:tcPr>
            <w:tcW w:w="5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196,896</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38,103</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234,999</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9"/>
        </w:trPr>
        <w:tc>
          <w:tcPr>
            <w:tcW w:w="3460" w:type="dxa"/>
            <w:vAlign w:val="bottom"/>
            <w:shd w:val="clear" w:color="auto" w:fill="CCEEFF"/>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265,148</w:t>
            </w:r>
          </w:p>
        </w:tc>
      </w:tr>
      <w:tr>
        <w:trPr>
          <w:trHeight w:val="270"/>
        </w:trPr>
        <w:tc>
          <w:tcPr>
            <w:tcW w:w="346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50,342</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50,524</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315,672</w:t>
            </w:r>
          </w:p>
        </w:tc>
      </w:tr>
      <w:tr>
        <w:trPr>
          <w:trHeight w:val="21"/>
        </w:trPr>
        <w:tc>
          <w:tcPr>
            <w:tcW w:w="3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components of lease cost recognized within our condensed consolidated statements of comprehensive income for the three months ended March 31, 2022 are as follows (amounts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 Classification</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0" w:type="dxa"/>
            <w:vAlign w:val="bottom"/>
            <w:gridSpan w:val="2"/>
            <w:vMerge w:val="continue"/>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5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5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(1)</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lease costs (1)</w:t>
            </w:r>
          </w:p>
        </w:tc>
        <w:tc>
          <w:tcPr>
            <w:tcW w:w="6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lease costs includes short-term lease costs and variable lease costs.</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Rent expense, amortization of landlord improvements and percentage rent expense calculated under ASC 840 was $15.7 million, $2.8 million and $0.5 million for the three months ended March 31, 2021, respectively.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March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bl>
    <w:p>
      <w:pPr>
        <w:spacing w:after="0" w:line="2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discount rate implicit within our finance leases was determined at the time of lease commencement. However, the discount rate implicit within our operating leases is generally not determinable at the time of lease commencement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therefore the Company determines the discount rate based on its incremental borrowing rate. For all operating leases,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March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r>
        <w:trPr>
          <w:trHeight w:val="481"/>
        </w:trPr>
        <w:tc>
          <w:tcPr>
            <w:tcW w:w="6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lease liabilities at March 31, 2022 are as follows (amounts in thousands):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Finance Lease Liabilities</w:t>
            </w:r>
          </w:p>
        </w:tc>
        <w:tc>
          <w:tcPr>
            <w:tcW w:w="20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Liabilities </w:t>
            </w:r>
            <w:r>
              <w:rPr>
                <w:rFonts w:ascii="Times New Roman" w:cs="Times New Roman" w:eastAsia="Times New Roman" w:hAnsi="Times New Roman"/>
                <w:sz w:val="23"/>
                <w:szCs w:val="23"/>
                <w:b w:val="1"/>
                <w:bCs w:val="1"/>
                <w:color w:val="auto"/>
                <w:w w:val="94"/>
                <w:vertAlign w:val="superscript"/>
              </w:rPr>
              <w:t>(1)</w:t>
            </w:r>
          </w:p>
        </w:tc>
        <w:tc>
          <w:tcPr>
            <w:tcW w:w="2180" w:type="dxa"/>
            <w:vAlign w:val="bottom"/>
            <w:gridSpan w:val="3"/>
            <w:vMerge w:val="continue"/>
          </w:tcPr>
          <w:p>
            <w:pPr>
              <w:spacing w:after="0"/>
              <w:rPr>
                <w:sz w:val="21"/>
                <w:szCs w:val="21"/>
                <w:color w:val="auto"/>
              </w:rPr>
            </w:pPr>
          </w:p>
        </w:tc>
        <w:tc>
          <w:tcPr>
            <w:tcW w:w="20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265,148</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leases with related parties. See Note 10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for amounts leased from related parties.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March 31, 2022, the Company has entered into leases for a distribution center and Showrooms which have not yet commenced with expected lease terms ranging from 10 to 24 years. The aggregate minimum rental payments over the term of the leases of approximately $136.3 million are not included in the above 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and capital leases under ASC 840 at December 31, 2021, were as follows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17"/>
                <w:szCs w:val="17"/>
                <w:color w:val="auto"/>
              </w:rPr>
            </w:pPr>
          </w:p>
        </w:tc>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Lease</w:t>
            </w:r>
          </w:p>
        </w:tc>
        <w:tc>
          <w:tcPr>
            <w:tcW w:w="0" w:type="dxa"/>
            <w:vAlign w:val="bottom"/>
          </w:tcPr>
          <w:p>
            <w:pPr>
              <w:spacing w:after="0"/>
              <w:rPr>
                <w:sz w:val="1"/>
                <w:szCs w:val="1"/>
                <w:color w:val="auto"/>
              </w:rPr>
            </w:pPr>
          </w:p>
        </w:tc>
      </w:tr>
      <w:tr>
        <w:trPr>
          <w:trHeight w:val="243"/>
        </w:trPr>
        <w:tc>
          <w:tcPr>
            <w:tcW w:w="4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3"/>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249,888</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320,584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144,214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464,798</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320,584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50,150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370,734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2420" w:firstLine="8"/>
        <w:spacing w:after="0" w:line="432" w:lineRule="auto"/>
        <w:tabs>
          <w:tab w:leader="none" w:pos="181"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leases with related parties. See Note 10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for amounts leased from related parties. Supplemental cash flow information related to leases at March 31, 2022, is as follows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Based Compensation</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recorded equity based compensation expense of $0.7 million and $0.1 million for the three months ended March 31, 2022 and 2021, respectively, which is included within the selling, general and administrative expenses line item of the condensed consolidated statements of comprehensive income. Total unrecognized compensation cost for equity based compensation to be recognized in future periods is $10.9 million at March 31, 2022, and will be recognized over a weighted average period of 4.08 years. The total grant-date fair value of restricted stock that vested as of March 31, 2022 and December 31, 2021, were $0.1 million and $0.3 million, respectively.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activity for the three months ended March 31,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560" w:type="dxa"/>
            <w:vAlign w:val="bottom"/>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3460" w:type="dxa"/>
            <w:vAlign w:val="bottom"/>
            <w:gridSpan w:val="4"/>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6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5"/>
                <w:szCs w:val="15"/>
                <w:color w:val="auto"/>
              </w:rPr>
            </w:pPr>
          </w:p>
        </w:tc>
        <w:tc>
          <w:tcPr>
            <w:tcW w:w="15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2022</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is our Chief Executive Officer,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net revenue is generated through sales to clients in the United States. Sales to clients outside of the United states are not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more than ten percent or more of our net revenue.</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shows net revenue by merchandise sales channel for the three months ended March 31, 2022 and 2021, respectively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138,792</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and Comprehensive Income per Share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and IPO, existing Class A and Class B Unitholders of LLC were issued Class B and Class A common stock in the Company, respectively. The Class A Unitholders received 80,792,206 shares of Class B common stock and the Class B Unitholders received 31,266,536 shares of Class A common stock. Accordingly, all share and per share amounts for all periods presented in the condensed consolidated statements of comprehensive income and this note have been adjusted retroactively, where applicable, to reflect the Reorganization.</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three months ended March 31, 2022 and 2021, was calculated by adjusting net and comprehensive income attributable to Arhaus, Inc. for net and comprehensive income attributable to noncontrolling interest, and dividing by basic and diluted weighted-average number of common shares outstanding. Management Incentive Unitholders did not participate in the earnings or losses of the Company as of March 31, 2021 and therefore were not participating securities. As such, they were not included within the calculation of basic or diluted earnings per share as of March 31, 2021.</w:t>
      </w:r>
    </w:p>
    <w:p>
      <w:pPr>
        <w:spacing w:after="0" w:line="14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three months ended March 31, 2022 and 2021, is as follows (amounts in thousands except unit and per unit data):</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and comprehensive income attributable to noncontrolling interest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Denominator—Weighted Average Shares Outstanding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137,482,533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138,708,468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57"/>
        </w:trPr>
        <w:tc>
          <w:tcPr>
            <w:tcW w:w="7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0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the Company believes that the ultimate resolution of these matters will not have a material adverse effect on the Company’s consolidated financial position, results of operations or cash flows.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March 31, 2022 and December 31, 2021, we recorded liabilities of $1.2 million and $1.2 million, respectively, in accrued taxes on the condensed consolidated balance sheets for non-income tax matters that were probable and reasonably estimable.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187"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In November 2000, the Company entered into a lease agreement with Pagoda Partners, LLC, a company of which John Reed, our Chief Executive Officer (“CEO”), indirectly owns 50%, for our warehouse in Walton Hills, Ohio. The base lease term was 17 years with a 5-year renewal option. In August 2020, the Company amended the lease agreement to extend the lease term to April 2024 with the ability to extend the lease in 12-month increments thereafter.</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 monthly rental payments are $0.1 million. Rent expense was $0.3 million and $0.3 million for the three months ended March 31, 2022 and 2021, respectively.</w:t>
      </w:r>
    </w:p>
    <w:p>
      <w:pPr>
        <w:spacing w:after="0" w:line="1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Mr. Beargie, a Director of Arhaus, Inc., own 85% and 15%, respectively, for our Outlet in Brooklyn, Ohio. The base lease term is 15 years with no lease renewal options. The monthly rental payments are $20 thousand. Rent expense was $0.1 million and $0.1 million for the three months ended March 31, 2022 and 2021, respectively.</w:t>
      </w:r>
    </w:p>
    <w:p>
      <w:pPr>
        <w:spacing w:after="0" w:line="1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September 2014, the Company entered into a lease agreement with Premier Arhaus, LLC, a company of which our CEO indirectly owned 50% during 2021, on a triple net basis for our headquarters building and distribution center, with construction completed during 2016. The base lease term is 17 years, with a 10-year renewal option at fixed rental payments, and with two additional 5-year renewal options at fair market rent. The monthly rental payments range from $0.2 million to $0.5 million during the 17-year base lease term and from $0.5 million to $0.6 million during the 10-year renewal period. In September 2021, the Company amended the existing finance lease agreement to extend the lease term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an additional three years, which included monthly rental payments of $0.6 million. Further, the amended lease agreement provides for the expansion of the Company’s distribution center and monthly rental payments range from $0.1 million to $0.2 million. During the fourth quarter of 2021, the lessor sold its interest in the leased assets to a third party. As a result, the lease will no longer be with a related party of the Company. Rent expense was $1.4 million for the three months ended March 31, 2021.</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2021, the Company entered into a lease agreement with Premier Conover, LLC, a company of which our CEO indirectly owned 10%,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$0.9 million for the three months ended March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condensed consolidated financial statements include a related-party receivable and a related-party note receivable between Homeworks and our CEO for $0.1 million and $1.0 million, respectively at March 31, 2021. The receivable and the full principal on the note receivable, including accrued interest, were paid back to the Company by the CEO in May 2021.</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Reorganization, the Company has accounts payable due to noncontrolling interests of LLC for state and federal income tax refunds filed for tax periods prior to the Reorganization. The accounts payable due to related parties were $2.3 million and $2.9 million at March 31, 2022 and December 31, 2021, respectively, and are included within accounts payable on the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Income taxes were $5.9 million in the three months ended March 31, 2022 compared to $0.7 million in the three months ended March 31, 2021. The effective tax rate was 26.8% and 7.1% for the three months ended March 31, 2022 and March 31, 2021, respectively.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The income tax provision included state and local tax in certain jurisdictions prior to the Reorganization. Subsequent to the Reorganization, Arhaus, LLC’s taxable income flows through to FS Arhaus and Homeworks who are subject to U.S. federal and state corporate income taxes.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2022, no unrecognized tax benefits have been recognized. The Company files income tax returns in the U.S. and various state and local jurisdictions. The tax years after 2017 remain open to examination by the state taxing jurisdictions in which the Company is subject to tax. As of March 31, 2022, the Company was not under examination by the Internal Revenue Service or any state tax jurisdiction.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2021.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 risks:</w:t>
      </w:r>
    </w:p>
    <w:p>
      <w:pPr>
        <w:spacing w:after="0" w:line="15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transportation carriers and risks associated with increased freight and transportation costs;</w:t>
      </w:r>
    </w:p>
    <w:p>
      <w:pPr>
        <w:spacing w:after="0" w:line="29" w:lineRule="exact"/>
        <w:rPr>
          <w:rFonts w:ascii="Times New Roman" w:cs="Times New Roman" w:eastAsia="Times New Roman" w:hAnsi="Times New Roman"/>
          <w:sz w:val="18"/>
          <w:szCs w:val="18"/>
          <w:i w:val="1"/>
          <w:iCs w:val="1"/>
          <w:color w:val="auto"/>
        </w:rPr>
      </w:pPr>
    </w:p>
    <w:p>
      <w:pPr>
        <w:ind w:left="660" w:right="140" w:hanging="328"/>
        <w:spacing w:after="0" w:line="250"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in our receiving and distribution system, including delays in the anticipated opening of our new distribution center and the possibility that we may not realize the anticipated benefits of multiple distribution centers;</w:t>
      </w: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quality merchandise in sufficient quantities;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 a result of constraints in our supply chain;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failure of our vendors to meet our quality standards;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COVID-19 pandemic and its effect on our business;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the growth rate of our business;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anticipate changes in consumer preferences;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maintaining and increasing Showroom traffic and sales;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in our market;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adequately protect our intellectual property;</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governmental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Effectively managing our eCommerce business and digital marketing efforts; 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SEC rules and regulations as a public reporting company.</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2021.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the three months ended March 31, 2022 and 2021, which represents the condensed consolidated financial results of Arhaus, Inc. and subsidiaries for the three months ended March 31, 2022 and 2021,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Arhaus is a rapidly growing lifestyle brand and premium retailer in the home furnishings market, specializing in livable luxury supported by globally-sourced, heirloom-quality merchandise. We offer a differentiated direct-to-consumer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4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have one reportable segment as of March 31, 2022. At March 31, 2022 we operated 78 Showrooms, 59 with in-home interior designers. At December 31, 2021 we operated 79 Showrooms, 58 with in-home interior designers.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0"/>
        </w:trPr>
        <w:tc>
          <w:tcPr>
            <w:tcW w:w="5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Traditional showrooms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 Studios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Outlets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Showroom locations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square footage (in thousands)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bl>
    <w:p>
      <w:pPr>
        <w:spacing w:after="0" w:line="25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generated $246.3 million of net revenue, $97.7 million gross margin and $16.1 million of net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COVID-19 on Our Business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we have been able to serve our clients and operate our business through the ongoing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Various constraints in our merchandise supply chain have resulted in delays in our ability to convert demand into net revenue at normal historical rates. We anticipate that the business conditions related to the COVID-19 pandemic will continue to adversely affect the capacity of our vendors and supply chain to meet our demand during fiscal year 2022. We expect that our supply chain may catch up to demand in the foreseeable future, but business circumstances and operational conditions in numerous international locations where our vendors operate cannot be predicted with 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3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Comparable Showrooms that were temporarily closed during the year due to COVID-19 were not excluded from the comparable Showroom calculation. The dollar value of orders delivered for Outlet comparable locations are included.</w:t>
      </w:r>
    </w:p>
    <w:p>
      <w:pPr>
        <w:spacing w:after="0" w:line="14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direct-mail catalog.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Comparable Showrooms that were temporarily closed during the year due to COVID-19 were not excluded from the comparable Showroom calculation. Outlet comparable location demand is included.</w:t>
      </w:r>
    </w:p>
    <w:p>
      <w:pPr>
        <w:spacing w:after="0" w:line="15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4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shrinkage, inbound freight, all freight costs to get merchandise to our Showrooms, credit card fees, design, buying and allocation costs, occupancy costs related to Showroom operations and our supply chain, such as rent and common area maintenance for our leases, depreciation and amortization of leasehold improvements, equipment and other assets in our Showrooms and distribution centers.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55"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or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corporate headquarters, including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marketing, information technology,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expense and income tax expense.</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EBITDA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expense (1)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expenses (income) (2)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4766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202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30"/>
        </w:trPr>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4"/>
        </w:trPr>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50"/>
        </w:trPr>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w:t>
            </w:r>
          </w:p>
        </w:tc>
      </w:tr>
      <w:tr>
        <w:trPr>
          <w:trHeight w:val="256"/>
        </w:trPr>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38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r>
      <w:tr>
        <w:trPr>
          <w:trHeight w:val="297"/>
        </w:trPr>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3"/>
        </w:trPr>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-1490980</wp:posOffset>
            </wp:positionV>
            <wp:extent cx="69691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9125"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-1191260</wp:posOffset>
            </wp:positionV>
            <wp:extent cx="696912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9125" cy="1460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-882015</wp:posOffset>
            </wp:positionV>
            <wp:extent cx="696912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9125"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-548005</wp:posOffset>
            </wp:positionV>
            <wp:extent cx="696912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9125"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-187960</wp:posOffset>
            </wp:positionV>
            <wp:extent cx="696912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912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00"/>
          </w:cols>
          <w:pgMar w:left="320" w:top="117" w:right="359" w:bottom="1440" w:gutter="0" w:footer="0" w:header="0"/>
          <w:type w:val="continuous"/>
        </w:sectPr>
      </w:pPr>
    </w:p>
    <w:p>
      <w:pPr>
        <w:spacing w:after="0" w:line="65" w:lineRule="exact"/>
        <w:rPr>
          <w:sz w:val="20"/>
          <w:szCs w:val="20"/>
          <w:color w:val="auto"/>
        </w:rPr>
      </w:pPr>
    </w:p>
    <w:p>
      <w:pPr>
        <w:ind w:left="500" w:right="20" w:hanging="492"/>
        <w:spacing w:after="0" w:line="261"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our term loan in full on December 28, 2020. The derivative expense relates to the change in the fair value of the exit fee at the end of each reporting period. The Company used a portion of the net proceeds from the IPO to pay the derivative liability on November 8, 2021.</w:t>
      </w:r>
    </w:p>
    <w:p>
      <w:pPr>
        <w:ind w:left="500" w:right="100" w:hanging="492"/>
        <w:spacing w:after="0" w:line="260"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(income) represent costs and investments not indicative of ongoing business performance, such as third-party consulting costs, one-time project start-up costs, severance, signing bonuses, recruiting and project-based strategic initiatives.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Showroom Openings and Closings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New Showrooms contribute incremental expense and net revenue to the Company. In the three months ended March 31, 2022, we opened no new Showrooms and closed one Showroom. In 2021, we opened ten Showrooms and closed five Showrooms. Of the five Showroom closures in 2021, three were related to relocations in 2021.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repaid our Term Loan in full on December 28, 2020. The derivative expense relates to the change in the fair value of the exit fee at the end of each reporting period. The exit fee, which was payable in cash at the time the initial public offering was consummated, was calculated as 4% of the total equity value of the Company, based on the valuation determined in connection with the initial public offering, which valuation included, among other factors, (a) the initial public offering price, plus (b) cash, minus (c) any outstanding indebtedness, minus (d) transaction expenses, minus (e) the equity value of the preferred equity interests of Arhaus, LLC and all subsidiaries received on the closing date of the term loan, minus (f) the value of management incentive units in effect on the closing date of the term loan or issued after the closing date pursuant to management incentive plans in existence on the closing date. For the three months ended March 31, 2021, the derivative expense related to the change in fair value of the exit fee was $11.5 million. The Company used a portion of the net proceeds from the IPO to pay the derivative liability of $64.1 million in full on November 8,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Condensed Consolidated Comprehensive Income Data:</w:t>
      </w:r>
    </w:p>
    <w:p>
      <w:pPr>
        <w:spacing w:after="0" w:line="30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19685</wp:posOffset>
            </wp:positionV>
            <wp:extent cx="2031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9803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revenue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margin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on disposal of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81" w:lineRule="exact"/>
        <w:rPr>
          <w:sz w:val="20"/>
          <w:szCs w:val="20"/>
          <w:color w:val="auto"/>
        </w:rPr>
      </w:pPr>
    </w:p>
    <w:p>
      <w:pPr>
        <w:spacing w:after="0"/>
        <w:tabs>
          <w:tab w:leader="none" w:pos="860" w:val="left"/>
          <w:tab w:leader="none" w:pos="1640" w:val="left"/>
          <w:tab w:leader="none" w:pos="2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246,300</w:t>
        <w:tab/>
        <w:t>$</w:t>
      </w:r>
      <w:r>
        <w:rPr>
          <w:sz w:val="20"/>
          <w:szCs w:val="20"/>
          <w:color w:val="auto"/>
        </w:rPr>
        <w:tab/>
      </w:r>
      <w:r>
        <w:rPr>
          <w:rFonts w:ascii="Times New Roman" w:cs="Times New Roman" w:eastAsia="Times New Roman" w:hAnsi="Times New Roman"/>
          <w:sz w:val="18"/>
          <w:szCs w:val="18"/>
          <w:color w:val="auto"/>
        </w:rPr>
        <w:t>171,314</w:t>
      </w:r>
    </w:p>
    <w:p>
      <w:pPr>
        <w:spacing w:after="0" w:line="50" w:lineRule="exact"/>
        <w:rPr>
          <w:sz w:val="20"/>
          <w:szCs w:val="20"/>
          <w:color w:val="auto"/>
        </w:rPr>
      </w:pPr>
    </w:p>
    <w:p>
      <w:pPr>
        <w:jc w:val="both"/>
        <w:ind w:left="880"/>
        <w:spacing w:after="0"/>
        <w:tabs>
          <w:tab w:leader="none" w:pos="2500" w:val="left"/>
        </w:tabs>
        <w:rPr>
          <w:sz w:val="20"/>
          <w:szCs w:val="20"/>
          <w:color w:val="auto"/>
        </w:rPr>
      </w:pPr>
      <w:r>
        <w:rPr>
          <w:rFonts w:ascii="Times New Roman" w:cs="Times New Roman" w:eastAsia="Times New Roman" w:hAnsi="Times New Roman"/>
          <w:sz w:val="18"/>
          <w:szCs w:val="18"/>
          <w:color w:val="auto"/>
        </w:rPr>
        <w:t>148,583</w:t>
      </w:r>
      <w:r>
        <w:rPr>
          <w:sz w:val="20"/>
          <w:szCs w:val="20"/>
          <w:color w:val="auto"/>
        </w:rPr>
        <w:tab/>
      </w:r>
      <w:r>
        <w:rPr>
          <w:rFonts w:ascii="Times New Roman" w:cs="Times New Roman" w:eastAsia="Times New Roman" w:hAnsi="Times New Roman"/>
          <w:sz w:val="18"/>
          <w:szCs w:val="18"/>
          <w:color w:val="auto"/>
        </w:rPr>
        <w:t>100,979</w:t>
      </w:r>
    </w:p>
    <w:p>
      <w:pPr>
        <w:spacing w:after="0" w:line="63" w:lineRule="exact"/>
        <w:rPr>
          <w:sz w:val="20"/>
          <w:szCs w:val="20"/>
          <w:color w:val="auto"/>
        </w:rPr>
      </w:pPr>
    </w:p>
    <w:p>
      <w:pPr>
        <w:ind w:left="980"/>
        <w:spacing w:after="0"/>
        <w:tabs>
          <w:tab w:leader="none" w:pos="2600" w:val="left"/>
        </w:tabs>
        <w:rPr>
          <w:sz w:val="20"/>
          <w:szCs w:val="20"/>
          <w:color w:val="auto"/>
        </w:rPr>
      </w:pPr>
      <w:r>
        <w:rPr>
          <w:rFonts w:ascii="Times New Roman" w:cs="Times New Roman" w:eastAsia="Times New Roman" w:hAnsi="Times New Roman"/>
          <w:sz w:val="18"/>
          <w:szCs w:val="18"/>
          <w:color w:val="auto"/>
        </w:rPr>
        <w:t>97,717</w:t>
      </w:r>
      <w:r>
        <w:rPr>
          <w:sz w:val="20"/>
          <w:szCs w:val="20"/>
          <w:color w:val="auto"/>
        </w:rPr>
        <w:tab/>
      </w:r>
      <w:r>
        <w:rPr>
          <w:rFonts w:ascii="Times New Roman" w:cs="Times New Roman" w:eastAsia="Times New Roman" w:hAnsi="Times New Roman"/>
          <w:sz w:val="18"/>
          <w:szCs w:val="18"/>
          <w:color w:val="auto"/>
        </w:rPr>
        <w:t>70,335</w:t>
      </w:r>
    </w:p>
    <w:p>
      <w:pPr>
        <w:spacing w:after="0" w:line="50" w:lineRule="exact"/>
        <w:rPr>
          <w:sz w:val="20"/>
          <w:szCs w:val="20"/>
          <w:color w:val="auto"/>
        </w:rPr>
      </w:pPr>
    </w:p>
    <w:p>
      <w:pPr>
        <w:ind w:left="980"/>
        <w:spacing w:after="0"/>
        <w:tabs>
          <w:tab w:leader="none" w:pos="2600" w:val="left"/>
        </w:tabs>
        <w:rPr>
          <w:sz w:val="20"/>
          <w:szCs w:val="20"/>
          <w:color w:val="auto"/>
        </w:rPr>
      </w:pPr>
      <w:r>
        <w:rPr>
          <w:rFonts w:ascii="Times New Roman" w:cs="Times New Roman" w:eastAsia="Times New Roman" w:hAnsi="Times New Roman"/>
          <w:sz w:val="18"/>
          <w:szCs w:val="18"/>
          <w:color w:val="auto"/>
        </w:rPr>
        <w:t>74,848</w:t>
      </w:r>
      <w:r>
        <w:rPr>
          <w:sz w:val="20"/>
          <w:szCs w:val="20"/>
          <w:color w:val="auto"/>
        </w:rPr>
        <w:tab/>
      </w:r>
      <w:r>
        <w:rPr>
          <w:rFonts w:ascii="Times New Roman" w:cs="Times New Roman" w:eastAsia="Times New Roman" w:hAnsi="Times New Roman"/>
          <w:sz w:val="18"/>
          <w:szCs w:val="18"/>
          <w:color w:val="auto"/>
        </w:rPr>
        <w:t>59,038</w:t>
      </w:r>
    </w:p>
    <w:p>
      <w:pPr>
        <w:spacing w:after="0" w:line="63" w:lineRule="exact"/>
        <w:rPr>
          <w:sz w:val="20"/>
          <w:szCs w:val="20"/>
          <w:color w:val="auto"/>
        </w:rPr>
      </w:pPr>
    </w:p>
    <w:p>
      <w:pPr>
        <w:ind w:left="1280"/>
        <w:spacing w:after="0"/>
        <w:tabs>
          <w:tab w:leader="none" w:pos="2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0313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43" w:lineRule="exact"/>
        <w:rPr>
          <w:sz w:val="20"/>
          <w:szCs w:val="20"/>
          <w:color w:val="auto"/>
        </w:rPr>
      </w:pPr>
    </w:p>
    <w:p>
      <w:pPr>
        <w:jc w:val="both"/>
        <w:ind w:left="980"/>
        <w:spacing w:after="0"/>
        <w:tabs>
          <w:tab w:leader="none" w:pos="2600" w:val="left"/>
        </w:tabs>
        <w:rPr>
          <w:sz w:val="20"/>
          <w:szCs w:val="20"/>
          <w:color w:val="auto"/>
        </w:rPr>
      </w:pPr>
      <w:r>
        <w:rPr>
          <w:rFonts w:ascii="Times New Roman" w:cs="Times New Roman" w:eastAsia="Times New Roman" w:hAnsi="Times New Roman"/>
          <w:sz w:val="18"/>
          <w:szCs w:val="18"/>
          <w:color w:val="auto"/>
        </w:rPr>
        <w:t>22,869</w:t>
      </w:r>
      <w:r>
        <w:rPr>
          <w:sz w:val="20"/>
          <w:szCs w:val="20"/>
          <w:color w:val="auto"/>
        </w:rPr>
        <w:tab/>
      </w:r>
      <w:r>
        <w:rPr>
          <w:rFonts w:ascii="Times New Roman" w:cs="Times New Roman" w:eastAsia="Times New Roman" w:hAnsi="Times New Roman"/>
          <w:sz w:val="18"/>
          <w:szCs w:val="18"/>
          <w:color w:val="auto"/>
        </w:rPr>
        <w:t>11,283</w:t>
      </w:r>
    </w:p>
    <w:p>
      <w:pPr>
        <w:spacing w:after="0" w:line="50" w:lineRule="exact"/>
        <w:rPr>
          <w:sz w:val="20"/>
          <w:szCs w:val="20"/>
          <w:color w:val="auto"/>
        </w:rPr>
      </w:pPr>
    </w:p>
    <w:p>
      <w:pPr>
        <w:jc w:val="both"/>
        <w:ind w:left="1060"/>
        <w:spacing w:after="0"/>
        <w:tabs>
          <w:tab w:leader="none" w:pos="2680" w:val="left"/>
        </w:tabs>
        <w:rPr>
          <w:sz w:val="20"/>
          <w:szCs w:val="20"/>
          <w:color w:val="auto"/>
        </w:rPr>
      </w:pPr>
      <w:r>
        <w:rPr>
          <w:rFonts w:ascii="Times New Roman" w:cs="Times New Roman" w:eastAsia="Times New Roman" w:hAnsi="Times New Roman"/>
          <w:sz w:val="18"/>
          <w:szCs w:val="18"/>
          <w:color w:val="auto"/>
        </w:rPr>
        <w:t>1,300</w:t>
      </w:r>
      <w:r>
        <w:rPr>
          <w:sz w:val="20"/>
          <w:szCs w:val="20"/>
          <w:color w:val="auto"/>
        </w:rPr>
        <w:tab/>
      </w:r>
      <w:r>
        <w:rPr>
          <w:rFonts w:ascii="Times New Roman" w:cs="Times New Roman" w:eastAsia="Times New Roman" w:hAnsi="Times New Roman"/>
          <w:sz w:val="18"/>
          <w:szCs w:val="18"/>
          <w:color w:val="auto"/>
        </w:rPr>
        <w:t>1,367</w:t>
      </w:r>
    </w:p>
    <w:p>
      <w:pPr>
        <w:spacing w:after="0" w:line="50" w:lineRule="exact"/>
        <w:rPr>
          <w:sz w:val="20"/>
          <w:szCs w:val="20"/>
          <w:color w:val="auto"/>
        </w:rPr>
      </w:pPr>
    </w:p>
    <w:p>
      <w:pPr>
        <w:ind w:left="1120"/>
        <w:spacing w:after="0"/>
        <w:tabs>
          <w:tab w:leader="none" w:pos="2920" w:val="left"/>
        </w:tabs>
        <w:rPr>
          <w:sz w:val="20"/>
          <w:szCs w:val="20"/>
          <w:color w:val="auto"/>
        </w:rPr>
      </w:pPr>
      <w:r>
        <w:rPr>
          <w:rFonts w:ascii="Times New Roman" w:cs="Times New Roman" w:eastAsia="Times New Roman" w:hAnsi="Times New Roman"/>
          <w:sz w:val="18"/>
          <w:szCs w:val="18"/>
          <w:color w:val="auto"/>
        </w:rPr>
        <w:t>(358)</w:t>
      </w:r>
      <w:r>
        <w:rPr>
          <w:sz w:val="20"/>
          <w:szCs w:val="20"/>
          <w:color w:val="auto"/>
        </w:rPr>
        <w:tab/>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ectPr>
          <w:pgSz w:w="11900" w:h="16838" w:orient="portrait"/>
          <w:cols w:equalWidth="0" w:num="2">
            <w:col w:w="7280" w:space="720"/>
            <w:col w:w="32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7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before taxes</w:t>
            </w:r>
          </w:p>
        </w:tc>
        <w:tc>
          <w:tcPr>
            <w:tcW w:w="5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Operational Data:</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Comparable growth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Demand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p>
      <w:pPr>
        <w:spacing w:after="0" w:line="50" w:lineRule="exact"/>
        <w:rPr>
          <w:sz w:val="20"/>
          <w:szCs w:val="20"/>
          <w:color w:val="auto"/>
        </w:rPr>
      </w:pPr>
    </w:p>
    <w:p>
      <w:pPr>
        <w:ind w:left="20" w:right="1400"/>
        <w:spacing w:after="0" w:line="305" w:lineRule="auto"/>
        <w:rPr>
          <w:sz w:val="20"/>
          <w:szCs w:val="20"/>
          <w:color w:val="auto"/>
        </w:rPr>
      </w:pPr>
      <w:r>
        <w:rPr>
          <w:rFonts w:ascii="Times New Roman" w:cs="Times New Roman" w:eastAsia="Times New Roman" w:hAnsi="Times New Roman"/>
          <w:sz w:val="18"/>
          <w:szCs w:val="18"/>
          <w:color w:val="auto"/>
        </w:rPr>
        <w:t>Selling, general and administrative expenses as a % of net revenue Income from operations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p>
      <w:pPr>
        <w:spacing w:after="0" w:line="63" w:lineRule="exact"/>
        <w:rPr>
          <w:sz w:val="20"/>
          <w:szCs w:val="20"/>
          <w:color w:val="auto"/>
        </w:rPr>
      </w:pPr>
    </w:p>
    <w:p>
      <w:pPr>
        <w:ind w:left="20" w:right="2340"/>
        <w:spacing w:after="0" w:line="313" w:lineRule="auto"/>
        <w:rPr>
          <w:sz w:val="20"/>
          <w:szCs w:val="20"/>
          <w:color w:val="auto"/>
        </w:rPr>
      </w:pPr>
      <w:r>
        <w:rPr>
          <w:rFonts w:ascii="Times New Roman" w:cs="Times New Roman" w:eastAsia="Times New Roman" w:hAnsi="Times New Roman"/>
          <w:sz w:val="18"/>
          <w:szCs w:val="18"/>
          <w:color w:val="auto"/>
        </w:rPr>
        <w:t>Net and comprehensive income as a % of net revenue 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4345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7260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246,300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171,314</w:t>
            </w:r>
          </w:p>
        </w:tc>
      </w:tr>
      <w:tr>
        <w:trPr>
          <w:trHeight w:val="265"/>
        </w:trPr>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56"/>
        </w:trPr>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r>
      <w:tr>
        <w:trPr>
          <w:trHeight w:val="257"/>
        </w:trPr>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56"/>
        </w:trPr>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57"/>
        </w:trPr>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0"/>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9,212</w:t>
            </w:r>
          </w:p>
        </w:tc>
      </w:tr>
      <w:tr>
        <w:trPr>
          <w:trHeight w:val="270"/>
        </w:trPr>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0"/>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25,483</w:t>
            </w:r>
          </w:p>
        </w:tc>
      </w:tr>
      <w:tr>
        <w:trPr>
          <w:trHeight w:val="265"/>
        </w:trPr>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4"/>
        </w:trPr>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ectPr>
          <w:pgSz w:w="11900" w:h="16838" w:orient="portrait"/>
          <w:cols w:equalWidth="0" w:num="2">
            <w:col w:w="6220" w:space="720"/>
            <w:col w:w="43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right="16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“How We Assess the Performance of Our Business,” for a definition of adjusted EBITDA and a reconciliation of adjusted EBITDA to net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revenue increased $75.0 million, or 43.8%, to $246.3 million in the three months ended March 31, 2022 compared to $171.3 million in the three months ended March 31, 2021. The increase was driven primarily by increased delivery of orders in the backlog as our supply chain continues to improve, as well as strong demand in both Showroom and eCommerce channels.</w:t>
      </w:r>
    </w:p>
    <w:p>
      <w:pPr>
        <w:spacing w:after="0" w:line="149"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Comparable growth was 40.3% in the three months ended March 31, 2022 compared to 37.6% in the three months ended March 31, 2021. Demand comparable growth was 8.3% in the three months ended March 31, 2022 compared to 90.3% in the three months ended March 31, 2021. Demand comparable growth for the three months ended March 31, 2021 was impacted by Showroom closures in 2020 as a result of the COVID-19 pandemic.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increased $27.4 million, or 38.9%, to $97.7 million in the three months ended March 31, 2022 compared to $70.3 million in the three months ended March 31, 2021. Gross margin improvement was driven by the increase in net revenue, partially offset by $29.8 million of higher product costs, $10.8 million of increased transportation costs and $3.8 million of increased variable rent expense due to the increase in net revenue, and $1.6 million of higher credit card fees related to higher demand during these time periods.</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percentage of net revenue, gross margin decreased 140 basis points to 39.7% of net revenue in the three months ended March 31, 2022 compared to 41.1% of net revenue in the three months ended March 31, 2021. The gross margin decrease was primarily the result of higher product costs, transportation costs and variable rent, partially offset by our ability to leverage our fixed Showroom occupancy costs over higher net revenue and leverage on credit card fees related to demand. In particular, product costs, transportation costs and variable rent as a percentage of net revenue increased by 430 basis points, while non-variable Showroom occupancy costs, which are not dependent on revenue levels, were lower as a percentage of net revenue, contributing 250 basis points to the margin.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SG&amp;A expenses increased $15.8 million, or 26.8%, to $74.8 million in the three months ended March 31, 2022 compared to $59.0 million in the three months ended March 31, 2021.</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increase in SG&amp;A expenses was primarily driven by a $12.2 million increase in corporate expenses, an $11.5 million increase in warehouse expenses to support the growth of the business and $3.1 million of public company related costs. This was partially offset by the non-recurrence of the derivative expense in the prior year related to the change in the fair value of the Term Loan exit fee of $11.5 million.</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decreased 410 basis points to 30.4% of net revenue in the three months ended March 31, 2022 compared to 34.5% of net revenue in the three months ended March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decreased $0.1 million to $1.3 million in the three months ended March 31, 2022 compared to $1.4 million in the three months ended March 31, 2021. For the three months ended March 31, 2022 and 2021 interest expense was primarily related to our finance lease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$5.9 million in the three months ended March 31, 2022 compared to $0.7 million in the three months ended March 31,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Income tax expense included state and local taxes in certain jurisdictions prior to the Reorganization. Subsequent to the Reorganization, Arhaus, LLC’s taxable income flows through to FS Arhaus and Homeworks who are subject to U.S. federal and state corporate income taxes.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and comprehensive income increased $6.8 million to $16.1 million in the three months ended March 31, 2022 compared to $9.2 million in the three months ended March 31, 2021. The increase was driven by the factors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March 31, 2022, we had cash and cash equivalents of $148.8 million.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the 2021 Credit Facility with Bank of America, N.A. and the lenders party thereto.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(1.50% at March 31, 2022), whereas the applicable margin is adjusted quarterly based on the Company’s consolidated rent-adjusted total leverage ratio. At March 31, 2022, we had no borrowings on the 2021 Credit Facility.</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our principal sources of liquidity were cash flows from operations, including client deposits. We believe our operating cash flows will be sufficient to meet working capital requirements and fulfill other capital needs for at least the next 12 months, although we may enter into borrowing arrangements in the future or if conditions change.</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capital needs and uses of capital may change in the future due to changes in our business or new opportunities that we choose to pursue.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invested significant capital expenditures in opening new Showrooms, and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continue to address the effects of the COVID-19 pandemic on our business with respect to real estate development and the introduction of new Showrooms. A range of factors involved in the development of new Showrooms may continue to be affected by the COVID-19 pandemic including delays in construction as well as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arrangements, may not be successful, and as a result, our real estate strategy may have ongoing significant liquidity needs even as we make changes to our planned operations and expansion cadence.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condensed consolidated financial statements for further information on our Revolver and 2021 Credit Facility,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Pr>
          <w:p>
            <w:pPr>
              <w:spacing w:after="0"/>
              <w:rPr>
                <w:sz w:val="19"/>
                <w:szCs w:val="19"/>
                <w:color w:val="auto"/>
              </w:rPr>
            </w:pPr>
          </w:p>
        </w:tc>
      </w:tr>
      <w:tr>
        <w:trPr>
          <w:trHeight w:val="223"/>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73,099</w:t>
            </w: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tcPr>
          <w:p>
            <w:pPr>
              <w:spacing w:after="0"/>
              <w:rPr>
                <w:sz w:val="19"/>
                <w:szCs w:val="19"/>
                <w:color w:val="auto"/>
              </w:rPr>
            </w:pP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(7,006)</w:t>
            </w: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(5,714)</w:t>
            </w: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60,379</w:t>
            </w:r>
          </w:p>
        </w:tc>
      </w:tr>
      <w:tr>
        <w:trPr>
          <w:trHeight w:val="21"/>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$35.2 million in the three months ended March 31, 2022 compared to $73.1 million net cash provided by operating activities in the three months ended March 31, 2021. The decrease in our net cash provided by operating activities in the three months ended March 31, 2022 was impacted by several factors: higher inventory levels; lower change in client deposits from improved delivery of backlog orders and lower demand comparable growth of 8.3% versus demand comparable growth of 90.3% in the first quarter of 2021; and lower non-cash items in the current period, particularly the nonrecurring derivative expense in the prior year related to the change in the fair value of the Term Loan exit fee, which reduced our net income without any corresponding adverse impact to our cash generation. These items were partially offset by increases in: accounts payable; accrued expenses; and the non-cash amortization for our operating leases caused by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retail Showrooms, information technology and systems infrastructure, as well as supply chain investments. Investing activities also include strategic investments made by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w:t>
      </w:r>
    </w:p>
    <w:p>
      <w:pPr>
        <w:spacing w:after="0" w:line="18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$10.2 million primarily due to investments in Showrooms, information technology and systems infrastructure, and supply chain expansion.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net cash used in investing activities was $7.0 million primarily due to investments in Showrooms, information technology and systems infrastructure, and supply chain expansion.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capital expenditures, net of landlord contributions increased by $4.8 million in the three months ended March 31, 2022 compared to the three months ended March 31, 2021. This increase was related to our new facility in North Carolina, the opening of new Showrooms and information technology and systems infrastructure.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anticipate our total company funded capital expenditures to be $60 million to $70 million in fiscal year 2022, primarily related to the expansion and openings of our Boston Heights, North Carolina and Dallas distribution centers, the opening of new Showrooms, and information technology and systems infrastructure.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consist primarily of borrowings related to tax distributions to noncontrolling interest holders of Arhaus,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net cash used in financing activities was $1.0 thousand due to principal payments on finance leases.</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net cash used in financing activities was $5.7 million which related to $4.6 million of tax distributions to the noncontrolling interest holders of Arhaus, LLC and $1.0 million for the issuance of a related party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have no material off-balance sheet arrangements.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to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three months ended March 31, 2022 and 2021,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March 31, 2022,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and 15d-15(e) of the Securities Exchange Act of 1934) as of March 31, 2022. Based on their evaluation as of March 31, 2022, the Chief Executive Officer and Chief Financial Officer have concluded that our disclosure controls and procedures were not effective at the reasonable assurance level because of the material weaknesses in our internal control over financial reporting described below.</w:t>
      </w:r>
    </w:p>
    <w:p>
      <w:pPr>
        <w:spacing w:after="0" w:line="1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identified three material weaknesses in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5" w:lineRule="exact"/>
        <w:rPr>
          <w:sz w:val="20"/>
          <w:szCs w:val="20"/>
          <w:color w:val="auto"/>
        </w:rPr>
      </w:pPr>
    </w:p>
    <w:p>
      <w:pPr>
        <w:ind w:left="660" w:right="40" w:hanging="328"/>
        <w:spacing w:after="0" w:line="25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result in misstatements to substantially all of our accounts or disclosures, that would result in a material misstatement to the annual or interim consolidated financial statements that would not be prevented or detected.</w:t>
      </w:r>
    </w:p>
    <w:p>
      <w:pPr>
        <w:spacing w:after="0" w:line="135" w:lineRule="exact"/>
        <w:rPr>
          <w:sz w:val="20"/>
          <w:szCs w:val="20"/>
          <w:color w:val="auto"/>
        </w:rPr>
      </w:pPr>
    </w:p>
    <w:p>
      <w:pPr>
        <w:ind w:left="660" w:right="14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finance and accounting staff in relation to journal entries, reconciliations and other applicable processes.</w:t>
      </w:r>
    </w:p>
    <w:p>
      <w:pPr>
        <w:jc w:val="both"/>
        <w:ind w:left="660" w:right="60" w:hanging="328"/>
        <w:spacing w:after="0" w:line="265"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as described above with respect to ongoing remediation efforts, there were no changes in our internal control over financial reporting as such term is defined in Exchange Act Rule 13a-15(f)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4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in our Annual Report on Form 10-K for the year ended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67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76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760" w:type="dxa"/>
            <w:vAlign w:val="bottom"/>
            <w:vMerge w:val="continue"/>
          </w:tcPr>
          <w:p>
            <w:pPr>
              <w:spacing w:after="0"/>
              <w:rPr>
                <w:sz w:val="21"/>
                <w:szCs w:val="21"/>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0000FF"/>
            </w:tcBorders>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10, 2021 Form 8-K, Exhibit 3.1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10, 2021 Form 8-K, Exhibit 3.2</w:t>
            </w:r>
          </w:p>
        </w:tc>
        <w:tc>
          <w:tcPr>
            <w:tcW w:w="0" w:type="dxa"/>
            <w:vAlign w:val="bottom"/>
          </w:tcPr>
          <w:p>
            <w:pPr>
              <w:spacing w:after="0"/>
              <w:rPr>
                <w:sz w:val="1"/>
                <w:szCs w:val="1"/>
                <w:color w:val="auto"/>
              </w:rPr>
            </w:pPr>
          </w:p>
        </w:tc>
      </w:tr>
      <w:tr>
        <w:trPr>
          <w:trHeight w:val="34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3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 taxonomy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483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68" w:lineRule="exact"/>
        <w:rPr>
          <w:sz w:val="20"/>
          <w:szCs w:val="20"/>
          <w:color w:val="auto"/>
        </w:rPr>
      </w:pPr>
    </w:p>
    <w:p>
      <w:pPr>
        <w:ind w:left="420" w:right="220" w:hanging="412"/>
        <w:spacing w:after="0" w:line="282" w:lineRule="auto"/>
        <w:tabs>
          <w:tab w:leader="none" w:pos="231"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11th day of May, 2022</w:t>
      </w:r>
    </w:p>
    <w:p>
      <w:pPr>
        <w:spacing w:after="0" w:line="1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Dawn Phillipson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Dawn Phillipson</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8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5"/>
        </w:trPr>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4540" w:type="dxa"/>
            <w:vAlign w:val="bottom"/>
          </w:tcPr>
          <w:p>
            <w:pPr>
              <w:spacing w:after="0"/>
              <w:rPr>
                <w:sz w:val="24"/>
                <w:szCs w:val="24"/>
                <w:color w:val="auto"/>
              </w:rPr>
            </w:pPr>
          </w:p>
        </w:tc>
      </w:tr>
    </w:tbl>
    <w:p>
      <w:pPr>
        <w:sectPr>
          <w:pgSz w:w="11900" w:h="16838" w:orient="portrait"/>
          <w:cols w:equalWidth="0" w:num="1">
            <w:col w:w="11200"/>
          </w:cols>
          <w:pgMar w:left="320" w:top="117"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9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49" w:lineRule="exact"/>
        <w:rPr>
          <w:rFonts w:ascii="Times New Roman" w:cs="Times New Roman" w:eastAsia="Times New Roman" w:hAnsi="Times New Roman"/>
          <w:sz w:val="18"/>
          <w:szCs w:val="18"/>
          <w:color w:val="auto"/>
        </w:rPr>
      </w:pPr>
    </w:p>
    <w:p>
      <w:pPr>
        <w:jc w:val="both"/>
        <w:ind w:left="1300" w:right="220" w:hanging="320"/>
        <w:spacing w:after="0" w:line="306"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Dawn Phillipson, certify that:</w:t>
      </w:r>
    </w:p>
    <w:p>
      <w:pPr>
        <w:spacing w:after="0" w:line="13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9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49" w:lineRule="exact"/>
        <w:rPr>
          <w:rFonts w:ascii="Times New Roman" w:cs="Times New Roman" w:eastAsia="Times New Roman" w:hAnsi="Times New Roman"/>
          <w:sz w:val="18"/>
          <w:szCs w:val="18"/>
          <w:color w:val="auto"/>
        </w:rPr>
      </w:pPr>
    </w:p>
    <w:p>
      <w:pPr>
        <w:jc w:val="both"/>
        <w:ind w:left="1300" w:right="220" w:hanging="320"/>
        <w:spacing w:after="0" w:line="306" w:lineRule="auto"/>
        <w:tabs>
          <w:tab w:leader="none" w:pos="129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March 31, 2022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Reed</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36" w:name="page37"/>
    <w:bookmarkEnd w:id="3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March 31, 2022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Dawn Phillipson</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Dawn Phillipson</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1" Type="http://schemas.openxmlformats.org/officeDocument/2006/relationships/hyperlink" Target="https://www.sec.gov/Archives/edgar/data/1875444/000187544421000004/exhibit31-arcertificateo.htm" TargetMode="External"/><Relationship Id="rId92"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2022-05-11T05:57:27Z</dcterms:created>
  <dcterms:modified xsi:type="dcterms:W3CDTF">2022-05-11T05:57:27Z</dcterms:modified>
</cp:coreProperties>
</file>